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17" w:rsidRDefault="00C10A17">
      <w:pPr>
        <w:widowControl/>
        <w:shd w:val="clear" w:color="auto" w:fill="FFFFFF"/>
        <w:spacing w:line="560" w:lineRule="exact"/>
        <w:jc w:val="center"/>
        <w:rPr>
          <w:rFonts w:ascii="方正小标宋简体" w:eastAsia="方正小标宋简体" w:hAnsi="方正小标宋简体" w:cs="方正小标宋简体"/>
          <w:color w:val="000000"/>
          <w:kern w:val="0"/>
          <w:sz w:val="44"/>
          <w:szCs w:val="44"/>
          <w:shd w:val="clear" w:color="auto" w:fill="FFFFFF"/>
        </w:rPr>
      </w:pPr>
    </w:p>
    <w:p w:rsidR="00B54018" w:rsidRPr="00B54018" w:rsidRDefault="00B54018" w:rsidP="00B54018">
      <w:pPr>
        <w:spacing w:line="579" w:lineRule="exact"/>
        <w:jc w:val="left"/>
        <w:rPr>
          <w:rStyle w:val="NormalCharacter"/>
          <w:rFonts w:ascii="黑体" w:eastAsia="黑体" w:hAnsi="黑体" w:hint="eastAsia"/>
          <w:sz w:val="32"/>
          <w:szCs w:val="32"/>
        </w:rPr>
      </w:pPr>
      <w:r w:rsidRPr="00B54018">
        <w:rPr>
          <w:rStyle w:val="NormalCharacter"/>
          <w:rFonts w:ascii="黑体" w:eastAsia="黑体" w:hAnsi="黑体" w:hint="eastAsia"/>
          <w:sz w:val="32"/>
          <w:szCs w:val="32"/>
        </w:rPr>
        <w:t>附件：</w:t>
      </w:r>
    </w:p>
    <w:p w:rsidR="00B54018" w:rsidRDefault="00B54018">
      <w:pPr>
        <w:spacing w:line="579" w:lineRule="exact"/>
        <w:jc w:val="center"/>
        <w:rPr>
          <w:rStyle w:val="NormalCharacter"/>
          <w:rFonts w:eastAsia="方正小标宋简体" w:hint="eastAsia"/>
          <w:sz w:val="44"/>
          <w:szCs w:val="44"/>
        </w:rPr>
      </w:pPr>
    </w:p>
    <w:p w:rsidR="00C10A17" w:rsidRDefault="00C10A17">
      <w:pPr>
        <w:spacing w:line="579" w:lineRule="exact"/>
        <w:jc w:val="center"/>
        <w:rPr>
          <w:rStyle w:val="NormalCharacter"/>
          <w:rFonts w:eastAsia="方正小标宋简体"/>
          <w:sz w:val="44"/>
          <w:szCs w:val="44"/>
        </w:rPr>
      </w:pPr>
      <w:r>
        <w:rPr>
          <w:rStyle w:val="NormalCharacter"/>
          <w:rFonts w:eastAsia="方正小标宋简体" w:hint="eastAsia"/>
          <w:sz w:val="44"/>
          <w:szCs w:val="44"/>
        </w:rPr>
        <w:t>城东南滨江片区改造项目（前头社区石改）</w:t>
      </w:r>
    </w:p>
    <w:p w:rsidR="00C10A17" w:rsidRDefault="00C10A17">
      <w:pPr>
        <w:spacing w:line="579" w:lineRule="exact"/>
        <w:jc w:val="center"/>
        <w:rPr>
          <w:rStyle w:val="NormalCharacter"/>
          <w:rFonts w:eastAsia="方正小标宋简体" w:hint="eastAsia"/>
          <w:sz w:val="44"/>
          <w:szCs w:val="44"/>
        </w:rPr>
      </w:pPr>
      <w:r>
        <w:rPr>
          <w:rStyle w:val="NormalCharacter"/>
          <w:rFonts w:eastAsia="方正小标宋简体" w:hint="eastAsia"/>
          <w:sz w:val="44"/>
          <w:szCs w:val="44"/>
        </w:rPr>
        <w:t>房屋征收补偿安置实施方案</w:t>
      </w:r>
    </w:p>
    <w:p w:rsidR="00C10A17" w:rsidRDefault="00C10A17">
      <w:pPr>
        <w:spacing w:line="579" w:lineRule="exact"/>
        <w:jc w:val="center"/>
        <w:rPr>
          <w:rStyle w:val="NormalCharacter"/>
          <w:rFonts w:eastAsia="仿宋_GB2312" w:hint="eastAsia"/>
          <w:sz w:val="32"/>
          <w:szCs w:val="32"/>
        </w:rPr>
      </w:pPr>
    </w:p>
    <w:p w:rsidR="00C10A17" w:rsidRDefault="00C10A17">
      <w:pPr>
        <w:spacing w:line="579" w:lineRule="exact"/>
        <w:ind w:firstLine="63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城东南滨江片区改造项目（前头社区石改）位于城东组团，列入市政府公布的市级重点项目名单，总用地面积约121亩，东至泉州丰泽生态渔业产业基地，西至安吉路，南至前头社区已征空地，北至青莲街（具体见城东南滨江片区改造项目（前头社区石改）征收范围图）。</w:t>
      </w:r>
    </w:p>
    <w:p w:rsidR="00C10A17" w:rsidRDefault="00C10A17">
      <w:pPr>
        <w:spacing w:line="579" w:lineRule="exact"/>
        <w:ind w:firstLine="63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为切实改善城市基础设施及周边居民的居住条件，维护公共利益，积极稳妥推进房屋征收补偿安置工作，保障被征收房屋所有权人的合法权益，根据《国有土地上房屋征收与补偿条例》（国务院令第590号）、《福建省实施&lt;国有土地上房屋征收与补偿条例&gt;办法》（福建省人民政府令第138号）、《泉州市国有土地上房屋征收与补偿规定》（泉政文〔2020〕6号）、《泉州市人民政府办公室关于印发在中心市区国有土地上对未经登记建筑调查认定处理意见和实施房屋征收补偿指导意见的通知》（泉政办〔2015〕112号）等相关法律、法规及配套政策，结合本区域实际情况，制定本方案。</w:t>
      </w:r>
    </w:p>
    <w:p w:rsidR="00C10A17" w:rsidRDefault="00C10A17">
      <w:pPr>
        <w:spacing w:line="579" w:lineRule="exact"/>
        <w:jc w:val="center"/>
        <w:rPr>
          <w:rStyle w:val="NormalCharacter"/>
          <w:rFonts w:eastAsia="仿宋_GB2312"/>
          <w:b/>
          <w:sz w:val="32"/>
          <w:szCs w:val="32"/>
        </w:rPr>
      </w:pPr>
    </w:p>
    <w:p w:rsidR="00C10A17" w:rsidRDefault="00C10A17">
      <w:pPr>
        <w:spacing w:line="579" w:lineRule="exact"/>
        <w:jc w:val="center"/>
        <w:rPr>
          <w:rStyle w:val="NormalCharacter"/>
          <w:rFonts w:eastAsia="仿宋_GB2312"/>
          <w:b/>
          <w:sz w:val="32"/>
          <w:szCs w:val="32"/>
        </w:rPr>
      </w:pPr>
      <w:r>
        <w:rPr>
          <w:rStyle w:val="NormalCharacter"/>
          <w:rFonts w:eastAsia="仿宋_GB2312" w:hint="eastAsia"/>
          <w:b/>
          <w:sz w:val="32"/>
          <w:szCs w:val="32"/>
        </w:rPr>
        <w:lastRenderedPageBreak/>
        <w:t>第一部分</w:t>
      </w:r>
      <w:r>
        <w:rPr>
          <w:rStyle w:val="NormalCharacter"/>
          <w:rFonts w:eastAsia="仿宋_GB2312"/>
          <w:b/>
          <w:sz w:val="32"/>
          <w:szCs w:val="32"/>
        </w:rPr>
        <w:t xml:space="preserve">   </w:t>
      </w:r>
      <w:r>
        <w:rPr>
          <w:rStyle w:val="NormalCharacter"/>
          <w:rFonts w:eastAsia="仿宋_GB2312" w:hint="eastAsia"/>
          <w:b/>
          <w:sz w:val="32"/>
          <w:szCs w:val="32"/>
        </w:rPr>
        <w:t>总</w:t>
      </w:r>
      <w:r>
        <w:rPr>
          <w:rStyle w:val="NormalCharacter"/>
          <w:rFonts w:eastAsia="仿宋_GB2312"/>
          <w:b/>
          <w:sz w:val="32"/>
          <w:szCs w:val="32"/>
        </w:rPr>
        <w:t xml:space="preserve">  </w:t>
      </w:r>
      <w:r>
        <w:rPr>
          <w:rStyle w:val="NormalCharacter"/>
          <w:rFonts w:eastAsia="仿宋_GB2312" w:hint="eastAsia"/>
          <w:b/>
          <w:sz w:val="32"/>
          <w:szCs w:val="32"/>
        </w:rPr>
        <w:t>则</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一、征收补偿对象及补偿方式</w:t>
      </w:r>
    </w:p>
    <w:p w:rsidR="00C10A17" w:rsidRDefault="00C10A17" w:rsidP="00847DA5">
      <w:pPr>
        <w:tabs>
          <w:tab w:val="left" w:pos="4252"/>
          <w:tab w:val="center" w:leader="middleDot" w:pos="8504"/>
        </w:tabs>
        <w:spacing w:line="579" w:lineRule="exact"/>
        <w:ind w:firstLineChars="196" w:firstLine="630"/>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1.征收范围：</w:t>
      </w:r>
      <w:r>
        <w:rPr>
          <w:rStyle w:val="NormalCharacter"/>
          <w:rFonts w:ascii="仿宋_GB2312" w:eastAsia="仿宋_GB2312" w:hAnsi="仿宋_GB2312" w:cs="仿宋_GB2312" w:hint="eastAsia"/>
          <w:sz w:val="32"/>
          <w:szCs w:val="32"/>
        </w:rPr>
        <w:t>以泉州市自然资源和规划局出具的征收范围红线图为准。</w:t>
      </w:r>
    </w:p>
    <w:p w:rsidR="00C10A17" w:rsidRDefault="00C10A17" w:rsidP="00847DA5">
      <w:pPr>
        <w:tabs>
          <w:tab w:val="left" w:pos="4252"/>
          <w:tab w:val="center" w:leader="middleDot" w:pos="8504"/>
        </w:tabs>
        <w:spacing w:line="579" w:lineRule="exact"/>
        <w:ind w:leftChars="299" w:left="628"/>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2.征收补偿对象：</w:t>
      </w:r>
      <w:r>
        <w:rPr>
          <w:rStyle w:val="NormalCharacter"/>
          <w:rFonts w:ascii="仿宋_GB2312" w:eastAsia="仿宋_GB2312" w:hAnsi="仿宋_GB2312" w:cs="仿宋_GB2312" w:hint="eastAsia"/>
          <w:sz w:val="32"/>
          <w:szCs w:val="32"/>
        </w:rPr>
        <w:t>凡在本征收范围（具体以征收红线图</w:t>
      </w:r>
    </w:p>
    <w:p w:rsidR="00C10A17" w:rsidRDefault="00C10A17">
      <w:pPr>
        <w:tabs>
          <w:tab w:val="left" w:pos="4252"/>
          <w:tab w:val="center" w:leader="middleDot" w:pos="8504"/>
        </w:tabs>
        <w:spacing w:line="579" w:lineRule="exact"/>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为准）内被征收房屋的所有权人为被征收人。房屋征收部门应与被征收人签订征收补偿安置协议。</w:t>
      </w:r>
    </w:p>
    <w:p w:rsidR="00C10A17" w:rsidRDefault="00C10A17" w:rsidP="00847DA5">
      <w:pPr>
        <w:tabs>
          <w:tab w:val="left" w:pos="4252"/>
          <w:tab w:val="center" w:leader="middleDot" w:pos="8504"/>
        </w:tabs>
        <w:spacing w:line="579" w:lineRule="exact"/>
        <w:ind w:firstLineChars="196" w:firstLine="630"/>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3.补偿方式：</w:t>
      </w:r>
      <w:r>
        <w:rPr>
          <w:rStyle w:val="NormalCharacter"/>
          <w:rFonts w:ascii="仿宋_GB2312" w:eastAsia="仿宋_GB2312" w:hAnsi="仿宋_GB2312" w:cs="仿宋_GB2312" w:hint="eastAsia"/>
          <w:sz w:val="32"/>
          <w:szCs w:val="32"/>
        </w:rPr>
        <w:t>住宅房屋分为</w:t>
      </w:r>
      <w:r>
        <w:rPr>
          <w:rStyle w:val="NormalCharacter"/>
          <w:rFonts w:ascii="仿宋_GB2312" w:eastAsia="仿宋_GB2312" w:hAnsi="仿宋_GB2312" w:cs="仿宋_GB2312" w:hint="eastAsia"/>
          <w:kern w:val="0"/>
          <w:sz w:val="32"/>
          <w:szCs w:val="32"/>
        </w:rPr>
        <w:t>有条件限量等价值产权调换</w:t>
      </w:r>
      <w:r>
        <w:rPr>
          <w:rStyle w:val="NormalCharacter"/>
          <w:rFonts w:ascii="仿宋_GB2312" w:eastAsia="仿宋_GB2312" w:hAnsi="仿宋_GB2312" w:cs="仿宋_GB2312" w:hint="eastAsia"/>
          <w:sz w:val="32"/>
          <w:szCs w:val="32"/>
        </w:rPr>
        <w:t>、货币补偿、部分等价值产权调换与部分货币补偿相结合三种方式。</w:t>
      </w:r>
    </w:p>
    <w:p w:rsidR="00C10A17" w:rsidRDefault="00C10A17" w:rsidP="00847DA5">
      <w:pPr>
        <w:tabs>
          <w:tab w:val="left" w:pos="4252"/>
          <w:tab w:val="center" w:leader="middleDot" w:pos="8504"/>
        </w:tabs>
        <w:spacing w:line="579" w:lineRule="exact"/>
        <w:ind w:firstLineChars="196" w:firstLine="630"/>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4.性质、用途认定依据：</w:t>
      </w:r>
      <w:r>
        <w:rPr>
          <w:rStyle w:val="NormalCharacter"/>
          <w:rFonts w:ascii="仿宋_GB2312" w:eastAsia="仿宋_GB2312" w:hAnsi="仿宋_GB2312" w:cs="仿宋_GB2312" w:hint="eastAsia"/>
          <w:sz w:val="32"/>
          <w:szCs w:val="32"/>
        </w:rPr>
        <w:t>以《土地使用证》《房屋所有权证》登记的用途或规划、土地管理等部门颁发的合法有效文件为依据。</w:t>
      </w:r>
    </w:p>
    <w:p w:rsidR="00C10A17" w:rsidRDefault="00C10A17" w:rsidP="00847DA5">
      <w:pPr>
        <w:tabs>
          <w:tab w:val="left" w:pos="4252"/>
          <w:tab w:val="center" w:leader="middleDot" w:pos="8504"/>
        </w:tabs>
        <w:spacing w:line="579" w:lineRule="exact"/>
        <w:ind w:firstLineChars="196" w:firstLine="630"/>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5.面积测算依据：</w:t>
      </w:r>
      <w:r>
        <w:rPr>
          <w:rStyle w:val="NormalCharacter"/>
          <w:rFonts w:ascii="仿宋_GB2312" w:eastAsia="仿宋_GB2312" w:hAnsi="仿宋_GB2312" w:cs="仿宋_GB2312" w:hint="eastAsia"/>
          <w:sz w:val="32"/>
          <w:szCs w:val="32"/>
        </w:rPr>
        <w:t>面积测量由具有房地产测绘资质的测量单位，依据国家、省、市现行房地产测绘技术规范计算。</w:t>
      </w:r>
    </w:p>
    <w:p w:rsidR="00C10A17" w:rsidRDefault="00C10A17">
      <w:pPr>
        <w:tabs>
          <w:tab w:val="left" w:pos="4252"/>
          <w:tab w:val="center" w:leader="middleDot" w:pos="8504"/>
        </w:tabs>
        <w:spacing w:line="579" w:lineRule="exact"/>
        <w:ind w:firstLineChars="196" w:firstLine="627"/>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（1）对本方案中所列价格无异议、在征收决定公告规定的期限内签订协议并按时搬迁的，其被征收房屋（只针对住宅房屋）除按国家现行的房地产测量规范计算建筑面积外，有下列情况的可优惠计算征收面积：</w:t>
      </w:r>
    </w:p>
    <w:p w:rsidR="00C10A17" w:rsidRDefault="00C10A17">
      <w:pPr>
        <w:tabs>
          <w:tab w:val="left" w:pos="4252"/>
          <w:tab w:val="center" w:leader="middleDot" w:pos="8504"/>
        </w:tabs>
        <w:spacing w:line="579" w:lineRule="exact"/>
        <w:ind w:firstLineChars="196" w:firstLine="627"/>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①围墙上的大门雨披按50％计算征收面积。</w:t>
      </w:r>
    </w:p>
    <w:p w:rsidR="00C10A17" w:rsidRDefault="00C10A17">
      <w:pPr>
        <w:tabs>
          <w:tab w:val="left" w:pos="4252"/>
          <w:tab w:val="center" w:leader="middleDot" w:pos="8504"/>
        </w:tabs>
        <w:spacing w:line="579" w:lineRule="exact"/>
        <w:ind w:firstLineChars="196" w:firstLine="627"/>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②利用坡屋顶空间作为阁楼的建筑，其楼底高度在2.2米以上，阁楼层高在1.6米以上的部分按50％计算征收面积（层高在1.6米以下的部分按附属物给予补偿）。</w:t>
      </w:r>
    </w:p>
    <w:p w:rsidR="00C10A17" w:rsidRDefault="00C10A17">
      <w:pPr>
        <w:tabs>
          <w:tab w:val="left" w:pos="4252"/>
          <w:tab w:val="center" w:leader="middleDot" w:pos="8504"/>
        </w:tabs>
        <w:spacing w:line="579" w:lineRule="exact"/>
        <w:ind w:firstLineChars="196" w:firstLine="627"/>
        <w:jc w:val="left"/>
        <w:rPr>
          <w:rStyle w:val="NormalCharacter"/>
          <w:rFonts w:ascii="仿宋_GB2312" w:eastAsia="仿宋_GB2312" w:hAnsi="仿宋_GB2312" w:cs="仿宋_GB2312" w:hint="eastAsia"/>
          <w:color w:val="FF0000"/>
          <w:sz w:val="32"/>
          <w:szCs w:val="32"/>
        </w:rPr>
      </w:pPr>
      <w:r>
        <w:rPr>
          <w:rStyle w:val="NormalCharacter"/>
          <w:rFonts w:ascii="仿宋_GB2312" w:eastAsia="仿宋_GB2312" w:hAnsi="仿宋_GB2312" w:cs="仿宋_GB2312" w:hint="eastAsia"/>
          <w:sz w:val="32"/>
          <w:szCs w:val="32"/>
        </w:rPr>
        <w:t>③通往屋顶的风楼，层高超过2.2米的，按100％计算征收</w:t>
      </w:r>
      <w:r>
        <w:rPr>
          <w:rStyle w:val="NormalCharacter"/>
          <w:rFonts w:ascii="仿宋_GB2312" w:eastAsia="仿宋_GB2312" w:hAnsi="仿宋_GB2312" w:cs="仿宋_GB2312" w:hint="eastAsia"/>
          <w:sz w:val="32"/>
          <w:szCs w:val="32"/>
        </w:rPr>
        <w:lastRenderedPageBreak/>
        <w:t>面积（层高低于2.2米的，按附属物给予补偿）。</w:t>
      </w:r>
    </w:p>
    <w:p w:rsidR="00C10A17" w:rsidRDefault="00C10A17">
      <w:pPr>
        <w:tabs>
          <w:tab w:val="left" w:pos="4252"/>
          <w:tab w:val="center" w:leader="middleDot" w:pos="8504"/>
        </w:tabs>
        <w:spacing w:line="579" w:lineRule="exact"/>
        <w:ind w:firstLineChars="196" w:firstLine="627"/>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④房屋顶层合法建筑面积为底层合法建筑面积1/3以内的（含），不计入总层数。</w:t>
      </w:r>
    </w:p>
    <w:p w:rsidR="00C10A17" w:rsidRDefault="00C10A17">
      <w:pPr>
        <w:tabs>
          <w:tab w:val="left" w:pos="4252"/>
          <w:tab w:val="center" w:leader="middleDot" w:pos="8504"/>
        </w:tabs>
        <w:spacing w:line="579" w:lineRule="exact"/>
        <w:ind w:firstLineChars="196" w:firstLine="627"/>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（2）对本方案中所列价格有异议、未在征收决定公告规定期限内完成签订协议并按时搬迁的，其被征收房屋建筑面积按国</w:t>
      </w:r>
      <w:r>
        <w:rPr>
          <w:rStyle w:val="NormalCharacter"/>
          <w:rFonts w:ascii="仿宋_GB2312" w:eastAsia="仿宋_GB2312" w:hAnsi="仿宋_GB2312" w:cs="仿宋_GB2312" w:hint="eastAsia"/>
          <w:spacing w:val="-4"/>
          <w:sz w:val="32"/>
          <w:szCs w:val="32"/>
        </w:rPr>
        <w:t>家现行房地产测量规范计算，不再适用上述计算面积的优惠办法。</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二、征收组织实施机构</w:t>
      </w:r>
    </w:p>
    <w:p w:rsidR="00C10A17" w:rsidRDefault="00C10A17" w:rsidP="00847DA5">
      <w:pPr>
        <w:spacing w:line="579" w:lineRule="exact"/>
        <w:ind w:firstLineChars="200" w:firstLine="643"/>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1.房屋征收部门：</w:t>
      </w:r>
      <w:r>
        <w:rPr>
          <w:rStyle w:val="NormalCharacter"/>
          <w:rFonts w:ascii="仿宋_GB2312" w:eastAsia="仿宋_GB2312" w:hAnsi="仿宋_GB2312" w:cs="仿宋_GB2312" w:hint="eastAsia"/>
          <w:sz w:val="32"/>
          <w:szCs w:val="32"/>
        </w:rPr>
        <w:t>泉州市丰泽区住房和城乡建设局。</w:t>
      </w:r>
    </w:p>
    <w:p w:rsidR="00C10A17" w:rsidRDefault="00C10A17" w:rsidP="00847DA5">
      <w:pPr>
        <w:spacing w:line="579" w:lineRule="exact"/>
        <w:ind w:firstLineChars="196" w:firstLine="63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2.征收实施单位：</w:t>
      </w:r>
      <w:r>
        <w:rPr>
          <w:rStyle w:val="NormalCharacter"/>
          <w:rFonts w:ascii="仿宋_GB2312" w:eastAsia="仿宋_GB2312" w:hAnsi="仿宋_GB2312" w:cs="仿宋_GB2312" w:hint="eastAsia"/>
          <w:sz w:val="32"/>
          <w:szCs w:val="32"/>
        </w:rPr>
        <w:t>按属地原则，委托项目所在地丰泽区人民政府城东街道办事处为征收实施单位，承担房屋征收与补偿的具体工作。</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三、签约期限</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签约期限以泉州市丰泽区人民政府发布《城东南滨江片区改造项目（前头社区石改）房屋征收</w:t>
      </w:r>
      <w:r w:rsidR="00847DA5">
        <w:rPr>
          <w:rStyle w:val="NormalCharacter"/>
          <w:rFonts w:eastAsia="仿宋_GB2312" w:hint="eastAsia"/>
          <w:sz w:val="32"/>
          <w:szCs w:val="32"/>
        </w:rPr>
        <w:t>通</w:t>
      </w:r>
      <w:r>
        <w:rPr>
          <w:rStyle w:val="NormalCharacter"/>
          <w:rFonts w:eastAsia="仿宋_GB2312" w:hint="eastAsia"/>
          <w:sz w:val="32"/>
          <w:szCs w:val="32"/>
        </w:rPr>
        <w:t>告》规定的时间为准。</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四、工作流程</w:t>
      </w:r>
    </w:p>
    <w:p w:rsidR="00C10A17" w:rsidRDefault="00C10A17">
      <w:pPr>
        <w:spacing w:line="579" w:lineRule="exact"/>
        <w:ind w:firstLineChars="196" w:firstLine="627"/>
        <w:rPr>
          <w:rStyle w:val="NormalCharacter"/>
          <w:rFonts w:eastAsia="仿宋_GB2312"/>
          <w:sz w:val="32"/>
          <w:szCs w:val="32"/>
        </w:rPr>
      </w:pPr>
      <w:r>
        <w:rPr>
          <w:rStyle w:val="NormalCharacter"/>
          <w:rFonts w:eastAsia="仿宋_GB2312" w:hint="eastAsia"/>
          <w:sz w:val="32"/>
          <w:szCs w:val="32"/>
        </w:rPr>
        <w:t>基本流程分为入户宣传、对未经登记的建筑进行调查认定处理、实地测量、面积核对、签订协议、腾空验收、财务结算（住宅房屋选择产权调换发放选房号）、建筑物拆除、选取安置房、回迁。被征收人应及时提供身份证、户口簿、产权证明材料，配合工作人员办理补偿安置相关工作。</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五、安置地点</w:t>
      </w: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安置房源为美仙山花苑二期（安置房装修及设施标准详见附</w:t>
      </w:r>
      <w:r>
        <w:rPr>
          <w:rStyle w:val="NormalCharacter"/>
          <w:rFonts w:ascii="仿宋_GB2312" w:eastAsia="仿宋_GB2312" w:hAnsi="仿宋_GB2312" w:cs="仿宋_GB2312" w:hint="eastAsia"/>
          <w:sz w:val="32"/>
          <w:szCs w:val="32"/>
        </w:rPr>
        <w:lastRenderedPageBreak/>
        <w:t>件6）。</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六、被征收房屋补偿价格确定办法</w:t>
      </w:r>
    </w:p>
    <w:p w:rsidR="00C10A17" w:rsidRDefault="00C10A17">
      <w:pPr>
        <w:spacing w:line="579" w:lineRule="exact"/>
        <w:ind w:firstLine="645"/>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1.被征收房屋补偿价格确定：</w:t>
      </w:r>
      <w:r>
        <w:rPr>
          <w:rStyle w:val="NormalCharacter"/>
          <w:rFonts w:ascii="仿宋_GB2312" w:eastAsia="仿宋_GB2312" w:hAnsi="仿宋_GB2312" w:cs="仿宋_GB2312" w:hint="eastAsia"/>
          <w:sz w:val="32"/>
          <w:szCs w:val="32"/>
        </w:rPr>
        <w:t>根据泉州市人民政府办公室《关于推进房屋征收货币化安置工作的若干意见》（泉政办〔2017〕28号）的规定，公开招选五家具备相应资质的评估机构进行基准价评估，通过截尾均值的方法确定本房屋征收补偿方案中被征收房屋补偿单价及安置房安置结算价。</w:t>
      </w:r>
    </w:p>
    <w:p w:rsidR="00C10A17" w:rsidRDefault="00C10A17" w:rsidP="00847DA5">
      <w:pPr>
        <w:spacing w:line="579" w:lineRule="exact"/>
        <w:ind w:firstLineChars="196" w:firstLine="63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2.分户补偿评估价：</w:t>
      </w:r>
      <w:r>
        <w:rPr>
          <w:rStyle w:val="NormalCharacter"/>
          <w:rFonts w:ascii="仿宋_GB2312" w:eastAsia="仿宋_GB2312" w:hAnsi="仿宋_GB2312" w:cs="仿宋_GB2312" w:hint="eastAsia"/>
          <w:sz w:val="32"/>
          <w:szCs w:val="32"/>
        </w:rPr>
        <w:t>对本方案所列房屋价值有异议的，可由依法选定的房地产价格评估机构对被征收房屋价值进行评估，评估结果作为补偿依据(选择分户评估的不得再以基准价价值补偿)。选择产权调换的，还应对安置房房屋价值同时进行评估，并计算、结清被征收房屋价值与用于产权调换房屋价值的差价。</w:t>
      </w: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被征收人或者房屋征收部门对房屋评估价值有异议的，可以自收到评估报告之日起10日内向原房地产价格评估机构申请复核。对复核结果仍有异议的，可以自收到复核结果10日内向市房地产价格评估专家委员会申请鉴定。</w:t>
      </w:r>
    </w:p>
    <w:p w:rsidR="00C10A17" w:rsidRDefault="00C10A17">
      <w:pPr>
        <w:spacing w:line="579" w:lineRule="exact"/>
        <w:jc w:val="center"/>
        <w:rPr>
          <w:rStyle w:val="NormalCharacter"/>
          <w:rFonts w:eastAsia="仿宋_GB2312"/>
          <w:b/>
          <w:sz w:val="32"/>
          <w:szCs w:val="32"/>
        </w:rPr>
      </w:pPr>
    </w:p>
    <w:p w:rsidR="00C10A17" w:rsidRDefault="00C10A17">
      <w:pPr>
        <w:spacing w:line="579" w:lineRule="exact"/>
        <w:jc w:val="center"/>
        <w:rPr>
          <w:rStyle w:val="NormalCharacter"/>
          <w:rFonts w:eastAsia="仿宋_GB2312"/>
          <w:b/>
          <w:sz w:val="32"/>
          <w:szCs w:val="32"/>
        </w:rPr>
      </w:pPr>
      <w:r>
        <w:rPr>
          <w:rStyle w:val="NormalCharacter"/>
          <w:rFonts w:eastAsia="仿宋_GB2312" w:hint="eastAsia"/>
          <w:b/>
          <w:sz w:val="32"/>
          <w:szCs w:val="32"/>
        </w:rPr>
        <w:t>第二部分</w:t>
      </w:r>
      <w:r>
        <w:rPr>
          <w:rStyle w:val="NormalCharacter"/>
          <w:rFonts w:eastAsia="仿宋_GB2312"/>
          <w:b/>
          <w:sz w:val="32"/>
          <w:szCs w:val="32"/>
        </w:rPr>
        <w:t xml:space="preserve"> </w:t>
      </w:r>
      <w:r>
        <w:rPr>
          <w:rStyle w:val="NormalCharacter"/>
          <w:rFonts w:eastAsia="仿宋_GB2312" w:hint="eastAsia"/>
          <w:b/>
          <w:sz w:val="32"/>
          <w:szCs w:val="32"/>
        </w:rPr>
        <w:t>房屋权属认定和处理办法</w:t>
      </w:r>
    </w:p>
    <w:p w:rsidR="00C10A17" w:rsidRDefault="00C10A17">
      <w:pPr>
        <w:spacing w:line="579" w:lineRule="exact"/>
        <w:ind w:firstLineChars="200" w:firstLine="640"/>
        <w:rPr>
          <w:rStyle w:val="NormalCharacter"/>
          <w:rFonts w:eastAsia="仿宋_GB2312"/>
          <w:b/>
          <w:kern w:val="0"/>
          <w:sz w:val="32"/>
          <w:szCs w:val="32"/>
        </w:rPr>
      </w:pPr>
      <w:r>
        <w:rPr>
          <w:rStyle w:val="NormalCharacter"/>
          <w:rFonts w:ascii="黑体" w:eastAsia="黑体" w:hAnsi="黑体" w:hint="eastAsia"/>
          <w:sz w:val="32"/>
          <w:szCs w:val="32"/>
        </w:rPr>
        <w:t>七、被征收住宅房屋产权手续认定办法：</w:t>
      </w:r>
    </w:p>
    <w:p w:rsidR="00C10A17" w:rsidRDefault="00C10A17" w:rsidP="00847DA5">
      <w:pPr>
        <w:spacing w:line="579" w:lineRule="exact"/>
        <w:ind w:firstLineChars="200" w:firstLine="643"/>
        <w:rPr>
          <w:rStyle w:val="NormalCharacter"/>
          <w:rFonts w:ascii="仿宋_GB2312" w:eastAsia="仿宋_GB2312" w:hAnsi="仿宋_GB2312" w:cs="仿宋_GB2312" w:hint="eastAsia"/>
          <w:b/>
          <w:kern w:val="0"/>
          <w:sz w:val="32"/>
          <w:szCs w:val="32"/>
        </w:rPr>
      </w:pPr>
      <w:r>
        <w:rPr>
          <w:rStyle w:val="NormalCharacter"/>
          <w:rFonts w:ascii="仿宋_GB2312" w:eastAsia="仿宋_GB2312" w:hAnsi="仿宋_GB2312" w:cs="仿宋_GB2312" w:hint="eastAsia"/>
          <w:b/>
          <w:kern w:val="0"/>
          <w:sz w:val="32"/>
          <w:szCs w:val="32"/>
        </w:rPr>
        <w:t>（一）已登记的住宅房屋的认定和处理办法</w:t>
      </w:r>
      <w:r>
        <w:rPr>
          <w:rStyle w:val="NormalCharacter"/>
          <w:rFonts w:ascii="仿宋_GB2312" w:eastAsia="仿宋_GB2312" w:hAnsi="仿宋_GB2312" w:cs="仿宋_GB2312" w:hint="eastAsia"/>
          <w:kern w:val="0"/>
          <w:sz w:val="32"/>
          <w:szCs w:val="32"/>
        </w:rPr>
        <w:br w:type="textWrapping" w:clear="all"/>
        <w:t xml:space="preserve">    已登记的住宅房屋：指持有有效土地使用权证及房屋所有权证的产权手续完整的住宅房屋，按其所载面积计算补偿安置。</w:t>
      </w:r>
      <w:r>
        <w:rPr>
          <w:rStyle w:val="NormalCharacter"/>
          <w:rFonts w:ascii="仿宋_GB2312" w:eastAsia="仿宋_GB2312" w:hAnsi="仿宋_GB2312" w:cs="仿宋_GB2312" w:hint="eastAsia"/>
          <w:kern w:val="0"/>
          <w:sz w:val="32"/>
          <w:szCs w:val="32"/>
        </w:rPr>
        <w:br w:type="textWrapping" w:clear="all"/>
      </w:r>
      <w:r>
        <w:rPr>
          <w:rStyle w:val="NormalCharacter"/>
          <w:rFonts w:ascii="仿宋_GB2312" w:eastAsia="仿宋_GB2312" w:hAnsi="仿宋_GB2312" w:cs="仿宋_GB2312" w:hint="eastAsia"/>
          <w:b/>
          <w:kern w:val="0"/>
          <w:sz w:val="32"/>
          <w:szCs w:val="32"/>
        </w:rPr>
        <w:lastRenderedPageBreak/>
        <w:t xml:space="preserve">     （二）未登记的住宅房屋的认定和处理办法</w:t>
      </w:r>
    </w:p>
    <w:p w:rsidR="00C10A17" w:rsidRDefault="00C10A17">
      <w:pPr>
        <w:spacing w:line="579" w:lineRule="exact"/>
        <w:ind w:firstLineChars="200"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kern w:val="0"/>
          <w:sz w:val="32"/>
          <w:szCs w:val="32"/>
        </w:rPr>
        <w:t>未登记的住宅房屋严格按照市政府《中心市区国有土地上对未经登记建筑调查认定处理意见》</w:t>
      </w:r>
      <w:r>
        <w:rPr>
          <w:rStyle w:val="NormalCharacter"/>
          <w:rFonts w:ascii="仿宋_GB2312" w:eastAsia="仿宋_GB2312" w:hAnsi="仿宋_GB2312" w:cs="仿宋_GB2312" w:hint="eastAsia"/>
          <w:sz w:val="32"/>
          <w:szCs w:val="32"/>
        </w:rPr>
        <w:t>(泉政办</w:t>
      </w:r>
      <w:r>
        <w:rPr>
          <w:rStyle w:val="NormalCharacter"/>
          <w:rFonts w:ascii="仿宋_GB2312" w:eastAsia="仿宋_GB2312" w:hAnsi="仿宋_GB2312" w:cs="仿宋_GB2312" w:hint="eastAsia"/>
          <w:color w:val="000000"/>
          <w:sz w:val="32"/>
          <w:szCs w:val="32"/>
        </w:rPr>
        <w:t>〔2015〕</w:t>
      </w:r>
      <w:r>
        <w:rPr>
          <w:rStyle w:val="NormalCharacter"/>
          <w:rFonts w:ascii="仿宋_GB2312" w:eastAsia="仿宋_GB2312" w:hAnsi="仿宋_GB2312" w:cs="仿宋_GB2312" w:hint="eastAsia"/>
          <w:sz w:val="32"/>
          <w:szCs w:val="32"/>
        </w:rPr>
        <w:t>112号)办理</w:t>
      </w:r>
      <w:r>
        <w:rPr>
          <w:rStyle w:val="NormalCharacter"/>
          <w:rFonts w:ascii="仿宋_GB2312" w:eastAsia="仿宋_GB2312" w:hAnsi="仿宋_GB2312" w:cs="仿宋_GB2312" w:hint="eastAsia"/>
          <w:kern w:val="0"/>
          <w:sz w:val="32"/>
          <w:szCs w:val="32"/>
        </w:rPr>
        <w:t>。</w:t>
      </w:r>
      <w:r>
        <w:rPr>
          <w:rStyle w:val="NormalCharacter"/>
          <w:rFonts w:ascii="仿宋_GB2312" w:eastAsia="仿宋_GB2312" w:hAnsi="仿宋_GB2312" w:cs="仿宋_GB2312" w:hint="eastAsia"/>
          <w:kern w:val="0"/>
          <w:sz w:val="32"/>
          <w:szCs w:val="32"/>
        </w:rPr>
        <w:br w:type="textWrapping" w:clear="all"/>
        <w:t xml:space="preserve">    1.</w:t>
      </w:r>
      <w:r>
        <w:rPr>
          <w:rStyle w:val="NormalCharacter"/>
          <w:rFonts w:ascii="仿宋_GB2312" w:eastAsia="仿宋_GB2312" w:hAnsi="仿宋_GB2312" w:cs="仿宋_GB2312" w:hint="eastAsia"/>
          <w:color w:val="000000"/>
          <w:sz w:val="32"/>
          <w:szCs w:val="32"/>
        </w:rPr>
        <w:t>未经登记的建筑有下列情形之一的，且属一户一宅对象的住宅房屋，三层以下部分（含三层）可按原批准面积给予补偿：</w:t>
      </w:r>
    </w:p>
    <w:p w:rsidR="00C10A17" w:rsidRDefault="00C10A17">
      <w:pPr>
        <w:spacing w:line="579" w:lineRule="exact"/>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kern w:val="0"/>
          <w:sz w:val="32"/>
          <w:szCs w:val="32"/>
        </w:rPr>
        <w:t xml:space="preserve">    （1）“土改”时县级以上人民政府颁发的《土地房产所有证》记载的住宅房屋；</w:t>
      </w:r>
      <w:r>
        <w:rPr>
          <w:rStyle w:val="NormalCharacter"/>
          <w:rFonts w:ascii="仿宋_GB2312" w:eastAsia="仿宋_GB2312" w:hAnsi="仿宋_GB2312" w:cs="仿宋_GB2312" w:hint="eastAsia"/>
          <w:kern w:val="0"/>
          <w:sz w:val="32"/>
          <w:szCs w:val="32"/>
        </w:rPr>
        <w:br w:type="textWrapping" w:clear="all"/>
        <w:t xml:space="preserve">    （2）1987年1月1日《中华人民共和国土地管理法》实施前，经生产队（村民小组）、大队（村委会）、公社（乡、镇）三级批准基建的住宅房屋；</w:t>
      </w:r>
      <w:r>
        <w:rPr>
          <w:rStyle w:val="NormalCharacter"/>
          <w:rFonts w:ascii="仿宋_GB2312" w:eastAsia="仿宋_GB2312" w:hAnsi="仿宋_GB2312" w:cs="仿宋_GB2312" w:hint="eastAsia"/>
          <w:kern w:val="0"/>
          <w:sz w:val="32"/>
          <w:szCs w:val="32"/>
        </w:rPr>
        <w:br w:type="textWrapping" w:clear="all"/>
        <w:t xml:space="preserve">    （3）1987年1月1日《中华人民共和国土地管理法》实施后至1995年12月25日泉州市人民政府《关于泉州市城市规划区范围内实行统一规划管理的通知》（泉政〔1995〕综309号）实施前，经县级政府批准使用耕地基建的或经乡（镇）级政府批准使用空闲杂地基建的住宅房屋；</w:t>
      </w:r>
      <w:r>
        <w:rPr>
          <w:rStyle w:val="NormalCharacter"/>
          <w:rFonts w:ascii="仿宋_GB2312" w:eastAsia="仿宋_GB2312" w:hAnsi="仿宋_GB2312" w:cs="仿宋_GB2312" w:hint="eastAsia"/>
          <w:kern w:val="0"/>
          <w:sz w:val="32"/>
          <w:szCs w:val="32"/>
        </w:rPr>
        <w:br w:type="textWrapping" w:clear="all"/>
        <w:t xml:space="preserve">    （4）1995年12月25日泉州市人民政府《关于泉州市城市规划区范围内实行统一规划管理的通知》（泉政〔1995〕综309号）实施后，经泉州市城乡规划行政主管部门批准基建的住宅房屋；</w:t>
      </w:r>
      <w:r>
        <w:rPr>
          <w:rStyle w:val="NormalCharacter"/>
          <w:rFonts w:ascii="仿宋_GB2312" w:eastAsia="仿宋_GB2312" w:hAnsi="仿宋_GB2312" w:cs="仿宋_GB2312" w:hint="eastAsia"/>
          <w:kern w:val="0"/>
          <w:sz w:val="32"/>
          <w:szCs w:val="32"/>
        </w:rPr>
        <w:br w:type="textWrapping" w:clear="all"/>
        <w:t xml:space="preserve">    （5）持有市、区土地清查手续及发票（原件）的住宅房屋；</w:t>
      </w:r>
      <w:r>
        <w:rPr>
          <w:rStyle w:val="NormalCharacter"/>
          <w:rFonts w:ascii="仿宋_GB2312" w:eastAsia="仿宋_GB2312" w:hAnsi="仿宋_GB2312" w:cs="仿宋_GB2312" w:hint="eastAsia"/>
          <w:kern w:val="0"/>
          <w:sz w:val="32"/>
          <w:szCs w:val="32"/>
        </w:rPr>
        <w:br w:type="textWrapping" w:clear="all"/>
        <w:t xml:space="preserve">    （6）征收属市（县、区）政府建设项目二次安置自建的住宅房屋；</w:t>
      </w:r>
      <w:r>
        <w:rPr>
          <w:rStyle w:val="NormalCharacter"/>
          <w:rFonts w:ascii="仿宋_GB2312" w:eastAsia="仿宋_GB2312" w:hAnsi="仿宋_GB2312" w:cs="仿宋_GB2312" w:hint="eastAsia"/>
          <w:kern w:val="0"/>
          <w:sz w:val="32"/>
          <w:szCs w:val="32"/>
        </w:rPr>
        <w:br w:type="textWrapping" w:clear="all"/>
      </w:r>
      <w:r>
        <w:rPr>
          <w:rStyle w:val="NormalCharacter"/>
          <w:rFonts w:ascii="仿宋_GB2312" w:eastAsia="仿宋_GB2312" w:hAnsi="仿宋_GB2312" w:cs="仿宋_GB2312" w:hint="eastAsia"/>
          <w:kern w:val="0"/>
          <w:sz w:val="32"/>
          <w:szCs w:val="32"/>
        </w:rPr>
        <w:lastRenderedPageBreak/>
        <w:t xml:space="preserve">    （7）征收属市（区）委、市（区）政府定点新村建设、旧村改造项目自建的住宅房屋；</w:t>
      </w:r>
      <w:r>
        <w:rPr>
          <w:rStyle w:val="NormalCharacter"/>
          <w:rFonts w:ascii="仿宋_GB2312" w:eastAsia="仿宋_GB2312" w:hAnsi="仿宋_GB2312" w:cs="仿宋_GB2312" w:hint="eastAsia"/>
          <w:kern w:val="0"/>
          <w:sz w:val="32"/>
          <w:szCs w:val="32"/>
        </w:rPr>
        <w:br w:type="textWrapping" w:clear="all"/>
        <w:t xml:space="preserve">    （8）根据市委办、市政府办《泉州市违法占地、违法建设认定及分类处置的指导意见》（泉委办发〔2014〕16号）的规定，补办基建审批手续的住宅房屋。</w:t>
      </w:r>
      <w:r>
        <w:rPr>
          <w:rStyle w:val="NormalCharacter"/>
          <w:rFonts w:ascii="仿宋_GB2312" w:eastAsia="仿宋_GB2312" w:hAnsi="仿宋_GB2312" w:cs="仿宋_GB2312" w:hint="eastAsia"/>
          <w:kern w:val="0"/>
          <w:sz w:val="32"/>
          <w:szCs w:val="32"/>
        </w:rPr>
        <w:br w:type="textWrapping" w:clear="all"/>
        <w:t>     2.</w:t>
      </w:r>
      <w:r>
        <w:rPr>
          <w:rStyle w:val="NormalCharacter"/>
          <w:rFonts w:ascii="仿宋_GB2312" w:eastAsia="仿宋_GB2312" w:hAnsi="仿宋_GB2312" w:cs="仿宋_GB2312" w:hint="eastAsia"/>
          <w:color w:val="000000"/>
          <w:sz w:val="32"/>
          <w:szCs w:val="32"/>
        </w:rPr>
        <w:t>对于基建手续不完整的未经登记建筑，但属一户一宅对象的住宅房屋，被征收人在征收决定规定的签约期限内签定协议并搬迁的，本着尊重历史的原则，区分以下情况进行处理：</w:t>
      </w:r>
    </w:p>
    <w:p w:rsidR="00C10A17" w:rsidRDefault="00C10A17">
      <w:pPr>
        <w:spacing w:line="579" w:lineRule="exact"/>
        <w:ind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color w:val="000000"/>
          <w:sz w:val="32"/>
          <w:szCs w:val="32"/>
        </w:rPr>
        <w:t>（1）1987年1月1日《中华人民共和国土地管理法》实施前，经生产队（村民小组）、大队（村委会）二级同意基建的，或已缴交土地款的住宅房屋，可按批准基建用地范围内建筑面积不超过95%给予补偿；</w:t>
      </w:r>
    </w:p>
    <w:p w:rsidR="00C10A17" w:rsidRDefault="00C10A17">
      <w:pPr>
        <w:spacing w:line="579" w:lineRule="exact"/>
        <w:ind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color w:val="000000"/>
          <w:sz w:val="32"/>
          <w:szCs w:val="32"/>
        </w:rPr>
        <w:t>（2）1987年1月1日《中华人民共和国土地管理法》实施后至1995年12月25日泉州市人民政府《关于泉州市城市规划区范围内实行统一规划管理的通知》（泉政〔1995〕综309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90%给予补偿；</w:t>
      </w:r>
    </w:p>
    <w:p w:rsidR="00C10A17" w:rsidRDefault="00C10A17">
      <w:pPr>
        <w:spacing w:line="579" w:lineRule="exact"/>
        <w:ind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color w:val="000000"/>
          <w:sz w:val="32"/>
          <w:szCs w:val="32"/>
        </w:rPr>
        <w:t>（3）1995年12月25日泉州市人民政府《关于泉州市城市规划区范围内实行统一规划管理的通知》（泉政〔1995〕综309</w:t>
      </w:r>
      <w:r>
        <w:rPr>
          <w:rStyle w:val="NormalCharacter"/>
          <w:rFonts w:ascii="仿宋_GB2312" w:eastAsia="仿宋_GB2312" w:hAnsi="仿宋_GB2312" w:cs="仿宋_GB2312" w:hint="eastAsia"/>
          <w:color w:val="000000"/>
          <w:sz w:val="32"/>
          <w:szCs w:val="32"/>
        </w:rPr>
        <w:lastRenderedPageBreak/>
        <w:t>号）实施后至2004年10月1日《泉州市人民政府关于禁止非法占地、违法建设的实施意见》（泉政文〔2004〕277号）前，经大队（村委会）、乡（镇）二级同意，使用原有宅基地、村内空闲地或杂地进行基建的房屋，可按批准基建用地范围内建筑面积不超过85%给予补偿；</w:t>
      </w:r>
    </w:p>
    <w:p w:rsidR="00C10A17" w:rsidRDefault="00C10A17">
      <w:pPr>
        <w:spacing w:line="579" w:lineRule="exact"/>
        <w:ind w:firstLine="640"/>
        <w:rPr>
          <w:rStyle w:val="NormalCharacter"/>
          <w:rFonts w:ascii="仿宋_GB2312" w:eastAsia="仿宋_GB2312" w:hAnsi="仿宋_GB2312" w:cs="仿宋_GB2312" w:hint="eastAsia"/>
          <w:kern w:val="0"/>
          <w:sz w:val="32"/>
          <w:szCs w:val="32"/>
        </w:rPr>
      </w:pPr>
      <w:r>
        <w:rPr>
          <w:rStyle w:val="NormalCharacter"/>
          <w:rFonts w:ascii="仿宋_GB2312" w:eastAsia="仿宋_GB2312" w:hAnsi="仿宋_GB2312" w:cs="仿宋_GB2312" w:hint="eastAsia"/>
          <w:color w:val="000000"/>
          <w:sz w:val="32"/>
          <w:szCs w:val="32"/>
        </w:rPr>
        <w:t>（4）2004年10月1日《泉州市人民政府关于禁止非法占地、违法建设的实施意见》（泉政文〔2004〕277号）实施后基建的房屋，按照市委办、市政府办《泉州市违法占地、违法建设认定及分类处置的指导意见》（泉委办发〔2014〕16号）进行处置。其中，</w:t>
      </w:r>
      <w:r>
        <w:rPr>
          <w:rStyle w:val="NormalCharacter"/>
          <w:rFonts w:ascii="仿宋_GB2312" w:eastAsia="仿宋_GB2312" w:hAnsi="仿宋_GB2312" w:cs="仿宋_GB2312" w:hint="eastAsia"/>
          <w:kern w:val="0"/>
          <w:sz w:val="32"/>
          <w:szCs w:val="32"/>
        </w:rPr>
        <w:t>2004年10月1日至2008年版泉州国土航拍图前基建的房屋，给予材料费补贴（详见附件2）。</w:t>
      </w:r>
    </w:p>
    <w:p w:rsidR="00C10A17" w:rsidRDefault="00C10A17">
      <w:pPr>
        <w:spacing w:line="579" w:lineRule="exact"/>
        <w:ind w:firstLine="640"/>
        <w:rPr>
          <w:rStyle w:val="NormalCharacter"/>
          <w:rFonts w:ascii="仿宋_GB2312" w:eastAsia="仿宋_GB2312" w:hAnsi="仿宋_GB2312" w:cs="仿宋_GB2312" w:hint="eastAsia"/>
          <w:kern w:val="0"/>
          <w:sz w:val="32"/>
          <w:szCs w:val="32"/>
        </w:rPr>
      </w:pPr>
      <w:r>
        <w:rPr>
          <w:rStyle w:val="NormalCharacter"/>
          <w:rFonts w:ascii="仿宋_GB2312" w:eastAsia="仿宋_GB2312" w:hAnsi="仿宋_GB2312" w:cs="仿宋_GB2312" w:hint="eastAsia"/>
          <w:kern w:val="0"/>
          <w:sz w:val="32"/>
          <w:szCs w:val="32"/>
        </w:rPr>
        <w:t>3.未经批准扩建或基建的未登记建筑的认定处理以三层（含三层）为限，三层以上部分一律不认为可补偿面积。按期签订协议并搬迁的，2008年版泉州国土航拍图有体现的给予材料费补贴。</w:t>
      </w:r>
    </w:p>
    <w:p w:rsidR="00C10A17" w:rsidRDefault="00C10A17">
      <w:pPr>
        <w:spacing w:line="579" w:lineRule="exact"/>
        <w:ind w:firstLineChars="150" w:firstLine="480"/>
        <w:jc w:val="left"/>
        <w:rPr>
          <w:rStyle w:val="NormalCharacter"/>
          <w:rFonts w:ascii="仿宋_GB2312" w:eastAsia="仿宋_GB2312" w:hAnsi="仿宋_GB2312" w:cs="仿宋_GB2312" w:hint="eastAsia"/>
          <w:kern w:val="0"/>
          <w:sz w:val="32"/>
          <w:szCs w:val="32"/>
        </w:rPr>
      </w:pPr>
      <w:r>
        <w:rPr>
          <w:rStyle w:val="NormalCharacter"/>
          <w:rFonts w:ascii="仿宋_GB2312" w:eastAsia="仿宋_GB2312" w:hAnsi="仿宋_GB2312" w:cs="仿宋_GB2312" w:hint="eastAsia"/>
          <w:kern w:val="0"/>
          <w:sz w:val="32"/>
          <w:szCs w:val="32"/>
        </w:rPr>
        <w:t xml:space="preserve"> 4.2008年版泉州国土航拍图没有体现的违建住宅房屋一律不予补偿，其建筑用地按土地征收标准予以补偿。</w:t>
      </w:r>
    </w:p>
    <w:p w:rsidR="00C10A17" w:rsidRDefault="00C10A17">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八、未经登记经营性用房的认定和处理办法</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color w:val="000000"/>
          <w:sz w:val="32"/>
          <w:szCs w:val="32"/>
        </w:rPr>
        <w:t>持有合法用地手续，但未经规划、国土、住建部门等行政机关批准，位于主、次干道等作为商业或服务业的房屋，具备店面门面结构连续经营三年以上且征收期间仍在经营，并持有合法的工商营业执照或税务登记证的，可按规定认定为未经登记的经营</w:t>
      </w:r>
      <w:r>
        <w:rPr>
          <w:rStyle w:val="NormalCharacter"/>
          <w:rFonts w:eastAsia="仿宋_GB2312" w:hint="eastAsia"/>
          <w:color w:val="000000"/>
          <w:sz w:val="32"/>
          <w:szCs w:val="32"/>
        </w:rPr>
        <w:lastRenderedPageBreak/>
        <w:t>性用房。</w:t>
      </w:r>
    </w:p>
    <w:p w:rsidR="00C10A17" w:rsidRDefault="00C10A17">
      <w:pPr>
        <w:spacing w:line="579" w:lineRule="exact"/>
        <w:ind w:firstLineChars="200" w:firstLine="640"/>
        <w:rPr>
          <w:rStyle w:val="NormalCharacter"/>
          <w:rFonts w:eastAsia="仿宋_GB2312"/>
          <w:sz w:val="32"/>
          <w:szCs w:val="32"/>
        </w:rPr>
      </w:pPr>
    </w:p>
    <w:p w:rsidR="00C10A17" w:rsidRDefault="00C10A17">
      <w:pPr>
        <w:spacing w:line="579" w:lineRule="exact"/>
        <w:jc w:val="center"/>
        <w:rPr>
          <w:rStyle w:val="NormalCharacter"/>
          <w:rFonts w:eastAsia="仿宋_GB2312"/>
          <w:b/>
          <w:sz w:val="32"/>
          <w:szCs w:val="32"/>
        </w:rPr>
      </w:pPr>
      <w:r>
        <w:rPr>
          <w:rStyle w:val="NormalCharacter"/>
          <w:rFonts w:eastAsia="仿宋_GB2312" w:hint="eastAsia"/>
          <w:b/>
          <w:sz w:val="32"/>
          <w:szCs w:val="32"/>
        </w:rPr>
        <w:t>第三部分</w:t>
      </w:r>
      <w:r>
        <w:rPr>
          <w:rStyle w:val="NormalCharacter"/>
          <w:rFonts w:eastAsia="仿宋_GB2312"/>
          <w:b/>
          <w:sz w:val="32"/>
          <w:szCs w:val="32"/>
        </w:rPr>
        <w:t xml:space="preserve"> </w:t>
      </w:r>
      <w:r>
        <w:rPr>
          <w:rStyle w:val="NormalCharacter"/>
          <w:rFonts w:eastAsia="仿宋_GB2312" w:hint="eastAsia"/>
          <w:b/>
          <w:sz w:val="32"/>
          <w:szCs w:val="32"/>
        </w:rPr>
        <w:t>货币补偿及优惠奖励办法</w:t>
      </w:r>
    </w:p>
    <w:p w:rsidR="00C10A17" w:rsidRDefault="00C10A17">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九、基本原则</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被征收房屋货币补偿总额包括被征收房屋价值补偿（含土地补偿、建安费用补偿和装修装饰补偿）、被征收人搬迁补助、临时安置补助及相关奖励款项等。被征收人可以选择按本方案所列相应类别房屋的基准价格进行货币补偿，也可以要求进行分户评估，按分户评估结果结合产权调查认定规定进行货币补偿。选择分户评估的不得再以基准价价值补偿，不享受本方案其他优惠奖励办法。</w:t>
      </w:r>
    </w:p>
    <w:p w:rsidR="00C10A17" w:rsidRDefault="00C10A17">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十、货币补偿标准</w:t>
      </w:r>
    </w:p>
    <w:p w:rsidR="00C10A17" w:rsidRDefault="00C10A17">
      <w:pPr>
        <w:spacing w:line="579" w:lineRule="exact"/>
        <w:ind w:firstLineChars="200" w:firstLine="640"/>
        <w:rPr>
          <w:rStyle w:val="NormalCharacter"/>
          <w:rFonts w:ascii="仿宋_GB2312" w:eastAsia="仿宋_GB2312" w:hAnsi="仿宋_GB2312" w:cs="仿宋_GB2312" w:hint="eastAsia"/>
          <w:b/>
          <w:sz w:val="32"/>
          <w:szCs w:val="32"/>
        </w:rPr>
      </w:pPr>
      <w:r>
        <w:rPr>
          <w:rStyle w:val="NormalCharacter"/>
          <w:rFonts w:ascii="仿宋_GB2312" w:eastAsia="仿宋_GB2312" w:hAnsi="仿宋_GB2312" w:cs="仿宋_GB2312" w:hint="eastAsia"/>
          <w:sz w:val="32"/>
          <w:szCs w:val="32"/>
        </w:rPr>
        <w:t>采取基准价格补偿的，被征收房屋价值补偿单价（含土地使用权）分类补偿标准如下：</w:t>
      </w:r>
    </w:p>
    <w:p w:rsidR="00C10A17" w:rsidRDefault="00C10A17" w:rsidP="00847DA5">
      <w:pPr>
        <w:spacing w:line="579" w:lineRule="exact"/>
        <w:ind w:firstLineChars="196" w:firstLine="63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1.住宅的补偿标准：</w:t>
      </w:r>
      <w:r>
        <w:rPr>
          <w:rStyle w:val="NormalCharacter"/>
          <w:rFonts w:ascii="仿宋_GB2312" w:eastAsia="仿宋_GB2312" w:hAnsi="仿宋_GB2312" w:cs="仿宋_GB2312" w:hint="eastAsia"/>
          <w:sz w:val="32"/>
          <w:szCs w:val="32"/>
        </w:rPr>
        <w:t>本方案第七条、第八条所列各类住宅房屋按相应补偿单价计算（详见附件1）。被征收房屋装修补偿单价单独计算（详见附件4）。</w:t>
      </w:r>
    </w:p>
    <w:p w:rsidR="00C10A17" w:rsidRDefault="00C10A17" w:rsidP="00847DA5">
      <w:pPr>
        <w:spacing w:line="579" w:lineRule="exact"/>
        <w:ind w:firstLineChars="200" w:firstLine="643"/>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sz w:val="32"/>
          <w:szCs w:val="32"/>
        </w:rPr>
        <w:t>2.未经登记经营性用房的补偿标准:</w:t>
      </w:r>
    </w:p>
    <w:p w:rsidR="00C10A17" w:rsidRDefault="00C10A17">
      <w:pPr>
        <w:spacing w:line="579" w:lineRule="exact"/>
        <w:ind w:firstLineChars="200" w:firstLine="640"/>
        <w:rPr>
          <w:rStyle w:val="NormalCharacter"/>
          <w:rFonts w:ascii="仿宋_GB2312" w:eastAsia="仿宋_GB2312" w:hAnsi="仿宋_GB2312" w:cs="仿宋_GB2312" w:hint="eastAsia"/>
          <w:kern w:val="0"/>
          <w:sz w:val="32"/>
          <w:szCs w:val="32"/>
        </w:rPr>
      </w:pPr>
      <w:r>
        <w:rPr>
          <w:rStyle w:val="NormalCharacter"/>
          <w:rFonts w:ascii="仿宋_GB2312" w:eastAsia="仿宋_GB2312" w:hAnsi="仿宋_GB2312" w:cs="仿宋_GB2312" w:hint="eastAsia"/>
          <w:color w:val="000000"/>
          <w:sz w:val="32"/>
          <w:szCs w:val="32"/>
        </w:rPr>
        <w:t>位于主、次干道，</w:t>
      </w:r>
      <w:r>
        <w:rPr>
          <w:rStyle w:val="NormalCharacter"/>
          <w:rFonts w:ascii="仿宋_GB2312" w:eastAsia="仿宋_GB2312" w:hAnsi="仿宋_GB2312" w:cs="仿宋_GB2312" w:hint="eastAsia"/>
          <w:kern w:val="0"/>
          <w:sz w:val="32"/>
          <w:szCs w:val="32"/>
        </w:rPr>
        <w:t>利用房屋改为经营性用房的，按原房屋性质给予补偿，并按认定经营性用房面积给予</w:t>
      </w:r>
      <w:r>
        <w:rPr>
          <w:rStyle w:val="NormalCharacter"/>
          <w:rFonts w:ascii="仿宋_GB2312" w:eastAsia="仿宋_GB2312" w:hAnsi="仿宋_GB2312" w:cs="仿宋_GB2312" w:hint="eastAsia"/>
          <w:sz w:val="32"/>
          <w:szCs w:val="32"/>
        </w:rPr>
        <w:t>一次性终止经营</w:t>
      </w:r>
      <w:r>
        <w:rPr>
          <w:rStyle w:val="NormalCharacter"/>
          <w:rFonts w:ascii="仿宋_GB2312" w:eastAsia="仿宋_GB2312" w:hAnsi="仿宋_GB2312" w:cs="仿宋_GB2312" w:hint="eastAsia"/>
          <w:kern w:val="0"/>
          <w:sz w:val="32"/>
          <w:szCs w:val="32"/>
        </w:rPr>
        <w:t>补贴。</w:t>
      </w: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经营性用房进深以原建筑结构临街或临主要道路第一层第一自然间计算，进深最多不得超过8米。</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sz w:val="32"/>
          <w:szCs w:val="32"/>
        </w:rPr>
        <w:lastRenderedPageBreak/>
        <w:t xml:space="preserve"> </w:t>
      </w:r>
    </w:p>
    <w:p w:rsidR="00C10A17" w:rsidRDefault="00C10A17">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十一、货币补偿优惠奖励办法</w:t>
      </w:r>
    </w:p>
    <w:p w:rsidR="00C10A17" w:rsidRDefault="00C10A17">
      <w:pPr>
        <w:spacing w:line="579" w:lineRule="exact"/>
        <w:ind w:leftChars="-1" w:left="-2"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货币补偿优惠奖励办法依照市政府《在中心市区国有土地上实施房屋征收补偿的指导意见》(泉政办</w:t>
      </w:r>
      <w:r>
        <w:rPr>
          <w:rStyle w:val="NormalCharacter"/>
          <w:rFonts w:ascii="仿宋_GB2312" w:eastAsia="仿宋_GB2312" w:hAnsi="仿宋_GB2312" w:cs="仿宋_GB2312" w:hint="eastAsia"/>
          <w:color w:val="000000"/>
          <w:sz w:val="32"/>
          <w:szCs w:val="32"/>
        </w:rPr>
        <w:t>〔2015〕</w:t>
      </w:r>
      <w:r>
        <w:rPr>
          <w:rStyle w:val="NormalCharacter"/>
          <w:rFonts w:ascii="仿宋_GB2312" w:eastAsia="仿宋_GB2312" w:hAnsi="仿宋_GB2312" w:cs="仿宋_GB2312" w:hint="eastAsia"/>
          <w:sz w:val="32"/>
          <w:szCs w:val="32"/>
        </w:rPr>
        <w:t>112号)办理。其中:</w:t>
      </w: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kern w:val="0"/>
          <w:sz w:val="32"/>
          <w:szCs w:val="32"/>
        </w:rPr>
        <w:t>对在签约期限内全部选择货币补偿方式、签订协议并搬迁的被征收人，给予每平方米被征收住宅房屋评估价值单价20%的货币补偿方式奖励；对征收非住宅房屋给予每平方米评估价值单价10%的货币补偿方式奖励</w:t>
      </w:r>
      <w:r>
        <w:rPr>
          <w:rStyle w:val="NormalCharacter"/>
          <w:rFonts w:ascii="仿宋_GB2312" w:eastAsia="仿宋_GB2312" w:hAnsi="仿宋_GB2312" w:cs="仿宋_GB2312" w:hint="eastAsia"/>
          <w:sz w:val="32"/>
          <w:szCs w:val="32"/>
        </w:rPr>
        <w:t>。</w:t>
      </w: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color w:val="000000"/>
          <w:sz w:val="32"/>
          <w:szCs w:val="32"/>
        </w:rPr>
        <w:t>2.属民政部门认定的低保对象且</w:t>
      </w:r>
      <w:r>
        <w:rPr>
          <w:rStyle w:val="NormalCharacter"/>
          <w:rFonts w:ascii="仿宋_GB2312" w:eastAsia="仿宋_GB2312" w:hAnsi="仿宋_GB2312" w:cs="仿宋_GB2312" w:hint="eastAsia"/>
          <w:sz w:val="32"/>
          <w:szCs w:val="32"/>
        </w:rPr>
        <w:t>在中心市区无其他住房的被征收人，其全部选择货币补偿方式，若其被征收房屋人均建筑面积不足20平方米，则被征收房屋价值补偿款按人均建筑面积20平方米补足。“人均”的计算公式为：人均建筑面积=认定的可以补偿建筑面积÷征收决定作出前被征收房屋户口簿记载的人口数（被征收房屋户口簿记载的人口需为被征收房屋所有权人的直系亲属且为常住人口）。</w:t>
      </w:r>
    </w:p>
    <w:p w:rsidR="00C10A17" w:rsidRDefault="00C10A17">
      <w:pPr>
        <w:spacing w:line="579" w:lineRule="exact"/>
        <w:ind w:firstLineChars="200" w:firstLine="640"/>
        <w:rPr>
          <w:rStyle w:val="NormalCharacter"/>
          <w:rFonts w:eastAsia="仿宋_GB2312"/>
          <w:color w:val="000000"/>
          <w:sz w:val="32"/>
          <w:szCs w:val="32"/>
        </w:rPr>
      </w:pPr>
    </w:p>
    <w:p w:rsidR="00C10A17" w:rsidRDefault="00C10A17" w:rsidP="00847DA5">
      <w:pPr>
        <w:spacing w:line="579" w:lineRule="exact"/>
        <w:ind w:leftChars="-1" w:left="-2" w:firstLineChars="196" w:firstLine="630"/>
        <w:jc w:val="center"/>
        <w:rPr>
          <w:rStyle w:val="NormalCharacter"/>
          <w:rFonts w:eastAsia="仿宋_GB2312"/>
          <w:sz w:val="32"/>
          <w:szCs w:val="32"/>
        </w:rPr>
      </w:pPr>
      <w:r>
        <w:rPr>
          <w:rStyle w:val="NormalCharacter"/>
          <w:rFonts w:eastAsia="仿宋_GB2312" w:hint="eastAsia"/>
          <w:b/>
          <w:sz w:val="32"/>
          <w:szCs w:val="32"/>
        </w:rPr>
        <w:t>第四部分</w:t>
      </w:r>
      <w:r>
        <w:rPr>
          <w:rStyle w:val="NormalCharacter"/>
          <w:rFonts w:eastAsia="仿宋_GB2312"/>
          <w:b/>
          <w:sz w:val="32"/>
          <w:szCs w:val="32"/>
        </w:rPr>
        <w:t xml:space="preserve"> </w:t>
      </w:r>
      <w:r>
        <w:rPr>
          <w:rStyle w:val="NormalCharacter"/>
          <w:rFonts w:eastAsia="仿宋_GB2312" w:hint="eastAsia"/>
          <w:b/>
          <w:sz w:val="32"/>
          <w:szCs w:val="32"/>
        </w:rPr>
        <w:t>住宅产权调换结算及保障办法</w:t>
      </w:r>
    </w:p>
    <w:p w:rsidR="00C10A17" w:rsidRDefault="00C10A17">
      <w:pPr>
        <w:spacing w:line="579" w:lineRule="exact"/>
        <w:rPr>
          <w:rStyle w:val="NormalCharacter"/>
          <w:rFonts w:ascii="仿宋_GB2312" w:eastAsia="仿宋_GB2312" w:hAnsi="仿宋_GB2312" w:cs="仿宋_GB2312" w:hint="eastAsia"/>
          <w:kern w:val="0"/>
          <w:sz w:val="32"/>
          <w:szCs w:val="32"/>
        </w:rPr>
      </w:pPr>
      <w:r>
        <w:rPr>
          <w:rStyle w:val="NormalCharacter"/>
          <w:rFonts w:ascii="黑体" w:eastAsia="黑体" w:hAnsi="黑体"/>
          <w:sz w:val="32"/>
          <w:szCs w:val="32"/>
        </w:rPr>
        <w:t xml:space="preserve">    </w:t>
      </w:r>
      <w:r>
        <w:rPr>
          <w:rStyle w:val="NormalCharacter"/>
          <w:rFonts w:ascii="黑体" w:eastAsia="黑体" w:hAnsi="黑体" w:hint="eastAsia"/>
          <w:sz w:val="32"/>
          <w:szCs w:val="32"/>
        </w:rPr>
        <w:t>十二、基本原则</w:t>
      </w:r>
      <w:r>
        <w:rPr>
          <w:rStyle w:val="NormalCharacter"/>
          <w:rFonts w:eastAsia="仿宋_GB2312"/>
          <w:b/>
          <w:kern w:val="0"/>
          <w:sz w:val="32"/>
          <w:szCs w:val="32"/>
        </w:rPr>
        <w:br w:type="textWrapping" w:clear="all"/>
        <w:t xml:space="preserve">   </w:t>
      </w:r>
      <w:r>
        <w:rPr>
          <w:rStyle w:val="NormalCharacter"/>
          <w:rFonts w:ascii="仿宋_GB2312" w:eastAsia="仿宋_GB2312" w:hAnsi="仿宋_GB2312" w:cs="仿宋_GB2312" w:hint="eastAsia"/>
          <w:b/>
          <w:kern w:val="0"/>
          <w:sz w:val="32"/>
          <w:szCs w:val="32"/>
        </w:rPr>
        <w:t xml:space="preserve"> </w:t>
      </w:r>
      <w:r>
        <w:rPr>
          <w:rStyle w:val="NormalCharacter"/>
          <w:rFonts w:ascii="仿宋_GB2312" w:eastAsia="仿宋_GB2312" w:hAnsi="仿宋_GB2312" w:cs="仿宋_GB2312" w:hint="eastAsia"/>
          <w:kern w:val="0"/>
          <w:sz w:val="32"/>
          <w:szCs w:val="32"/>
        </w:rPr>
        <w:t>依法实行房屋等价置换，即先计算货币补偿，再进行有条件限量等价值产权调换。</w:t>
      </w:r>
      <w:r>
        <w:rPr>
          <w:rStyle w:val="NormalCharacter"/>
          <w:rFonts w:ascii="仿宋_GB2312" w:eastAsia="仿宋_GB2312" w:hAnsi="仿宋_GB2312" w:cs="仿宋_GB2312" w:hint="eastAsia"/>
          <w:kern w:val="0"/>
          <w:sz w:val="32"/>
          <w:szCs w:val="32"/>
        </w:rPr>
        <w:br w:type="textWrapping" w:clear="all"/>
        <w:t xml:space="preserve">    1.持有登记完整房屋产权手续的，可以按其办证面积申请产</w:t>
      </w:r>
      <w:r>
        <w:rPr>
          <w:rStyle w:val="NormalCharacter"/>
          <w:rFonts w:ascii="仿宋_GB2312" w:eastAsia="仿宋_GB2312" w:hAnsi="仿宋_GB2312" w:cs="仿宋_GB2312" w:hint="eastAsia"/>
          <w:kern w:val="0"/>
          <w:sz w:val="32"/>
          <w:szCs w:val="32"/>
        </w:rPr>
        <w:lastRenderedPageBreak/>
        <w:t>权调换；</w:t>
      </w:r>
      <w:r>
        <w:rPr>
          <w:rStyle w:val="NormalCharacter"/>
          <w:rFonts w:ascii="仿宋_GB2312" w:eastAsia="仿宋_GB2312" w:hAnsi="仿宋_GB2312" w:cs="仿宋_GB2312" w:hint="eastAsia"/>
          <w:kern w:val="0"/>
          <w:sz w:val="32"/>
          <w:szCs w:val="32"/>
        </w:rPr>
        <w:br w:type="textWrapping" w:clear="all"/>
      </w:r>
      <w:r>
        <w:rPr>
          <w:rStyle w:val="NormalCharacter"/>
          <w:rFonts w:eastAsia="仿宋_GB2312"/>
          <w:kern w:val="0"/>
          <w:sz w:val="32"/>
          <w:szCs w:val="32"/>
        </w:rPr>
        <w:t xml:space="preserve">   </w:t>
      </w:r>
      <w:r>
        <w:rPr>
          <w:rStyle w:val="NormalCharacter"/>
          <w:rFonts w:ascii="仿宋_GB2312" w:eastAsia="仿宋_GB2312" w:hAnsi="仿宋_GB2312" w:cs="仿宋_GB2312" w:hint="eastAsia"/>
          <w:kern w:val="0"/>
          <w:sz w:val="32"/>
          <w:szCs w:val="32"/>
        </w:rPr>
        <w:t xml:space="preserve"> 2.未办理房屋所有权登记手续的，根据《土地管理法》《城乡规划法》等法律法规有关规定，严格按“一户一宅”控制产权调换面积,合理控制被征收人选择房屋产权调换的面积,原则上被征收房屋选择产权调换的部分以用地面积120㎡（使用山坡地或杂地建设的房屋，其认定可以产权调换的用地面积最高为150㎡），建筑层数三层以内（含三层）为限被征收人选择房屋产权调换的，超过部分实行货币补偿。</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十三、产权调换结算办法</w:t>
      </w:r>
    </w:p>
    <w:p w:rsidR="00C10A17" w:rsidRDefault="00C10A17">
      <w:pPr>
        <w:spacing w:line="579" w:lineRule="exact"/>
        <w:ind w:leftChars="-1" w:left="-2"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对在签约期限内签订协议并搬迁的被征收人，按以下办法进行结算：</w:t>
      </w:r>
    </w:p>
    <w:p w:rsidR="00C10A17" w:rsidRDefault="00C10A17">
      <w:pPr>
        <w:spacing w:line="579" w:lineRule="exact"/>
        <w:ind w:firstLineChars="200" w:firstLine="640"/>
        <w:rPr>
          <w:rStyle w:val="NormalCharacter"/>
          <w:rFonts w:ascii="仿宋_GB2312" w:eastAsia="仿宋_GB2312" w:hAnsi="仿宋_GB2312" w:cs="仿宋_GB2312" w:hint="eastAsia"/>
          <w:kern w:val="0"/>
          <w:sz w:val="32"/>
          <w:szCs w:val="32"/>
        </w:rPr>
      </w:pPr>
      <w:r>
        <w:rPr>
          <w:rStyle w:val="NormalCharacter"/>
          <w:rFonts w:ascii="仿宋_GB2312" w:eastAsia="仿宋_GB2312" w:hAnsi="仿宋_GB2312" w:cs="仿宋_GB2312" w:hint="eastAsia"/>
          <w:kern w:val="0"/>
          <w:sz w:val="32"/>
          <w:szCs w:val="32"/>
        </w:rPr>
        <w:t>1.本方案</w:t>
      </w:r>
      <w:r>
        <w:rPr>
          <w:rStyle w:val="NormalCharacter"/>
          <w:rFonts w:ascii="仿宋_GB2312" w:eastAsia="仿宋_GB2312" w:hAnsi="仿宋_GB2312" w:cs="仿宋_GB2312" w:hint="eastAsia"/>
          <w:sz w:val="32"/>
          <w:szCs w:val="32"/>
        </w:rPr>
        <w:t>拟安置房源存量安置房评估基准价格为</w:t>
      </w:r>
      <w:r>
        <w:rPr>
          <w:rStyle w:val="NormalCharacter"/>
          <w:rFonts w:ascii="仿宋_GB2312" w:eastAsia="仿宋_GB2312" w:hAnsi="仿宋_GB2312" w:cs="仿宋_GB2312" w:hint="eastAsia"/>
          <w:color w:val="000000"/>
          <w:sz w:val="32"/>
          <w:szCs w:val="32"/>
        </w:rPr>
        <w:t>8451</w:t>
      </w:r>
      <w:r>
        <w:rPr>
          <w:rStyle w:val="NormalCharacter"/>
          <w:rFonts w:ascii="仿宋_GB2312" w:eastAsia="仿宋_GB2312" w:hAnsi="仿宋_GB2312" w:cs="仿宋_GB2312" w:hint="eastAsia"/>
          <w:sz w:val="32"/>
          <w:szCs w:val="32"/>
        </w:rPr>
        <w:t>元/㎡。在签约期限内签订协议并搬迁，选择产权调换的安置房优惠后的结算价格为</w:t>
      </w:r>
      <w:r>
        <w:rPr>
          <w:rStyle w:val="NormalCharacter"/>
          <w:rFonts w:ascii="仿宋_GB2312" w:eastAsia="仿宋_GB2312" w:hAnsi="仿宋_GB2312" w:cs="仿宋_GB2312" w:hint="eastAsia"/>
          <w:color w:val="000000"/>
          <w:sz w:val="32"/>
          <w:szCs w:val="32"/>
        </w:rPr>
        <w:t>6593</w:t>
      </w:r>
      <w:r>
        <w:rPr>
          <w:rStyle w:val="NormalCharacter"/>
          <w:rFonts w:ascii="仿宋_GB2312" w:eastAsia="仿宋_GB2312" w:hAnsi="仿宋_GB2312" w:cs="仿宋_GB2312" w:hint="eastAsia"/>
          <w:sz w:val="32"/>
          <w:szCs w:val="32"/>
        </w:rPr>
        <w:t>元/㎡。</w:t>
      </w: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kern w:val="0"/>
          <w:sz w:val="32"/>
          <w:szCs w:val="32"/>
        </w:rPr>
        <w:t>2.</w:t>
      </w:r>
      <w:r>
        <w:rPr>
          <w:rStyle w:val="NormalCharacter"/>
          <w:rFonts w:ascii="仿宋_GB2312" w:eastAsia="仿宋_GB2312" w:hAnsi="仿宋_GB2312" w:cs="仿宋_GB2312" w:hint="eastAsia"/>
          <w:sz w:val="32"/>
          <w:szCs w:val="32"/>
        </w:rPr>
        <w:t>根据本方案可选择产权调换的房屋，按补偿单价计算的补偿价值应在选房时结算，但房屋补偿价值超过安置房价值部分的金额，可与附属物（清点的附属物单价详见附件5）等补偿款按规定发放。</w:t>
      </w:r>
    </w:p>
    <w:p w:rsidR="00C10A17" w:rsidRDefault="00C10A17">
      <w:pPr>
        <w:spacing w:line="579" w:lineRule="exact"/>
        <w:ind w:firstLineChars="200" w:firstLine="640"/>
        <w:rPr>
          <w:rStyle w:val="NormalCharacter"/>
          <w:rFonts w:ascii="仿宋_GB2312" w:eastAsia="仿宋_GB2312" w:hAnsi="仿宋_GB2312" w:cs="仿宋_GB2312" w:hint="eastAsia"/>
          <w:kern w:val="0"/>
          <w:sz w:val="32"/>
          <w:szCs w:val="32"/>
        </w:rPr>
      </w:pPr>
      <w:r>
        <w:rPr>
          <w:rStyle w:val="NormalCharacter"/>
          <w:rFonts w:ascii="仿宋_GB2312" w:eastAsia="仿宋_GB2312" w:hAnsi="仿宋_GB2312" w:cs="仿宋_GB2312" w:hint="eastAsia"/>
          <w:sz w:val="32"/>
          <w:szCs w:val="32"/>
        </w:rPr>
        <w:t>3.</w:t>
      </w:r>
      <w:r>
        <w:rPr>
          <w:rStyle w:val="NormalCharacter"/>
          <w:rFonts w:ascii="仿宋_GB2312" w:eastAsia="仿宋_GB2312" w:hAnsi="仿宋_GB2312" w:cs="仿宋_GB2312" w:hint="eastAsia"/>
          <w:kern w:val="0"/>
          <w:sz w:val="32"/>
          <w:szCs w:val="32"/>
        </w:rPr>
        <w:t>原则上每个产权户（即每个选房号）所选安置房屋面积应与其可产权调换的安置面积一致。但因安置房户型、结构等原因，安置房建筑面积超过其可产权调换的安置房屋面积的在20㎡以内（含20㎡），按</w:t>
      </w:r>
      <w:r>
        <w:rPr>
          <w:rStyle w:val="NormalCharacter"/>
          <w:rFonts w:ascii="仿宋_GB2312" w:eastAsia="仿宋_GB2312" w:hAnsi="仿宋_GB2312" w:cs="仿宋_GB2312" w:hint="eastAsia"/>
          <w:color w:val="000000"/>
          <w:sz w:val="32"/>
          <w:szCs w:val="32"/>
        </w:rPr>
        <w:t xml:space="preserve"> 6593</w:t>
      </w:r>
      <w:r>
        <w:rPr>
          <w:rStyle w:val="NormalCharacter"/>
          <w:rFonts w:ascii="仿宋_GB2312" w:eastAsia="仿宋_GB2312" w:hAnsi="仿宋_GB2312" w:cs="仿宋_GB2312" w:hint="eastAsia"/>
          <w:kern w:val="0"/>
          <w:sz w:val="32"/>
          <w:szCs w:val="32"/>
        </w:rPr>
        <w:t>元/㎡计算；超过20㎡（不含20㎡）</w:t>
      </w:r>
      <w:r>
        <w:rPr>
          <w:rStyle w:val="NormalCharacter"/>
          <w:rFonts w:ascii="仿宋_GB2312" w:eastAsia="仿宋_GB2312" w:hAnsi="仿宋_GB2312" w:cs="仿宋_GB2312" w:hint="eastAsia"/>
          <w:kern w:val="0"/>
          <w:sz w:val="32"/>
          <w:szCs w:val="32"/>
        </w:rPr>
        <w:lastRenderedPageBreak/>
        <w:t>以上的部分，按本方案安置房结算价8451元/㎡结算。</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十四、产权调换选房办法</w:t>
      </w:r>
    </w:p>
    <w:p w:rsidR="00C10A17" w:rsidRDefault="00C10A17">
      <w:pPr>
        <w:spacing w:line="579" w:lineRule="exact"/>
        <w:ind w:firstLineChars="200"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color w:val="000000"/>
          <w:sz w:val="32"/>
          <w:szCs w:val="32"/>
        </w:rPr>
        <w:t>实行“先签订协议并搬迁腾空，先选房”原则。由征收单位发给《房屋搬迁腾空验收登记表》，经公示无异议后，被征收人凭《房屋搬迁腾空验收登记表》，换取《征收补偿安置证顺序号》。安置时被征收人凭《征收补偿安置证顺序号》按顺序选房并签订选房安置协议。</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十五、住房困难户保障办法</w:t>
      </w:r>
    </w:p>
    <w:p w:rsidR="00C10A17" w:rsidRDefault="00C10A17">
      <w:pPr>
        <w:spacing w:line="579" w:lineRule="exact"/>
        <w:ind w:firstLineChars="196" w:firstLine="627"/>
        <w:rPr>
          <w:rStyle w:val="NormalCharacter"/>
          <w:rFonts w:eastAsia="仿宋_GB2312"/>
          <w:sz w:val="32"/>
          <w:szCs w:val="32"/>
        </w:rPr>
      </w:pPr>
      <w:r>
        <w:rPr>
          <w:rStyle w:val="NormalCharacter"/>
          <w:rFonts w:eastAsia="仿宋_GB2312" w:hint="eastAsia"/>
          <w:sz w:val="32"/>
          <w:szCs w:val="32"/>
        </w:rPr>
        <w:t>根据有关政策结合实际情况，对在搬迁期限内签订协议并按期搬迁的，依据相关规定予以办理。</w:t>
      </w:r>
    </w:p>
    <w:p w:rsidR="00C10A17" w:rsidRDefault="00C10A17">
      <w:pPr>
        <w:spacing w:line="579" w:lineRule="exact"/>
        <w:ind w:firstLineChars="196" w:firstLine="627"/>
        <w:rPr>
          <w:rStyle w:val="NormalCharacter"/>
          <w:rFonts w:eastAsia="仿宋_GB2312"/>
          <w:sz w:val="32"/>
          <w:szCs w:val="32"/>
        </w:rPr>
      </w:pPr>
    </w:p>
    <w:p w:rsidR="00C10A17" w:rsidRDefault="00C10A17">
      <w:pPr>
        <w:spacing w:line="579" w:lineRule="exact"/>
        <w:jc w:val="center"/>
        <w:rPr>
          <w:rStyle w:val="NormalCharacter"/>
          <w:rFonts w:eastAsia="仿宋_GB2312"/>
          <w:b/>
          <w:sz w:val="32"/>
          <w:szCs w:val="32"/>
        </w:rPr>
      </w:pPr>
      <w:r>
        <w:rPr>
          <w:rStyle w:val="NormalCharacter"/>
          <w:rFonts w:eastAsia="仿宋_GB2312" w:hint="eastAsia"/>
          <w:b/>
          <w:sz w:val="32"/>
          <w:szCs w:val="32"/>
        </w:rPr>
        <w:t>第五部分</w:t>
      </w:r>
      <w:r>
        <w:rPr>
          <w:rStyle w:val="NormalCharacter"/>
          <w:rFonts w:eastAsia="仿宋_GB2312"/>
          <w:b/>
          <w:sz w:val="32"/>
          <w:szCs w:val="32"/>
        </w:rPr>
        <w:t xml:space="preserve"> </w:t>
      </w:r>
      <w:r>
        <w:rPr>
          <w:rStyle w:val="NormalCharacter"/>
          <w:rFonts w:eastAsia="仿宋_GB2312" w:hint="eastAsia"/>
          <w:b/>
          <w:sz w:val="32"/>
          <w:szCs w:val="32"/>
        </w:rPr>
        <w:t>搬迁费、现房安置临时安置费标准</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十六、搬迁奖励</w:t>
      </w:r>
    </w:p>
    <w:p w:rsidR="00C10A17" w:rsidRDefault="00C10A17">
      <w:pPr>
        <w:spacing w:line="579" w:lineRule="exact"/>
        <w:ind w:leftChars="-1" w:left="-2" w:firstLineChars="200" w:firstLine="640"/>
        <w:rPr>
          <w:rStyle w:val="NormalCharacter"/>
          <w:rFonts w:eastAsia="仿宋_GB2312"/>
          <w:b/>
          <w:sz w:val="32"/>
          <w:szCs w:val="32"/>
        </w:rPr>
      </w:pPr>
      <w:r>
        <w:rPr>
          <w:rStyle w:val="NormalCharacter"/>
          <w:rFonts w:eastAsia="仿宋_GB2312" w:hint="eastAsia"/>
          <w:sz w:val="32"/>
          <w:szCs w:val="32"/>
        </w:rPr>
        <w:t>对在签约期限内签订协议并搬迁经腾空验收合格的被征收人，房屋征收部门可以给予每产权户最高</w:t>
      </w:r>
      <w:r>
        <w:rPr>
          <w:rStyle w:val="NormalCharacter"/>
          <w:rFonts w:eastAsia="仿宋_GB2312"/>
          <w:sz w:val="32"/>
          <w:szCs w:val="32"/>
        </w:rPr>
        <w:t>5</w:t>
      </w:r>
      <w:r>
        <w:rPr>
          <w:rStyle w:val="NormalCharacter"/>
          <w:rFonts w:eastAsia="仿宋_GB2312" w:hint="eastAsia"/>
          <w:sz w:val="32"/>
          <w:szCs w:val="32"/>
        </w:rPr>
        <w:t>万元（安置面积</w:t>
      </w:r>
      <w:r>
        <w:rPr>
          <w:rStyle w:val="NormalCharacter"/>
          <w:rFonts w:eastAsia="仿宋_GB2312"/>
          <w:sz w:val="32"/>
          <w:szCs w:val="32"/>
        </w:rPr>
        <w:t>80</w:t>
      </w:r>
      <w:r>
        <w:rPr>
          <w:rStyle w:val="NormalCharacter"/>
          <w:rFonts w:eastAsia="仿宋" w:hint="eastAsia"/>
          <w:sz w:val="32"/>
          <w:szCs w:val="32"/>
        </w:rPr>
        <w:t>㎡以上</w:t>
      </w:r>
      <w:r>
        <w:rPr>
          <w:rStyle w:val="NormalCharacter"/>
          <w:rFonts w:eastAsia="仿宋_GB2312" w:hint="eastAsia"/>
          <w:sz w:val="32"/>
          <w:szCs w:val="32"/>
        </w:rPr>
        <w:t>含</w:t>
      </w:r>
      <w:r>
        <w:rPr>
          <w:rStyle w:val="NormalCharacter"/>
          <w:rFonts w:eastAsia="仿宋_GB2312"/>
          <w:sz w:val="32"/>
          <w:szCs w:val="32"/>
        </w:rPr>
        <w:t>80</w:t>
      </w:r>
      <w:r>
        <w:rPr>
          <w:rStyle w:val="NormalCharacter"/>
          <w:rFonts w:eastAsia="仿宋" w:hint="eastAsia"/>
          <w:sz w:val="32"/>
          <w:szCs w:val="32"/>
        </w:rPr>
        <w:t>㎡</w:t>
      </w:r>
      <w:r>
        <w:rPr>
          <w:rStyle w:val="NormalCharacter"/>
          <w:rFonts w:eastAsia="仿宋_GB2312" w:hint="eastAsia"/>
          <w:sz w:val="32"/>
          <w:szCs w:val="32"/>
        </w:rPr>
        <w:t>）的按期搬迁奖励。</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十七、搬迁费标准</w:t>
      </w:r>
    </w:p>
    <w:p w:rsidR="00C10A17" w:rsidRDefault="00C10A17" w:rsidP="00847DA5">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1.</w:t>
      </w:r>
      <w:r>
        <w:rPr>
          <w:rStyle w:val="NormalCharacter"/>
          <w:rFonts w:eastAsia="仿宋_GB2312" w:hint="eastAsia"/>
          <w:b/>
          <w:sz w:val="32"/>
          <w:szCs w:val="32"/>
        </w:rPr>
        <w:t>住宅：</w:t>
      </w:r>
      <w:r>
        <w:rPr>
          <w:rStyle w:val="NormalCharacter"/>
          <w:rFonts w:eastAsia="仿宋_GB2312" w:hint="eastAsia"/>
          <w:sz w:val="32"/>
          <w:szCs w:val="32"/>
        </w:rPr>
        <w:t>按经认定的建筑面积计算，标准为</w:t>
      </w:r>
      <w:r>
        <w:rPr>
          <w:rStyle w:val="NormalCharacter"/>
          <w:rFonts w:eastAsia="仿宋_GB2312"/>
          <w:sz w:val="32"/>
          <w:szCs w:val="32"/>
        </w:rPr>
        <w:t xml:space="preserve"> 5 </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sz w:val="32"/>
          <w:szCs w:val="32"/>
        </w:rPr>
        <w:t>·</w:t>
      </w:r>
      <w:r>
        <w:rPr>
          <w:rStyle w:val="NormalCharacter"/>
          <w:rFonts w:eastAsia="仿宋_GB2312" w:hint="eastAsia"/>
          <w:sz w:val="32"/>
          <w:szCs w:val="32"/>
        </w:rPr>
        <w:t>次（详见附件</w:t>
      </w:r>
      <w:r>
        <w:rPr>
          <w:rStyle w:val="NormalCharacter"/>
          <w:rFonts w:eastAsia="仿宋_GB2312" w:hint="eastAsia"/>
          <w:sz w:val="32"/>
          <w:szCs w:val="32"/>
        </w:rPr>
        <w:t>3</w:t>
      </w:r>
      <w:r>
        <w:rPr>
          <w:rStyle w:val="NormalCharacter"/>
          <w:rFonts w:eastAsia="仿宋_GB2312" w:hint="eastAsia"/>
          <w:sz w:val="32"/>
          <w:szCs w:val="32"/>
        </w:rPr>
        <w:t>）。被征收人选择货币补偿的，发放一次搬迁费；被征收人选择产权调换的，发放两次搬迁费。</w:t>
      </w:r>
    </w:p>
    <w:p w:rsidR="00C10A17" w:rsidRDefault="00C10A17" w:rsidP="00847DA5">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2.</w:t>
      </w:r>
      <w:r>
        <w:rPr>
          <w:rStyle w:val="NormalCharacter"/>
          <w:rFonts w:eastAsia="仿宋_GB2312" w:hint="eastAsia"/>
          <w:b/>
          <w:sz w:val="32"/>
          <w:szCs w:val="32"/>
        </w:rPr>
        <w:t>未登记经营性用房：</w:t>
      </w:r>
      <w:r>
        <w:rPr>
          <w:rStyle w:val="NormalCharacter"/>
          <w:rFonts w:eastAsia="仿宋_GB2312" w:hint="eastAsia"/>
          <w:sz w:val="32"/>
          <w:szCs w:val="32"/>
        </w:rPr>
        <w:t>按经认定的建筑面积计算，标准为</w:t>
      </w:r>
      <w:r>
        <w:rPr>
          <w:rStyle w:val="NormalCharacter"/>
          <w:rFonts w:eastAsia="仿宋_GB2312"/>
          <w:sz w:val="32"/>
          <w:szCs w:val="32"/>
        </w:rPr>
        <w:t>6</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sz w:val="32"/>
          <w:szCs w:val="32"/>
        </w:rPr>
        <w:t>·</w:t>
      </w:r>
      <w:r>
        <w:rPr>
          <w:rStyle w:val="NormalCharacter"/>
          <w:rFonts w:eastAsia="仿宋_GB2312" w:hint="eastAsia"/>
          <w:sz w:val="32"/>
          <w:szCs w:val="32"/>
        </w:rPr>
        <w:t>次，发放一次搬迁费（详见附件</w:t>
      </w:r>
      <w:r>
        <w:rPr>
          <w:rStyle w:val="NormalCharacter"/>
          <w:rFonts w:eastAsia="仿宋_GB2312" w:hint="eastAsia"/>
          <w:sz w:val="32"/>
          <w:szCs w:val="32"/>
        </w:rPr>
        <w:t>3</w:t>
      </w:r>
      <w:r>
        <w:rPr>
          <w:rStyle w:val="NormalCharacter"/>
          <w:rFonts w:eastAsia="仿宋_GB2312" w:hint="eastAsia"/>
          <w:sz w:val="32"/>
          <w:szCs w:val="32"/>
        </w:rPr>
        <w:t>）。</w:t>
      </w:r>
    </w:p>
    <w:p w:rsidR="00C10A17" w:rsidRDefault="00C10A17">
      <w:pPr>
        <w:tabs>
          <w:tab w:val="left" w:pos="4252"/>
          <w:tab w:val="center" w:leader="middleDot" w:pos="8504"/>
        </w:tabs>
        <w:spacing w:line="579" w:lineRule="exact"/>
        <w:ind w:firstLineChars="196" w:firstLine="627"/>
        <w:jc w:val="left"/>
        <w:rPr>
          <w:rStyle w:val="NormalCharacter"/>
          <w:rFonts w:ascii="黑体" w:eastAsia="黑体" w:hAnsi="黑体"/>
          <w:sz w:val="32"/>
          <w:szCs w:val="32"/>
        </w:rPr>
      </w:pPr>
      <w:r>
        <w:rPr>
          <w:rStyle w:val="NormalCharacter"/>
          <w:rFonts w:ascii="黑体" w:eastAsia="黑体" w:hAnsi="黑体" w:hint="eastAsia"/>
          <w:sz w:val="32"/>
          <w:szCs w:val="32"/>
        </w:rPr>
        <w:lastRenderedPageBreak/>
        <w:t>十八、住宅的过渡方式</w:t>
      </w:r>
    </w:p>
    <w:p w:rsidR="00C10A17" w:rsidRDefault="00C10A17">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由被征收人领取临时安置补助费自行过渡。被征收人确实无法自行过渡的，由征收人提供周转用房，不再发放住宅临时安置补助费。</w:t>
      </w:r>
    </w:p>
    <w:p w:rsidR="00C10A17" w:rsidRDefault="00C10A17">
      <w:pPr>
        <w:tabs>
          <w:tab w:val="left" w:pos="4252"/>
          <w:tab w:val="center" w:leader="middleDot" w:pos="8504"/>
        </w:tabs>
        <w:spacing w:line="579" w:lineRule="exact"/>
        <w:ind w:firstLineChars="196" w:firstLine="627"/>
        <w:jc w:val="left"/>
        <w:rPr>
          <w:rStyle w:val="NormalCharacter"/>
          <w:rFonts w:ascii="黑体" w:eastAsia="黑体" w:hAnsi="黑体"/>
          <w:sz w:val="32"/>
          <w:szCs w:val="32"/>
        </w:rPr>
      </w:pPr>
      <w:r>
        <w:rPr>
          <w:rStyle w:val="NormalCharacter"/>
          <w:rFonts w:ascii="黑体" w:eastAsia="黑体" w:hAnsi="黑体" w:hint="eastAsia"/>
          <w:sz w:val="32"/>
          <w:szCs w:val="32"/>
        </w:rPr>
        <w:t>十九、住宅临时安置费标准</w:t>
      </w:r>
    </w:p>
    <w:p w:rsidR="00C10A17" w:rsidRDefault="00C10A17">
      <w:pPr>
        <w:tabs>
          <w:tab w:val="left" w:pos="4252"/>
          <w:tab w:val="center" w:leader="middleDot" w:pos="8504"/>
        </w:tabs>
        <w:spacing w:line="579" w:lineRule="exact"/>
        <w:ind w:firstLineChars="200" w:firstLine="640"/>
        <w:jc w:val="left"/>
        <w:rPr>
          <w:rStyle w:val="NormalCharacter"/>
          <w:rFonts w:eastAsia="仿宋_GB2312" w:hint="eastAsia"/>
          <w:sz w:val="32"/>
          <w:szCs w:val="32"/>
        </w:rPr>
      </w:pPr>
      <w:r>
        <w:rPr>
          <w:rStyle w:val="NormalCharacter"/>
          <w:rFonts w:eastAsia="仿宋_GB2312" w:hint="eastAsia"/>
          <w:sz w:val="32"/>
          <w:szCs w:val="32"/>
        </w:rPr>
        <w:t>临时安置费标准为</w:t>
      </w:r>
      <w:r>
        <w:rPr>
          <w:rStyle w:val="NormalCharacter"/>
          <w:rFonts w:eastAsia="仿宋_GB2312"/>
          <w:sz w:val="32"/>
          <w:szCs w:val="32"/>
        </w:rPr>
        <w:t>8</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sz w:val="32"/>
          <w:szCs w:val="32"/>
        </w:rPr>
        <w:t>·</w:t>
      </w:r>
      <w:r>
        <w:rPr>
          <w:rStyle w:val="NormalCharacter"/>
          <w:rFonts w:eastAsia="仿宋_GB2312" w:hint="eastAsia"/>
          <w:sz w:val="32"/>
          <w:szCs w:val="32"/>
        </w:rPr>
        <w:t>月（详见附件</w:t>
      </w:r>
      <w:r>
        <w:rPr>
          <w:rStyle w:val="NormalCharacter"/>
          <w:rFonts w:eastAsia="仿宋_GB2312" w:hint="eastAsia"/>
          <w:sz w:val="32"/>
          <w:szCs w:val="32"/>
        </w:rPr>
        <w:t>3</w:t>
      </w:r>
      <w:r>
        <w:rPr>
          <w:rStyle w:val="NormalCharacter"/>
          <w:rFonts w:eastAsia="仿宋_GB2312" w:hint="eastAsia"/>
          <w:sz w:val="32"/>
          <w:szCs w:val="32"/>
        </w:rPr>
        <w:t>）。选择安置房产权调换的，按可置换的建筑面积计算，自被征收人签订协议并腾空房屋之日至安置房业主交房之日止，临时安置费保底</w:t>
      </w:r>
      <w:r>
        <w:rPr>
          <w:rStyle w:val="NormalCharacter"/>
          <w:rFonts w:eastAsia="仿宋_GB2312" w:hint="eastAsia"/>
          <w:sz w:val="32"/>
          <w:szCs w:val="32"/>
        </w:rPr>
        <w:t>6</w:t>
      </w:r>
      <w:r>
        <w:rPr>
          <w:rStyle w:val="NormalCharacter"/>
          <w:rFonts w:eastAsia="仿宋_GB2312" w:hint="eastAsia"/>
          <w:sz w:val="32"/>
          <w:szCs w:val="32"/>
        </w:rPr>
        <w:t>个月；临时安置费不足</w:t>
      </w:r>
      <w:r>
        <w:rPr>
          <w:rStyle w:val="NormalCharacter"/>
          <w:rFonts w:eastAsia="仿宋_GB2312"/>
          <w:sz w:val="32"/>
          <w:szCs w:val="32"/>
        </w:rPr>
        <w:t>1600</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_GB2312" w:hint="eastAsia"/>
          <w:sz w:val="32"/>
          <w:szCs w:val="32"/>
        </w:rPr>
        <w:t>月</w:t>
      </w:r>
      <w:r>
        <w:rPr>
          <w:rStyle w:val="NormalCharacter"/>
          <w:rFonts w:eastAsia="仿宋_GB2312"/>
          <w:sz w:val="32"/>
          <w:szCs w:val="32"/>
        </w:rPr>
        <w:t>·</w:t>
      </w:r>
      <w:r>
        <w:rPr>
          <w:rStyle w:val="NormalCharacter"/>
          <w:rFonts w:eastAsia="仿宋_GB2312" w:hint="eastAsia"/>
          <w:sz w:val="32"/>
          <w:szCs w:val="32"/>
        </w:rPr>
        <w:t>户的，按每月每户</w:t>
      </w:r>
      <w:r>
        <w:rPr>
          <w:rStyle w:val="NormalCharacter"/>
          <w:rFonts w:eastAsia="仿宋_GB2312"/>
          <w:sz w:val="32"/>
          <w:szCs w:val="32"/>
        </w:rPr>
        <w:t>1600</w:t>
      </w:r>
      <w:r>
        <w:rPr>
          <w:rStyle w:val="NormalCharacter"/>
          <w:rFonts w:eastAsia="仿宋_GB2312" w:hint="eastAsia"/>
          <w:sz w:val="32"/>
          <w:szCs w:val="32"/>
        </w:rPr>
        <w:t>元发放。选择货币补偿或现房产权调换的，按可货币补偿面积计算，一次性给予</w:t>
      </w:r>
      <w:r>
        <w:rPr>
          <w:rStyle w:val="NormalCharacter"/>
          <w:rFonts w:eastAsia="仿宋_GB2312"/>
          <w:sz w:val="32"/>
          <w:szCs w:val="32"/>
        </w:rPr>
        <w:t>6</w:t>
      </w:r>
      <w:r>
        <w:rPr>
          <w:rStyle w:val="NormalCharacter"/>
          <w:rFonts w:eastAsia="仿宋_GB2312" w:hint="eastAsia"/>
          <w:sz w:val="32"/>
          <w:szCs w:val="32"/>
        </w:rPr>
        <w:t>个月的临时安置费。</w:t>
      </w:r>
    </w:p>
    <w:p w:rsidR="00C10A17" w:rsidRDefault="00C10A17" w:rsidP="00847DA5">
      <w:pPr>
        <w:spacing w:line="579" w:lineRule="exact"/>
        <w:ind w:firstLineChars="200" w:firstLine="643"/>
        <w:jc w:val="center"/>
        <w:rPr>
          <w:rStyle w:val="NormalCharacter"/>
          <w:rFonts w:eastAsia="仿宋_GB2312"/>
          <w:b/>
          <w:sz w:val="32"/>
          <w:szCs w:val="32"/>
        </w:rPr>
      </w:pPr>
    </w:p>
    <w:p w:rsidR="00C10A17" w:rsidRDefault="00C10A17" w:rsidP="00847DA5">
      <w:pPr>
        <w:spacing w:line="579" w:lineRule="exact"/>
        <w:ind w:firstLineChars="200" w:firstLine="643"/>
        <w:jc w:val="center"/>
        <w:rPr>
          <w:rStyle w:val="NormalCharacter"/>
          <w:rFonts w:eastAsia="仿宋_GB2312"/>
          <w:b/>
          <w:sz w:val="32"/>
          <w:szCs w:val="32"/>
        </w:rPr>
      </w:pPr>
      <w:r>
        <w:rPr>
          <w:rStyle w:val="NormalCharacter"/>
          <w:rFonts w:eastAsia="仿宋_GB2312" w:hint="eastAsia"/>
          <w:b/>
          <w:sz w:val="32"/>
          <w:szCs w:val="32"/>
        </w:rPr>
        <w:t>第六部分</w:t>
      </w:r>
      <w:r>
        <w:rPr>
          <w:rStyle w:val="NormalCharacter"/>
          <w:rFonts w:eastAsia="仿宋_GB2312"/>
          <w:b/>
          <w:sz w:val="32"/>
          <w:szCs w:val="32"/>
        </w:rPr>
        <w:t xml:space="preserve">  </w:t>
      </w:r>
      <w:r>
        <w:rPr>
          <w:rStyle w:val="NormalCharacter"/>
          <w:rFonts w:eastAsia="仿宋_GB2312" w:hint="eastAsia"/>
          <w:b/>
          <w:sz w:val="32"/>
          <w:szCs w:val="32"/>
        </w:rPr>
        <w:t>补偿决定</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二十、补偿决定</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房屋征收部门与被征收人在规定的签约期限达不成协议的，或被征收房屋所有权人不明确的，由房屋征收部门报请作出房屋征收决定的丰泽区人民政府作出补偿决定。补偿决定认定的补偿金额以经鉴定认可的评估结果作为依据，被征收人不再享受本方案规定的优惠奖励办法。</w:t>
      </w:r>
    </w:p>
    <w:p w:rsidR="00C10A17" w:rsidRDefault="00C10A17">
      <w:pPr>
        <w:spacing w:line="579" w:lineRule="exact"/>
        <w:ind w:firstLineChars="200" w:firstLine="640"/>
        <w:rPr>
          <w:rStyle w:val="NormalCharacter"/>
          <w:rFonts w:eastAsia="仿宋_GB2312"/>
          <w:sz w:val="32"/>
          <w:szCs w:val="32"/>
        </w:rPr>
      </w:pPr>
    </w:p>
    <w:p w:rsidR="00C10A17" w:rsidRDefault="00C10A17">
      <w:pPr>
        <w:spacing w:line="579" w:lineRule="exact"/>
        <w:jc w:val="center"/>
        <w:rPr>
          <w:rStyle w:val="NormalCharacter"/>
          <w:rFonts w:eastAsia="仿宋_GB2312"/>
          <w:b/>
          <w:sz w:val="32"/>
          <w:szCs w:val="32"/>
        </w:rPr>
      </w:pPr>
      <w:r>
        <w:rPr>
          <w:rStyle w:val="NormalCharacter"/>
          <w:rFonts w:eastAsia="仿宋_GB2312" w:hint="eastAsia"/>
          <w:b/>
          <w:sz w:val="32"/>
          <w:szCs w:val="32"/>
        </w:rPr>
        <w:t>第七部分</w:t>
      </w:r>
      <w:r>
        <w:rPr>
          <w:rStyle w:val="NormalCharacter"/>
          <w:rFonts w:eastAsia="仿宋_GB2312"/>
          <w:b/>
          <w:sz w:val="32"/>
          <w:szCs w:val="32"/>
        </w:rPr>
        <w:t xml:space="preserve">  </w:t>
      </w:r>
      <w:r>
        <w:rPr>
          <w:rStyle w:val="NormalCharacter"/>
          <w:rFonts w:eastAsia="仿宋_GB2312" w:hint="eastAsia"/>
          <w:b/>
          <w:sz w:val="32"/>
          <w:szCs w:val="32"/>
        </w:rPr>
        <w:t>附则</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二十一、其他类型建筑的补偿办法</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lastRenderedPageBreak/>
        <w:t>征收中涉及军事设施、学校、党政机关办公用地可依法依规采取用地置换的办法；文物古迹等其他房屋，依据有关法律、法规处理；祠堂、宫庙按统规自建处理。</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二十二、适用范围</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本方案自征收公告发布之日起实施，未尽事宜按相关法律、法规的规定执行。</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本方案只适用城东南滨江片区改造项目（前头社区石改）房屋征收补偿安置，不作为其它项目征收补偿安置的依据。</w:t>
      </w:r>
    </w:p>
    <w:p w:rsidR="00C10A17" w:rsidRDefault="00C10A17">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鉴于片区房屋征收工作的延续性、可操作性，本方案与原城东开发建设指挥部以往片区房屋征收惯例不一致的，由城东南滨江片区改造项目（前头社区石改）征迁工作指挥部研究确定。</w:t>
      </w:r>
    </w:p>
    <w:p w:rsidR="00C10A17" w:rsidRDefault="00C10A17">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二十三、本方案解释权归丰泽区住房和城乡建设局。</w:t>
      </w:r>
    </w:p>
    <w:p w:rsidR="00C10A17" w:rsidRDefault="00C10A17">
      <w:pPr>
        <w:spacing w:line="579" w:lineRule="exact"/>
        <w:rPr>
          <w:rStyle w:val="NormalCharacter"/>
          <w:rFonts w:ascii="仿宋_GB2312" w:eastAsia="仿宋_GB2312" w:hAnsi="仿宋_GB2312" w:cs="仿宋_GB2312" w:hint="eastAsia"/>
          <w:sz w:val="32"/>
          <w:szCs w:val="32"/>
        </w:rPr>
      </w:pPr>
    </w:p>
    <w:p w:rsidR="00C10A17" w:rsidRDefault="00C10A17">
      <w:pPr>
        <w:spacing w:line="579"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附件：1.被征收各类住宅货币征收补偿单价</w:t>
      </w:r>
    </w:p>
    <w:p w:rsidR="00C10A17" w:rsidRDefault="00C10A17">
      <w:pPr>
        <w:spacing w:line="579" w:lineRule="exact"/>
        <w:ind w:firstLineChars="50" w:firstLine="16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 xml:space="preserve">         2.被征收各类住宅材料费补贴单价表</w:t>
      </w:r>
    </w:p>
    <w:p w:rsidR="00C10A17" w:rsidRDefault="00C10A17">
      <w:pPr>
        <w:spacing w:line="579" w:lineRule="exact"/>
        <w:ind w:firstLineChars="500" w:firstLine="160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3.搬迁补助费和临时过渡补助费标准</w:t>
      </w:r>
    </w:p>
    <w:p w:rsidR="00C10A17" w:rsidRDefault="00C10A17">
      <w:pPr>
        <w:spacing w:line="579" w:lineRule="exact"/>
        <w:ind w:firstLineChars="500" w:firstLine="160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4.被征收住宅装修分类及补偿单价表</w:t>
      </w:r>
    </w:p>
    <w:p w:rsidR="00C10A17" w:rsidRDefault="00C10A17">
      <w:pPr>
        <w:spacing w:line="579" w:lineRule="exact"/>
        <w:ind w:firstLineChars="500" w:firstLine="160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5.附属物补偿表</w:t>
      </w:r>
    </w:p>
    <w:p w:rsidR="00C10A17" w:rsidRDefault="00C10A17">
      <w:pPr>
        <w:spacing w:line="579" w:lineRule="exact"/>
        <w:ind w:firstLineChars="500" w:firstLine="160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6.安置房价格及装修、设施标准</w:t>
      </w:r>
    </w:p>
    <w:p w:rsidR="00C10A17" w:rsidRDefault="00C10A17">
      <w:pPr>
        <w:spacing w:line="579" w:lineRule="exact"/>
        <w:jc w:val="center"/>
        <w:rPr>
          <w:rStyle w:val="NormalCharacter"/>
          <w:rFonts w:ascii="方正小标宋简体" w:eastAsia="方正小标宋简体"/>
          <w:sz w:val="32"/>
          <w:szCs w:val="32"/>
        </w:rPr>
      </w:pPr>
    </w:p>
    <w:p w:rsidR="00C10A17" w:rsidRDefault="00C10A17">
      <w:pPr>
        <w:spacing w:line="579" w:lineRule="exact"/>
        <w:rPr>
          <w:rStyle w:val="NormalCharacter"/>
          <w:rFonts w:eastAsia="仿宋" w:hint="eastAsia"/>
          <w:sz w:val="32"/>
          <w:szCs w:val="32"/>
        </w:rPr>
      </w:pPr>
    </w:p>
    <w:p w:rsidR="00C10A17" w:rsidRDefault="00C10A17">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t>附件</w:t>
      </w:r>
      <w:r>
        <w:rPr>
          <w:rStyle w:val="NormalCharacter"/>
          <w:rFonts w:ascii="黑体" w:eastAsia="黑体" w:hAnsi="黑体"/>
          <w:sz w:val="32"/>
          <w:szCs w:val="32"/>
        </w:rPr>
        <w:t>1</w:t>
      </w:r>
    </w:p>
    <w:p w:rsidR="00C10A17" w:rsidRDefault="00C10A17">
      <w:pPr>
        <w:spacing w:line="520" w:lineRule="exact"/>
        <w:rPr>
          <w:rStyle w:val="NormalCharacter"/>
          <w:rFonts w:ascii="黑体" w:eastAsia="黑体" w:hAnsi="黑体"/>
          <w:sz w:val="24"/>
        </w:rPr>
      </w:pPr>
    </w:p>
    <w:p w:rsidR="00C10A17" w:rsidRDefault="00C10A17">
      <w:pPr>
        <w:spacing w:line="520" w:lineRule="exact"/>
        <w:jc w:val="center"/>
        <w:rPr>
          <w:rStyle w:val="NormalCharacter"/>
          <w:rFonts w:ascii="方正小标宋简体" w:eastAsia="方正小标宋简体"/>
          <w:sz w:val="44"/>
          <w:szCs w:val="44"/>
        </w:rPr>
      </w:pPr>
      <w:r>
        <w:rPr>
          <w:rStyle w:val="NormalCharacter"/>
          <w:rFonts w:ascii="方正小标宋简体" w:eastAsia="方正小标宋简体" w:hint="eastAsia"/>
          <w:sz w:val="44"/>
          <w:szCs w:val="44"/>
        </w:rPr>
        <w:t>被征收各类住宅货币征收补偿单价</w:t>
      </w:r>
    </w:p>
    <w:p w:rsidR="00C10A17" w:rsidRDefault="00C10A17">
      <w:pPr>
        <w:spacing w:line="520" w:lineRule="exact"/>
        <w:ind w:right="320"/>
        <w:jc w:val="right"/>
        <w:rPr>
          <w:rStyle w:val="NormalCharacter"/>
          <w:rFonts w:eastAsia="仿宋"/>
          <w:sz w:val="32"/>
          <w:szCs w:val="32"/>
        </w:rPr>
      </w:pPr>
      <w:r>
        <w:rPr>
          <w:rStyle w:val="NormalCharacter"/>
          <w:rFonts w:eastAsia="仿宋" w:hAnsi="仿宋" w:hint="eastAsia"/>
          <w:sz w:val="32"/>
          <w:szCs w:val="32"/>
        </w:rPr>
        <w:t>单位：元</w:t>
      </w:r>
      <w:r>
        <w:rPr>
          <w:rStyle w:val="NormalCharacter"/>
          <w:rFonts w:eastAsia="仿宋"/>
          <w:sz w:val="32"/>
          <w:szCs w:val="32"/>
        </w:rPr>
        <w:t>/</w:t>
      </w:r>
      <w:r>
        <w:rPr>
          <w:rStyle w:val="NormalCharacter"/>
          <w:rFonts w:eastAsia="仿宋" w:hAnsi="仿宋" w:hint="eastAsia"/>
          <w:sz w:val="32"/>
          <w:szCs w:val="32"/>
        </w:rPr>
        <w:t>㎡</w:t>
      </w:r>
    </w:p>
    <w:p w:rsidR="00C10A17" w:rsidRDefault="00C10A17">
      <w:pPr>
        <w:spacing w:line="520" w:lineRule="exact"/>
        <w:jc w:val="right"/>
        <w:rPr>
          <w:rStyle w:val="NormalCharacter"/>
          <w:sz w:val="24"/>
        </w:rPr>
      </w:pPr>
    </w:p>
    <w:tbl>
      <w:tblPr>
        <w:tblW w:w="9108" w:type="dxa"/>
        <w:tblInd w:w="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gridCol w:w="1908"/>
        <w:gridCol w:w="1260"/>
        <w:gridCol w:w="1620"/>
        <w:gridCol w:w="1620"/>
        <w:gridCol w:w="1260"/>
        <w:gridCol w:w="1440"/>
      </w:tblGrid>
      <w:tr w:rsidR="00C10A17">
        <w:trPr>
          <w:trHeight w:val="735"/>
        </w:trPr>
        <w:tc>
          <w:tcPr>
            <w:tcW w:w="190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结构</w:t>
            </w:r>
          </w:p>
        </w:tc>
        <w:tc>
          <w:tcPr>
            <w:tcW w:w="1260" w:type="dxa"/>
            <w:tcBorders>
              <w:top w:val="single" w:sz="4" w:space="0" w:color="000000"/>
              <w:left w:val="nil"/>
              <w:bottom w:val="single" w:sz="4" w:space="0" w:color="000000"/>
              <w:right w:val="single" w:sz="4" w:space="0" w:color="000000"/>
            </w:tcBorders>
            <w:vAlign w:val="center"/>
          </w:tcPr>
          <w:p w:rsidR="00C10A17" w:rsidRDefault="00C10A17">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总一层</w:t>
            </w:r>
          </w:p>
        </w:tc>
        <w:tc>
          <w:tcPr>
            <w:tcW w:w="1620" w:type="dxa"/>
            <w:tcBorders>
              <w:top w:val="single" w:sz="4" w:space="0" w:color="000000"/>
              <w:left w:val="nil"/>
              <w:bottom w:val="single" w:sz="4" w:space="0" w:color="000000"/>
              <w:right w:val="single" w:sz="4" w:space="0" w:color="000000"/>
            </w:tcBorders>
            <w:vAlign w:val="center"/>
          </w:tcPr>
          <w:p w:rsidR="00C10A17" w:rsidRDefault="00C10A17">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总二层</w:t>
            </w:r>
          </w:p>
        </w:tc>
        <w:tc>
          <w:tcPr>
            <w:tcW w:w="1620" w:type="dxa"/>
            <w:tcBorders>
              <w:top w:val="single" w:sz="4" w:space="0" w:color="000000"/>
              <w:left w:val="nil"/>
              <w:bottom w:val="single" w:sz="4" w:space="0" w:color="000000"/>
              <w:right w:val="single" w:sz="4" w:space="0" w:color="000000"/>
            </w:tcBorders>
            <w:vAlign w:val="center"/>
          </w:tcPr>
          <w:p w:rsidR="00C10A17" w:rsidRDefault="00C10A17">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总三层</w:t>
            </w:r>
          </w:p>
        </w:tc>
        <w:tc>
          <w:tcPr>
            <w:tcW w:w="1260" w:type="dxa"/>
            <w:tcBorders>
              <w:top w:val="single" w:sz="4" w:space="0" w:color="000000"/>
              <w:left w:val="nil"/>
              <w:bottom w:val="single" w:sz="4" w:space="0" w:color="000000"/>
              <w:right w:val="single" w:sz="4" w:space="0" w:color="000000"/>
            </w:tcBorders>
            <w:vAlign w:val="center"/>
          </w:tcPr>
          <w:p w:rsidR="00C10A17" w:rsidRDefault="00C10A17">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总四层</w:t>
            </w:r>
          </w:p>
        </w:tc>
        <w:tc>
          <w:tcPr>
            <w:tcW w:w="1440" w:type="dxa"/>
            <w:tcBorders>
              <w:top w:val="single" w:sz="4" w:space="0" w:color="000000"/>
              <w:left w:val="nil"/>
              <w:bottom w:val="single" w:sz="4" w:space="0" w:color="000000"/>
              <w:right w:val="single" w:sz="4" w:space="0" w:color="000000"/>
            </w:tcBorders>
            <w:vAlign w:val="center"/>
          </w:tcPr>
          <w:p w:rsidR="00C10A17" w:rsidRDefault="00C10A17">
            <w:pPr>
              <w:spacing w:line="520" w:lineRule="exact"/>
              <w:jc w:val="center"/>
              <w:rPr>
                <w:rStyle w:val="NormalCharacter"/>
                <w:rFonts w:eastAsia="仿宋"/>
                <w:b/>
                <w:kern w:val="0"/>
                <w:sz w:val="32"/>
                <w:szCs w:val="32"/>
              </w:rPr>
            </w:pPr>
            <w:r>
              <w:rPr>
                <w:rStyle w:val="NormalCharacter"/>
                <w:rFonts w:eastAsia="仿宋" w:hAnsi="仿宋" w:hint="eastAsia"/>
                <w:b/>
                <w:kern w:val="0"/>
                <w:sz w:val="32"/>
                <w:szCs w:val="32"/>
              </w:rPr>
              <w:t>总五层及以上</w:t>
            </w:r>
          </w:p>
        </w:tc>
      </w:tr>
      <w:tr w:rsidR="00C10A17">
        <w:trPr>
          <w:trHeight w:val="580"/>
        </w:trPr>
        <w:tc>
          <w:tcPr>
            <w:tcW w:w="1908" w:type="dxa"/>
            <w:tcBorders>
              <w:top w:val="nil"/>
              <w:left w:val="single" w:sz="4" w:space="0" w:color="000000"/>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sz w:val="32"/>
                <w:szCs w:val="32"/>
              </w:rPr>
              <w:t>框架</w:t>
            </w:r>
          </w:p>
        </w:tc>
        <w:tc>
          <w:tcPr>
            <w:tcW w:w="1260" w:type="dxa"/>
            <w:tcBorders>
              <w:top w:val="nil"/>
              <w:left w:val="nil"/>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9890</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8241</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6593</w:t>
            </w:r>
          </w:p>
        </w:tc>
        <w:tc>
          <w:tcPr>
            <w:tcW w:w="126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5934</w:t>
            </w:r>
          </w:p>
        </w:tc>
        <w:tc>
          <w:tcPr>
            <w:tcW w:w="144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5604</w:t>
            </w:r>
          </w:p>
        </w:tc>
      </w:tr>
      <w:tr w:rsidR="00C10A17">
        <w:trPr>
          <w:trHeight w:val="565"/>
        </w:trPr>
        <w:tc>
          <w:tcPr>
            <w:tcW w:w="1908" w:type="dxa"/>
            <w:tcBorders>
              <w:top w:val="nil"/>
              <w:left w:val="single" w:sz="4" w:space="0" w:color="000000"/>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sz w:val="32"/>
                <w:szCs w:val="32"/>
              </w:rPr>
              <w:t>砖混</w:t>
            </w:r>
          </w:p>
        </w:tc>
        <w:tc>
          <w:tcPr>
            <w:tcW w:w="1260" w:type="dxa"/>
            <w:tcBorders>
              <w:top w:val="nil"/>
              <w:left w:val="nil"/>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9593</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7994</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6395</w:t>
            </w:r>
          </w:p>
        </w:tc>
        <w:tc>
          <w:tcPr>
            <w:tcW w:w="126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5756</w:t>
            </w:r>
          </w:p>
        </w:tc>
        <w:tc>
          <w:tcPr>
            <w:tcW w:w="144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5436</w:t>
            </w:r>
          </w:p>
        </w:tc>
      </w:tr>
      <w:tr w:rsidR="00C10A17">
        <w:trPr>
          <w:trHeight w:val="490"/>
        </w:trPr>
        <w:tc>
          <w:tcPr>
            <w:tcW w:w="1908" w:type="dxa"/>
            <w:tcBorders>
              <w:top w:val="nil"/>
              <w:left w:val="single" w:sz="4" w:space="0" w:color="000000"/>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sz w:val="32"/>
                <w:szCs w:val="32"/>
              </w:rPr>
              <w:t>石混</w:t>
            </w:r>
          </w:p>
        </w:tc>
        <w:tc>
          <w:tcPr>
            <w:tcW w:w="1260" w:type="dxa"/>
            <w:tcBorders>
              <w:top w:val="nil"/>
              <w:left w:val="nil"/>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9396</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7829</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6263</w:t>
            </w:r>
          </w:p>
        </w:tc>
        <w:tc>
          <w:tcPr>
            <w:tcW w:w="126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5637</w:t>
            </w:r>
          </w:p>
        </w:tc>
        <w:tc>
          <w:tcPr>
            <w:tcW w:w="144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5324</w:t>
            </w:r>
          </w:p>
        </w:tc>
      </w:tr>
      <w:tr w:rsidR="00C10A17">
        <w:trPr>
          <w:trHeight w:val="790"/>
        </w:trPr>
        <w:tc>
          <w:tcPr>
            <w:tcW w:w="1908" w:type="dxa"/>
            <w:tcBorders>
              <w:top w:val="nil"/>
              <w:left w:val="single" w:sz="4" w:space="0" w:color="000000"/>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sz w:val="32"/>
                <w:szCs w:val="32"/>
              </w:rPr>
              <w:t>砖木、石木、</w:t>
            </w:r>
          </w:p>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sz w:val="32"/>
                <w:szCs w:val="32"/>
              </w:rPr>
              <w:t>石、土木</w:t>
            </w:r>
          </w:p>
        </w:tc>
        <w:tc>
          <w:tcPr>
            <w:tcW w:w="1260" w:type="dxa"/>
            <w:tcBorders>
              <w:top w:val="nil"/>
              <w:left w:val="nil"/>
              <w:bottom w:val="single" w:sz="4" w:space="0" w:color="000000"/>
              <w:right w:val="single" w:sz="4" w:space="0" w:color="000000"/>
            </w:tcBorders>
            <w:shd w:val="clear" w:color="auto" w:fill="auto"/>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9198</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7664</w:t>
            </w:r>
          </w:p>
        </w:tc>
        <w:tc>
          <w:tcPr>
            <w:tcW w:w="162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6131</w:t>
            </w:r>
          </w:p>
        </w:tc>
        <w:tc>
          <w:tcPr>
            <w:tcW w:w="126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5519</w:t>
            </w:r>
          </w:p>
        </w:tc>
        <w:tc>
          <w:tcPr>
            <w:tcW w:w="1440" w:type="dxa"/>
            <w:tcBorders>
              <w:top w:val="nil"/>
              <w:left w:val="nil"/>
              <w:bottom w:val="single" w:sz="4" w:space="0" w:color="000000"/>
              <w:right w:val="single" w:sz="4" w:space="0" w:color="000000"/>
            </w:tcBorders>
            <w:shd w:val="clear" w:color="auto" w:fill="FFFFFF"/>
            <w:vAlign w:val="center"/>
          </w:tcPr>
          <w:p w:rsidR="00C10A17" w:rsidRDefault="00C10A17">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5212</w:t>
            </w:r>
          </w:p>
        </w:tc>
      </w:tr>
      <w:tr w:rsidR="00C10A17">
        <w:trPr>
          <w:trHeight w:val="1200"/>
        </w:trPr>
        <w:tc>
          <w:tcPr>
            <w:tcW w:w="9108" w:type="dxa"/>
            <w:gridSpan w:val="6"/>
            <w:tcBorders>
              <w:top w:val="single" w:sz="4" w:space="0" w:color="000000"/>
              <w:left w:val="single" w:sz="4" w:space="0" w:color="000000"/>
              <w:bottom w:val="single" w:sz="4" w:space="0" w:color="000000"/>
              <w:right w:val="single" w:sz="4" w:space="0" w:color="000000"/>
            </w:tcBorders>
          </w:tcPr>
          <w:p w:rsidR="00C10A17" w:rsidRDefault="00C10A17">
            <w:pPr>
              <w:spacing w:line="560" w:lineRule="exact"/>
              <w:ind w:left="640" w:hangingChars="200" w:hanging="640"/>
              <w:rPr>
                <w:rStyle w:val="NormalCharacter"/>
                <w:rFonts w:eastAsia="仿宋"/>
                <w:sz w:val="32"/>
                <w:szCs w:val="32"/>
              </w:rPr>
            </w:pPr>
            <w:r>
              <w:rPr>
                <w:rStyle w:val="NormalCharacter"/>
                <w:rFonts w:eastAsia="仿宋" w:hAnsi="仿宋" w:hint="eastAsia"/>
                <w:sz w:val="32"/>
                <w:szCs w:val="32"/>
              </w:rPr>
              <w:t>备注：</w:t>
            </w:r>
            <w:r>
              <w:rPr>
                <w:rStyle w:val="NormalCharacter"/>
                <w:rFonts w:eastAsia="仿宋"/>
                <w:sz w:val="32"/>
                <w:szCs w:val="32"/>
              </w:rPr>
              <w:br w:type="textWrapping" w:clear="all"/>
              <w:t>1.</w:t>
            </w:r>
            <w:r>
              <w:rPr>
                <w:rStyle w:val="NormalCharacter"/>
                <w:rFonts w:eastAsia="仿宋" w:hAnsi="仿宋" w:hint="eastAsia"/>
                <w:sz w:val="32"/>
                <w:szCs w:val="32"/>
              </w:rPr>
              <w:t>本表所列单价不包含装修装饰价值，装修装饰补偿另计。</w:t>
            </w:r>
          </w:p>
          <w:p w:rsidR="00C10A17" w:rsidRDefault="00C10A17">
            <w:pPr>
              <w:tabs>
                <w:tab w:val="right" w:pos="656"/>
              </w:tabs>
              <w:spacing w:line="560" w:lineRule="exact"/>
              <w:ind w:leftChars="293" w:left="615"/>
              <w:rPr>
                <w:rStyle w:val="NormalCharacter"/>
                <w:rFonts w:eastAsia="仿宋"/>
                <w:sz w:val="32"/>
                <w:szCs w:val="32"/>
              </w:rPr>
            </w:pPr>
            <w:r>
              <w:rPr>
                <w:rStyle w:val="NormalCharacter"/>
                <w:rFonts w:eastAsia="仿宋"/>
                <w:sz w:val="32"/>
                <w:szCs w:val="32"/>
              </w:rPr>
              <w:t>2.</w:t>
            </w:r>
            <w:r>
              <w:rPr>
                <w:rStyle w:val="NormalCharacter"/>
                <w:rFonts w:eastAsia="仿宋" w:hAnsi="仿宋" w:hint="eastAsia"/>
                <w:sz w:val="32"/>
                <w:szCs w:val="32"/>
              </w:rPr>
              <w:t>本表所列单价不包含按期搬迁奖励、货币补偿方式奖励及</w:t>
            </w:r>
          </w:p>
          <w:p w:rsidR="00C10A17" w:rsidRDefault="00C10A17">
            <w:pPr>
              <w:spacing w:line="560" w:lineRule="exact"/>
              <w:ind w:left="640" w:hangingChars="200" w:hanging="640"/>
              <w:rPr>
                <w:rStyle w:val="NormalCharacter"/>
                <w:rFonts w:eastAsia="仿宋"/>
                <w:sz w:val="32"/>
                <w:szCs w:val="32"/>
              </w:rPr>
            </w:pPr>
            <w:r>
              <w:rPr>
                <w:rStyle w:val="NormalCharacter"/>
                <w:rFonts w:eastAsia="仿宋" w:hAnsi="仿宋" w:hint="eastAsia"/>
                <w:sz w:val="32"/>
                <w:szCs w:val="32"/>
              </w:rPr>
              <w:t>购房补助。</w:t>
            </w:r>
          </w:p>
          <w:p w:rsidR="00C10A17" w:rsidRDefault="00C10A17">
            <w:pPr>
              <w:spacing w:line="560" w:lineRule="exact"/>
              <w:ind w:firstLine="640"/>
              <w:rPr>
                <w:rStyle w:val="NormalCharacter"/>
                <w:rFonts w:eastAsia="仿宋"/>
                <w:sz w:val="32"/>
                <w:szCs w:val="32"/>
              </w:rPr>
            </w:pPr>
            <w:r>
              <w:rPr>
                <w:rStyle w:val="NormalCharacter"/>
                <w:rFonts w:eastAsia="仿宋"/>
                <w:sz w:val="32"/>
                <w:szCs w:val="32"/>
              </w:rPr>
              <w:t>3.</w:t>
            </w:r>
            <w:r>
              <w:rPr>
                <w:rStyle w:val="NormalCharacter"/>
                <w:rFonts w:eastAsia="仿宋" w:hAnsi="仿宋" w:hint="eastAsia"/>
                <w:sz w:val="32"/>
                <w:szCs w:val="32"/>
              </w:rPr>
              <w:t>本表所列单价为两证齐全已登记住宅房屋及有合法用地审批手续且</w:t>
            </w:r>
            <w:r>
              <w:rPr>
                <w:rStyle w:val="NormalCharacter"/>
                <w:rFonts w:eastAsia="仿宋"/>
                <w:sz w:val="32"/>
                <w:szCs w:val="32"/>
              </w:rPr>
              <w:t>2004</w:t>
            </w:r>
            <w:r>
              <w:rPr>
                <w:rStyle w:val="NormalCharacter"/>
                <w:rFonts w:eastAsia="仿宋" w:hAnsi="仿宋" w:hint="eastAsia"/>
                <w:sz w:val="32"/>
                <w:szCs w:val="32"/>
              </w:rPr>
              <w:t>年</w:t>
            </w:r>
            <w:r>
              <w:rPr>
                <w:rStyle w:val="NormalCharacter"/>
                <w:rFonts w:eastAsia="仿宋"/>
                <w:sz w:val="32"/>
                <w:szCs w:val="32"/>
              </w:rPr>
              <w:t>10</w:t>
            </w:r>
            <w:r>
              <w:rPr>
                <w:rStyle w:val="NormalCharacter"/>
                <w:rFonts w:eastAsia="仿宋" w:hAnsi="仿宋" w:hint="eastAsia"/>
                <w:sz w:val="32"/>
                <w:szCs w:val="32"/>
              </w:rPr>
              <w:t>月</w:t>
            </w:r>
            <w:r>
              <w:rPr>
                <w:rStyle w:val="NormalCharacter"/>
                <w:rFonts w:eastAsia="仿宋"/>
                <w:sz w:val="32"/>
                <w:szCs w:val="32"/>
              </w:rPr>
              <w:t>1</w:t>
            </w:r>
            <w:r>
              <w:rPr>
                <w:rStyle w:val="NormalCharacter"/>
                <w:rFonts w:eastAsia="仿宋" w:hAnsi="仿宋" w:hint="eastAsia"/>
                <w:sz w:val="32"/>
                <w:szCs w:val="32"/>
              </w:rPr>
              <w:t>日前基建的住宅房屋的补偿单价。</w:t>
            </w:r>
          </w:p>
        </w:tc>
      </w:tr>
    </w:tbl>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hint="eastAsia"/>
          <w:sz w:val="32"/>
          <w:szCs w:val="32"/>
        </w:rPr>
      </w:pPr>
    </w:p>
    <w:p w:rsidR="00C10A17" w:rsidRDefault="00C10A17">
      <w:pPr>
        <w:spacing w:line="520" w:lineRule="exact"/>
        <w:rPr>
          <w:rStyle w:val="NormalCharacter"/>
          <w:rFonts w:eastAsia="仿宋" w:hint="eastAsia"/>
          <w:sz w:val="32"/>
          <w:szCs w:val="32"/>
        </w:rPr>
      </w:pPr>
    </w:p>
    <w:p w:rsidR="00C10A17" w:rsidRDefault="00C10A17">
      <w:pPr>
        <w:spacing w:line="520" w:lineRule="exact"/>
        <w:rPr>
          <w:rStyle w:val="NormalCharacter"/>
          <w:rFonts w:eastAsia="仿宋" w:hint="eastAsia"/>
          <w:sz w:val="32"/>
          <w:szCs w:val="32"/>
        </w:rPr>
      </w:pPr>
    </w:p>
    <w:p w:rsidR="00C10A17" w:rsidRDefault="00C10A17">
      <w:pPr>
        <w:spacing w:line="520" w:lineRule="exact"/>
        <w:rPr>
          <w:rStyle w:val="NormalCharacter"/>
          <w:rFonts w:eastAsia="仿宋" w:hint="eastAsia"/>
          <w:sz w:val="32"/>
          <w:szCs w:val="32"/>
        </w:rPr>
      </w:pPr>
    </w:p>
    <w:p w:rsidR="00C10A17" w:rsidRDefault="00C10A17">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t>附件</w:t>
      </w:r>
      <w:r>
        <w:rPr>
          <w:rStyle w:val="NormalCharacter"/>
          <w:rFonts w:ascii="黑体" w:eastAsia="黑体" w:hAnsi="黑体"/>
          <w:sz w:val="32"/>
          <w:szCs w:val="32"/>
        </w:rPr>
        <w:t>2</w:t>
      </w:r>
    </w:p>
    <w:p w:rsidR="00C10A17" w:rsidRDefault="00C10A17">
      <w:pPr>
        <w:spacing w:line="520" w:lineRule="exact"/>
        <w:rPr>
          <w:rStyle w:val="NormalCharacter"/>
          <w:rFonts w:eastAsia="仿宋"/>
          <w:sz w:val="32"/>
          <w:szCs w:val="32"/>
        </w:rPr>
      </w:pPr>
    </w:p>
    <w:p w:rsidR="00C10A17" w:rsidRDefault="00C10A17">
      <w:pPr>
        <w:spacing w:line="520" w:lineRule="exact"/>
        <w:jc w:val="center"/>
        <w:rPr>
          <w:rStyle w:val="NormalCharacter"/>
          <w:rFonts w:ascii="方正小标宋简体" w:eastAsia="方正小标宋简体"/>
          <w:sz w:val="44"/>
          <w:szCs w:val="44"/>
        </w:rPr>
      </w:pPr>
      <w:r>
        <w:rPr>
          <w:rStyle w:val="NormalCharacter"/>
          <w:rFonts w:ascii="方正小标宋简体" w:eastAsia="方正小标宋简体" w:hint="eastAsia"/>
          <w:sz w:val="44"/>
          <w:szCs w:val="44"/>
        </w:rPr>
        <w:t>被征收各类住宅材料费补贴单价表</w:t>
      </w:r>
    </w:p>
    <w:p w:rsidR="00C10A17" w:rsidRDefault="00C10A17">
      <w:pPr>
        <w:spacing w:line="500" w:lineRule="exact"/>
        <w:jc w:val="right"/>
        <w:rPr>
          <w:rStyle w:val="NormalCharacter"/>
          <w:rFonts w:eastAsia="仿宋"/>
          <w:sz w:val="32"/>
          <w:szCs w:val="32"/>
        </w:rPr>
      </w:pPr>
      <w:r>
        <w:rPr>
          <w:rStyle w:val="NormalCharacter"/>
          <w:rFonts w:eastAsia="仿宋" w:hAnsi="仿宋" w:hint="eastAsia"/>
          <w:sz w:val="32"/>
          <w:szCs w:val="32"/>
        </w:rPr>
        <w:t>单位：元</w:t>
      </w:r>
      <w:r>
        <w:rPr>
          <w:rStyle w:val="NormalCharacter"/>
          <w:rFonts w:eastAsia="仿宋"/>
          <w:sz w:val="32"/>
          <w:szCs w:val="32"/>
        </w:rPr>
        <w:t>/</w:t>
      </w:r>
      <w:r>
        <w:rPr>
          <w:rStyle w:val="NormalCharacter"/>
          <w:rFonts w:eastAsia="仿宋" w:hAnsi="仿宋" w:hint="eastAsia"/>
          <w:sz w:val="32"/>
          <w:szCs w:val="32"/>
        </w:rPr>
        <w:t>㎡</w:t>
      </w:r>
    </w:p>
    <w:p w:rsidR="00C10A17" w:rsidRDefault="00C10A17">
      <w:pPr>
        <w:spacing w:line="520" w:lineRule="exact"/>
        <w:jc w:val="center"/>
        <w:rPr>
          <w:rStyle w:val="NormalCharacter"/>
          <w:rFonts w:eastAsia="仿宋"/>
          <w:sz w:val="32"/>
          <w:szCs w:val="32"/>
        </w:rPr>
      </w:pPr>
    </w:p>
    <w:tbl>
      <w:tblPr>
        <w:tblW w:w="91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501"/>
        <w:gridCol w:w="2207"/>
        <w:gridCol w:w="2023"/>
        <w:gridCol w:w="2391"/>
      </w:tblGrid>
      <w:tr w:rsidR="00C10A17">
        <w:trPr>
          <w:trHeight w:val="1209"/>
        </w:trPr>
        <w:tc>
          <w:tcPr>
            <w:tcW w:w="2501" w:type="dxa"/>
            <w:vAlign w:val="center"/>
          </w:tcPr>
          <w:p w:rsidR="00C10A17" w:rsidRDefault="00C10A17">
            <w:pPr>
              <w:spacing w:line="520" w:lineRule="exact"/>
              <w:jc w:val="right"/>
              <w:rPr>
                <w:rStyle w:val="NormalCharacter"/>
                <w:rFonts w:eastAsia="仿宋"/>
                <w:b/>
                <w:kern w:val="0"/>
                <w:sz w:val="32"/>
                <w:szCs w:val="32"/>
              </w:rPr>
            </w:pPr>
            <w:r>
              <w:rPr>
                <w:rStyle w:val="NormalCharacter"/>
                <w:rFonts w:eastAsia="仿宋" w:hAnsi="仿宋" w:hint="eastAsia"/>
                <w:b/>
                <w:kern w:val="0"/>
                <w:sz w:val="32"/>
                <w:szCs w:val="32"/>
              </w:rPr>
              <w:t>结构</w:t>
            </w:r>
          </w:p>
          <w:p w:rsidR="00C10A17" w:rsidRDefault="00C10A17">
            <w:pPr>
              <w:spacing w:line="520" w:lineRule="exact"/>
              <w:rPr>
                <w:rStyle w:val="NormalCharacter"/>
                <w:rFonts w:eastAsia="仿宋"/>
                <w:b/>
                <w:kern w:val="0"/>
                <w:sz w:val="32"/>
                <w:szCs w:val="32"/>
              </w:rPr>
            </w:pPr>
            <w:r>
              <w:rPr>
                <w:rStyle w:val="NormalCharacter"/>
                <w:rFonts w:eastAsia="仿宋" w:hAnsi="仿宋" w:hint="eastAsia"/>
                <w:b/>
                <w:kern w:val="0"/>
                <w:sz w:val="32"/>
                <w:szCs w:val="32"/>
              </w:rPr>
              <w:t>装修等级</w:t>
            </w:r>
          </w:p>
        </w:tc>
        <w:tc>
          <w:tcPr>
            <w:tcW w:w="2207" w:type="dxa"/>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框架</w:t>
            </w:r>
          </w:p>
        </w:tc>
        <w:tc>
          <w:tcPr>
            <w:tcW w:w="2023" w:type="dxa"/>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砖混</w:t>
            </w:r>
          </w:p>
        </w:tc>
        <w:tc>
          <w:tcPr>
            <w:tcW w:w="2391" w:type="dxa"/>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其他</w:t>
            </w:r>
          </w:p>
        </w:tc>
      </w:tr>
      <w:tr w:rsidR="00C10A17">
        <w:trPr>
          <w:trHeight w:val="623"/>
        </w:trPr>
        <w:tc>
          <w:tcPr>
            <w:tcW w:w="2501"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sz w:val="32"/>
                <w:szCs w:val="32"/>
              </w:rPr>
              <w:t>较好</w:t>
            </w:r>
          </w:p>
        </w:tc>
        <w:tc>
          <w:tcPr>
            <w:tcW w:w="2207"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1600</w:t>
            </w:r>
          </w:p>
        </w:tc>
        <w:tc>
          <w:tcPr>
            <w:tcW w:w="2023"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1500</w:t>
            </w:r>
          </w:p>
        </w:tc>
        <w:tc>
          <w:tcPr>
            <w:tcW w:w="2391"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1400</w:t>
            </w:r>
          </w:p>
        </w:tc>
      </w:tr>
      <w:tr w:rsidR="00C10A17">
        <w:trPr>
          <w:trHeight w:val="760"/>
        </w:trPr>
        <w:tc>
          <w:tcPr>
            <w:tcW w:w="2501"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sz w:val="32"/>
                <w:szCs w:val="32"/>
              </w:rPr>
              <w:t>一般</w:t>
            </w:r>
          </w:p>
        </w:tc>
        <w:tc>
          <w:tcPr>
            <w:tcW w:w="2207"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1500</w:t>
            </w:r>
          </w:p>
        </w:tc>
        <w:tc>
          <w:tcPr>
            <w:tcW w:w="2023"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1400</w:t>
            </w:r>
          </w:p>
        </w:tc>
        <w:tc>
          <w:tcPr>
            <w:tcW w:w="2391"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1300</w:t>
            </w:r>
          </w:p>
        </w:tc>
      </w:tr>
      <w:tr w:rsidR="00C10A17">
        <w:trPr>
          <w:trHeight w:val="771"/>
        </w:trPr>
        <w:tc>
          <w:tcPr>
            <w:tcW w:w="2501"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kern w:val="0"/>
                <w:sz w:val="32"/>
                <w:szCs w:val="32"/>
              </w:rPr>
              <w:t>主体无装修</w:t>
            </w:r>
          </w:p>
        </w:tc>
        <w:tc>
          <w:tcPr>
            <w:tcW w:w="2207"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1400</w:t>
            </w:r>
          </w:p>
        </w:tc>
        <w:tc>
          <w:tcPr>
            <w:tcW w:w="2023"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1300</w:t>
            </w:r>
          </w:p>
        </w:tc>
        <w:tc>
          <w:tcPr>
            <w:tcW w:w="2391"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1200</w:t>
            </w:r>
          </w:p>
        </w:tc>
      </w:tr>
      <w:tr w:rsidR="00C10A17">
        <w:trPr>
          <w:trHeight w:val="871"/>
        </w:trPr>
        <w:tc>
          <w:tcPr>
            <w:tcW w:w="9122" w:type="dxa"/>
            <w:gridSpan w:val="4"/>
          </w:tcPr>
          <w:p w:rsidR="00C10A17" w:rsidRDefault="00C10A17">
            <w:pPr>
              <w:spacing w:line="520" w:lineRule="exact"/>
              <w:rPr>
                <w:rStyle w:val="NormalCharacter"/>
                <w:rFonts w:eastAsia="仿宋"/>
                <w:sz w:val="32"/>
                <w:szCs w:val="32"/>
              </w:rPr>
            </w:pPr>
            <w:r>
              <w:rPr>
                <w:rStyle w:val="NormalCharacter"/>
                <w:rFonts w:eastAsia="仿宋" w:hAnsi="仿宋" w:hint="eastAsia"/>
                <w:sz w:val="32"/>
                <w:szCs w:val="32"/>
              </w:rPr>
              <w:t>备注：材料费包含建筑用地使用权、二次装修及建安费。</w:t>
            </w:r>
          </w:p>
        </w:tc>
      </w:tr>
    </w:tbl>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sz w:val="32"/>
          <w:szCs w:val="32"/>
        </w:rPr>
      </w:pPr>
    </w:p>
    <w:p w:rsidR="00C10A17" w:rsidRDefault="00C10A17">
      <w:pPr>
        <w:spacing w:line="520" w:lineRule="exact"/>
        <w:rPr>
          <w:rStyle w:val="NormalCharacter"/>
          <w:rFonts w:eastAsia="仿宋"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r>
        <w:rPr>
          <w:rStyle w:val="NormalCharacter"/>
          <w:rFonts w:ascii="黑体" w:eastAsia="黑体" w:hAnsi="黑体" w:hint="eastAsia"/>
          <w:sz w:val="32"/>
          <w:szCs w:val="32"/>
        </w:rPr>
        <w:t>附件</w:t>
      </w:r>
      <w:r>
        <w:rPr>
          <w:rStyle w:val="NormalCharacter"/>
          <w:rFonts w:ascii="黑体" w:eastAsia="黑体" w:hAnsi="黑体"/>
          <w:sz w:val="32"/>
          <w:szCs w:val="32"/>
        </w:rPr>
        <w:t>3</w:t>
      </w:r>
    </w:p>
    <w:p w:rsidR="00C10A17" w:rsidRDefault="00C10A17">
      <w:pPr>
        <w:spacing w:line="520" w:lineRule="exact"/>
        <w:jc w:val="center"/>
        <w:rPr>
          <w:rStyle w:val="NormalCharacter"/>
          <w:rFonts w:ascii="方正小标宋简体" w:eastAsia="方正小标宋简体"/>
          <w:sz w:val="44"/>
          <w:szCs w:val="44"/>
        </w:rPr>
      </w:pPr>
      <w:r>
        <w:rPr>
          <w:rStyle w:val="NormalCharacter"/>
          <w:rFonts w:ascii="方正小标宋简体" w:eastAsia="方正小标宋简体" w:hAnsi="方正小标宋_GBK" w:hint="eastAsia"/>
          <w:sz w:val="44"/>
          <w:szCs w:val="44"/>
        </w:rPr>
        <w:lastRenderedPageBreak/>
        <w:t>搬迁补助费和临时过渡补助费标准</w:t>
      </w:r>
    </w:p>
    <w:p w:rsidR="00C10A17" w:rsidRDefault="00C10A17">
      <w:pPr>
        <w:spacing w:line="520" w:lineRule="exact"/>
        <w:jc w:val="center"/>
        <w:rPr>
          <w:rStyle w:val="NormalCharacter"/>
          <w:rFonts w:eastAsia="方正小标宋_GBK"/>
          <w:sz w:val="44"/>
          <w:szCs w:val="44"/>
        </w:rPr>
      </w:pPr>
    </w:p>
    <w:tbl>
      <w:tblPr>
        <w:tblpPr w:leftFromText="180" w:rightFromText="180" w:vertAnchor="text" w:horzAnchor="page" w:tblpX="1492" w:tblpY="131"/>
        <w:tblOverlap w:val="never"/>
        <w:tblW w:w="9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440"/>
        <w:gridCol w:w="2109"/>
        <w:gridCol w:w="3291"/>
        <w:gridCol w:w="2474"/>
      </w:tblGrid>
      <w:tr w:rsidR="00C10A17">
        <w:trPr>
          <w:cantSplit/>
        </w:trPr>
        <w:tc>
          <w:tcPr>
            <w:tcW w:w="1440" w:type="dxa"/>
            <w:vMerge w:val="restart"/>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项目</w:t>
            </w:r>
          </w:p>
        </w:tc>
        <w:tc>
          <w:tcPr>
            <w:tcW w:w="5400" w:type="dxa"/>
            <w:gridSpan w:val="2"/>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搬迁补助费（元</w:t>
            </w:r>
            <w:r>
              <w:rPr>
                <w:rStyle w:val="NormalCharacter"/>
                <w:rFonts w:eastAsia="仿宋"/>
                <w:b/>
                <w:sz w:val="32"/>
                <w:szCs w:val="32"/>
              </w:rPr>
              <w:t>/</w:t>
            </w:r>
            <w:r>
              <w:rPr>
                <w:rStyle w:val="NormalCharacter"/>
                <w:rFonts w:eastAsia="仿宋" w:hAnsi="仿宋" w:hint="eastAsia"/>
                <w:b/>
                <w:sz w:val="32"/>
                <w:szCs w:val="32"/>
              </w:rPr>
              <w:t>㎡</w:t>
            </w:r>
            <w:r>
              <w:rPr>
                <w:rStyle w:val="NormalCharacter"/>
                <w:rFonts w:eastAsia="仿宋"/>
                <w:b/>
                <w:sz w:val="32"/>
                <w:szCs w:val="32"/>
              </w:rPr>
              <w:t>·</w:t>
            </w:r>
            <w:r>
              <w:rPr>
                <w:rStyle w:val="NormalCharacter"/>
                <w:rFonts w:eastAsia="仿宋" w:hAnsi="仿宋" w:hint="eastAsia"/>
                <w:b/>
                <w:sz w:val="32"/>
                <w:szCs w:val="32"/>
              </w:rPr>
              <w:t>次）</w:t>
            </w:r>
          </w:p>
        </w:tc>
        <w:tc>
          <w:tcPr>
            <w:tcW w:w="2474" w:type="dxa"/>
            <w:vMerge w:val="restart"/>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临时过渡补助费（元</w:t>
            </w:r>
            <w:r>
              <w:rPr>
                <w:rStyle w:val="NormalCharacter"/>
                <w:rFonts w:eastAsia="仿宋"/>
                <w:b/>
                <w:sz w:val="32"/>
                <w:szCs w:val="32"/>
              </w:rPr>
              <w:t>/</w:t>
            </w:r>
            <w:r>
              <w:rPr>
                <w:rStyle w:val="NormalCharacter"/>
                <w:rFonts w:eastAsia="仿宋" w:hAnsi="仿宋" w:hint="eastAsia"/>
                <w:b/>
                <w:sz w:val="32"/>
                <w:szCs w:val="32"/>
              </w:rPr>
              <w:t>㎡</w:t>
            </w:r>
            <w:r>
              <w:rPr>
                <w:rStyle w:val="NormalCharacter"/>
                <w:rFonts w:eastAsia="仿宋"/>
                <w:b/>
                <w:sz w:val="32"/>
                <w:szCs w:val="32"/>
              </w:rPr>
              <w:t>·</w:t>
            </w:r>
            <w:r>
              <w:rPr>
                <w:rStyle w:val="NormalCharacter"/>
                <w:rFonts w:eastAsia="仿宋" w:hAnsi="仿宋" w:hint="eastAsia"/>
                <w:b/>
                <w:sz w:val="32"/>
                <w:szCs w:val="32"/>
              </w:rPr>
              <w:t>月）</w:t>
            </w:r>
          </w:p>
        </w:tc>
      </w:tr>
      <w:tr w:rsidR="00C10A17">
        <w:trPr>
          <w:cantSplit/>
          <w:trHeight w:val="205"/>
        </w:trPr>
        <w:tc>
          <w:tcPr>
            <w:tcW w:w="1440" w:type="dxa"/>
            <w:vMerge/>
            <w:vAlign w:val="center"/>
          </w:tcPr>
          <w:p w:rsidR="00C10A17" w:rsidRDefault="00C10A17">
            <w:pPr>
              <w:spacing w:line="520" w:lineRule="exact"/>
              <w:jc w:val="center"/>
              <w:rPr>
                <w:rStyle w:val="NormalCharacter"/>
                <w:rFonts w:eastAsia="仿宋_GB2312"/>
                <w:sz w:val="30"/>
                <w:szCs w:val="30"/>
              </w:rPr>
            </w:pPr>
          </w:p>
        </w:tc>
        <w:tc>
          <w:tcPr>
            <w:tcW w:w="2109" w:type="dxa"/>
            <w:vAlign w:val="center"/>
          </w:tcPr>
          <w:p w:rsidR="00C10A17" w:rsidRDefault="00C10A17">
            <w:pPr>
              <w:spacing w:line="520" w:lineRule="exact"/>
              <w:jc w:val="center"/>
              <w:rPr>
                <w:rStyle w:val="NormalCharacter"/>
                <w:rFonts w:eastAsia="仿宋"/>
                <w:b/>
                <w:sz w:val="32"/>
                <w:szCs w:val="32"/>
              </w:rPr>
            </w:pPr>
            <w:r>
              <w:rPr>
                <w:rStyle w:val="NormalCharacter"/>
                <w:rFonts w:eastAsia="仿宋" w:hAnsi="仿宋" w:hint="eastAsia"/>
                <w:b/>
                <w:sz w:val="32"/>
                <w:szCs w:val="32"/>
              </w:rPr>
              <w:t>住宅</w:t>
            </w:r>
          </w:p>
        </w:tc>
        <w:tc>
          <w:tcPr>
            <w:tcW w:w="3291" w:type="dxa"/>
            <w:vAlign w:val="center"/>
          </w:tcPr>
          <w:p w:rsidR="00C10A17" w:rsidRDefault="00C10A17">
            <w:pPr>
              <w:spacing w:line="520" w:lineRule="exact"/>
              <w:jc w:val="center"/>
              <w:rPr>
                <w:rStyle w:val="NormalCharacter"/>
                <w:rFonts w:eastAsia="仿宋"/>
                <w:b/>
                <w:dstrike/>
                <w:color w:val="FF0000"/>
                <w:sz w:val="32"/>
                <w:szCs w:val="32"/>
              </w:rPr>
            </w:pPr>
            <w:r>
              <w:rPr>
                <w:rStyle w:val="NormalCharacter"/>
                <w:rFonts w:eastAsia="仿宋" w:hAnsi="仿宋" w:hint="eastAsia"/>
                <w:b/>
                <w:sz w:val="32"/>
                <w:szCs w:val="32"/>
              </w:rPr>
              <w:t>经营性用房</w:t>
            </w:r>
          </w:p>
        </w:tc>
        <w:tc>
          <w:tcPr>
            <w:tcW w:w="2474" w:type="dxa"/>
            <w:vMerge/>
            <w:vAlign w:val="center"/>
          </w:tcPr>
          <w:p w:rsidR="00C10A17" w:rsidRDefault="00C10A17">
            <w:pPr>
              <w:spacing w:line="520" w:lineRule="exact"/>
              <w:jc w:val="center"/>
              <w:rPr>
                <w:rStyle w:val="NormalCharacter"/>
                <w:rFonts w:eastAsia="仿宋_GB2312"/>
                <w:b/>
                <w:sz w:val="30"/>
                <w:szCs w:val="30"/>
              </w:rPr>
            </w:pPr>
          </w:p>
        </w:tc>
      </w:tr>
      <w:tr w:rsidR="00C10A17">
        <w:trPr>
          <w:cantSplit/>
        </w:trPr>
        <w:tc>
          <w:tcPr>
            <w:tcW w:w="1440" w:type="dxa"/>
            <w:vMerge w:val="restart"/>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sz w:val="32"/>
                <w:szCs w:val="32"/>
              </w:rPr>
              <w:t>标准</w:t>
            </w:r>
          </w:p>
        </w:tc>
        <w:tc>
          <w:tcPr>
            <w:tcW w:w="2109" w:type="dxa"/>
            <w:vMerge w:val="restart"/>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5</w:t>
            </w:r>
          </w:p>
        </w:tc>
        <w:tc>
          <w:tcPr>
            <w:tcW w:w="3291" w:type="dxa"/>
            <w:vMerge w:val="restart"/>
            <w:vAlign w:val="center"/>
          </w:tcPr>
          <w:p w:rsidR="00C10A17" w:rsidRDefault="00C10A17">
            <w:pPr>
              <w:spacing w:line="520" w:lineRule="exact"/>
              <w:jc w:val="center"/>
              <w:rPr>
                <w:rStyle w:val="NormalCharacter"/>
                <w:rFonts w:eastAsia="仿宋" w:hint="eastAsia"/>
                <w:sz w:val="32"/>
                <w:szCs w:val="32"/>
              </w:rPr>
            </w:pPr>
            <w:r>
              <w:rPr>
                <w:rStyle w:val="NormalCharacter"/>
                <w:rFonts w:eastAsia="仿宋"/>
                <w:sz w:val="32"/>
                <w:szCs w:val="32"/>
              </w:rPr>
              <w:t>6</w:t>
            </w:r>
          </w:p>
        </w:tc>
        <w:tc>
          <w:tcPr>
            <w:tcW w:w="2474"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sz w:val="32"/>
                <w:szCs w:val="32"/>
              </w:rPr>
              <w:t>住宅</w:t>
            </w:r>
          </w:p>
        </w:tc>
      </w:tr>
      <w:tr w:rsidR="00C10A17">
        <w:trPr>
          <w:cantSplit/>
        </w:trPr>
        <w:tc>
          <w:tcPr>
            <w:tcW w:w="1440" w:type="dxa"/>
            <w:vMerge/>
            <w:vAlign w:val="center"/>
          </w:tcPr>
          <w:p w:rsidR="00C10A17" w:rsidRDefault="00C10A17">
            <w:pPr>
              <w:spacing w:line="520" w:lineRule="exact"/>
              <w:jc w:val="center"/>
              <w:rPr>
                <w:rStyle w:val="NormalCharacter"/>
                <w:rFonts w:eastAsia="仿宋"/>
                <w:sz w:val="32"/>
                <w:szCs w:val="32"/>
              </w:rPr>
            </w:pPr>
          </w:p>
        </w:tc>
        <w:tc>
          <w:tcPr>
            <w:tcW w:w="2109" w:type="dxa"/>
            <w:vMerge/>
            <w:vAlign w:val="center"/>
          </w:tcPr>
          <w:p w:rsidR="00C10A17" w:rsidRDefault="00C10A17">
            <w:pPr>
              <w:spacing w:line="520" w:lineRule="exact"/>
              <w:jc w:val="center"/>
              <w:rPr>
                <w:rStyle w:val="NormalCharacter"/>
                <w:rFonts w:eastAsia="仿宋"/>
                <w:sz w:val="32"/>
                <w:szCs w:val="32"/>
              </w:rPr>
            </w:pPr>
          </w:p>
        </w:tc>
        <w:tc>
          <w:tcPr>
            <w:tcW w:w="3291" w:type="dxa"/>
            <w:vMerge/>
            <w:vAlign w:val="center"/>
          </w:tcPr>
          <w:p w:rsidR="00C10A17" w:rsidRDefault="00C10A17">
            <w:pPr>
              <w:spacing w:line="520" w:lineRule="exact"/>
              <w:jc w:val="center"/>
              <w:rPr>
                <w:rStyle w:val="NormalCharacter"/>
                <w:rFonts w:eastAsia="仿宋"/>
                <w:sz w:val="32"/>
                <w:szCs w:val="32"/>
              </w:rPr>
            </w:pPr>
          </w:p>
        </w:tc>
        <w:tc>
          <w:tcPr>
            <w:tcW w:w="2474"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sz w:val="32"/>
                <w:szCs w:val="32"/>
              </w:rPr>
              <w:t>8</w:t>
            </w:r>
          </w:p>
        </w:tc>
      </w:tr>
    </w:tbl>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t>附件</w:t>
      </w:r>
      <w:r>
        <w:rPr>
          <w:rStyle w:val="NormalCharacter"/>
          <w:rFonts w:ascii="黑体" w:eastAsia="黑体" w:hAnsi="黑体"/>
          <w:sz w:val="32"/>
          <w:szCs w:val="32"/>
        </w:rPr>
        <w:t>4</w:t>
      </w:r>
    </w:p>
    <w:p w:rsidR="00C10A17" w:rsidRDefault="00C10A17">
      <w:pPr>
        <w:spacing w:line="520" w:lineRule="exact"/>
        <w:jc w:val="center"/>
        <w:rPr>
          <w:rStyle w:val="NormalCharacter"/>
          <w:rFonts w:ascii="方正小标宋简体" w:eastAsia="方正小标宋简体"/>
          <w:sz w:val="32"/>
          <w:szCs w:val="32"/>
        </w:rPr>
      </w:pPr>
      <w:r>
        <w:rPr>
          <w:rStyle w:val="NormalCharacter"/>
          <w:rFonts w:ascii="方正小标宋简体" w:eastAsia="方正小标宋简体" w:hAnsi="方正小标宋_GBK" w:hint="eastAsia"/>
          <w:sz w:val="44"/>
          <w:szCs w:val="44"/>
        </w:rPr>
        <w:lastRenderedPageBreak/>
        <w:t>被征收住宅装修分类及补偿单价表</w:t>
      </w:r>
    </w:p>
    <w:p w:rsidR="00C10A17" w:rsidRDefault="00C10A17">
      <w:pPr>
        <w:spacing w:line="500" w:lineRule="exact"/>
        <w:jc w:val="right"/>
        <w:rPr>
          <w:rStyle w:val="NormalCharacter"/>
          <w:rFonts w:eastAsia="仿宋"/>
          <w:sz w:val="32"/>
          <w:szCs w:val="32"/>
        </w:rPr>
      </w:pPr>
      <w:r>
        <w:rPr>
          <w:rStyle w:val="NormalCharacter"/>
          <w:rFonts w:eastAsia="仿宋" w:hAnsi="仿宋" w:hint="eastAsia"/>
          <w:sz w:val="32"/>
          <w:szCs w:val="32"/>
        </w:rPr>
        <w:t>金额单位：元</w:t>
      </w:r>
      <w:r>
        <w:rPr>
          <w:rStyle w:val="NormalCharacter"/>
          <w:rFonts w:eastAsia="仿宋"/>
          <w:sz w:val="32"/>
          <w:szCs w:val="32"/>
        </w:rPr>
        <w:t>/</w:t>
      </w:r>
      <w:r>
        <w:rPr>
          <w:rStyle w:val="NormalCharacter"/>
          <w:rFonts w:eastAsia="仿宋" w:hAnsi="仿宋" w:hint="eastAsia"/>
          <w:sz w:val="32"/>
          <w:szCs w:val="32"/>
        </w:rPr>
        <w:t>㎡</w:t>
      </w:r>
    </w:p>
    <w:tbl>
      <w:tblPr>
        <w:tblpPr w:leftFromText="180" w:rightFromText="180" w:vertAnchor="text" w:horzAnchor="page" w:tblpX="901" w:tblpY="390"/>
        <w:tblOverlap w:val="never"/>
        <w:tblW w:w="10351"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gridCol w:w="1006"/>
        <w:gridCol w:w="1617"/>
        <w:gridCol w:w="7728"/>
      </w:tblGrid>
      <w:tr w:rsidR="00C10A17">
        <w:trPr>
          <w:trHeight w:val="480"/>
          <w:tblHeader/>
        </w:trPr>
        <w:tc>
          <w:tcPr>
            <w:tcW w:w="1006"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500" w:lineRule="exact"/>
              <w:jc w:val="center"/>
              <w:rPr>
                <w:rStyle w:val="NormalCharacter"/>
                <w:rFonts w:eastAsia="仿宋"/>
                <w:b/>
                <w:bCs/>
                <w:kern w:val="0"/>
                <w:sz w:val="32"/>
                <w:szCs w:val="32"/>
              </w:rPr>
            </w:pPr>
            <w:r>
              <w:rPr>
                <w:rStyle w:val="NormalCharacter"/>
                <w:rFonts w:eastAsia="仿宋" w:hAnsi="仿宋" w:hint="eastAsia"/>
                <w:b/>
                <w:bCs/>
                <w:kern w:val="0"/>
                <w:sz w:val="32"/>
                <w:szCs w:val="32"/>
              </w:rPr>
              <w:t>类别</w:t>
            </w:r>
          </w:p>
        </w:tc>
        <w:tc>
          <w:tcPr>
            <w:tcW w:w="1617"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500" w:lineRule="exact"/>
              <w:jc w:val="center"/>
              <w:rPr>
                <w:rStyle w:val="NormalCharacter"/>
                <w:rFonts w:eastAsia="仿宋"/>
                <w:b/>
                <w:bCs/>
                <w:kern w:val="0"/>
                <w:sz w:val="32"/>
                <w:szCs w:val="32"/>
              </w:rPr>
            </w:pPr>
            <w:r>
              <w:rPr>
                <w:rStyle w:val="NormalCharacter"/>
                <w:rFonts w:eastAsia="仿宋" w:hAnsi="仿宋" w:hint="eastAsia"/>
                <w:b/>
                <w:bCs/>
                <w:kern w:val="0"/>
                <w:sz w:val="32"/>
                <w:szCs w:val="32"/>
              </w:rPr>
              <w:t>补偿金额</w:t>
            </w:r>
          </w:p>
        </w:tc>
        <w:tc>
          <w:tcPr>
            <w:tcW w:w="772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500" w:lineRule="exact"/>
              <w:jc w:val="center"/>
              <w:rPr>
                <w:rStyle w:val="NormalCharacter"/>
                <w:rFonts w:eastAsia="仿宋"/>
                <w:b/>
                <w:bCs/>
                <w:kern w:val="0"/>
                <w:sz w:val="32"/>
                <w:szCs w:val="32"/>
              </w:rPr>
            </w:pPr>
            <w:r>
              <w:rPr>
                <w:rStyle w:val="NormalCharacter"/>
                <w:rFonts w:eastAsia="仿宋" w:hAnsi="仿宋" w:hint="eastAsia"/>
                <w:b/>
                <w:bCs/>
                <w:kern w:val="0"/>
                <w:sz w:val="32"/>
                <w:szCs w:val="32"/>
              </w:rPr>
              <w:t>主要特征</w:t>
            </w:r>
          </w:p>
        </w:tc>
      </w:tr>
      <w:tr w:rsidR="00C10A17">
        <w:trPr>
          <w:trHeight w:val="3476"/>
        </w:trPr>
        <w:tc>
          <w:tcPr>
            <w:tcW w:w="1006"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rPr>
            </w:pPr>
            <w:r>
              <w:rPr>
                <w:rStyle w:val="NormalCharacter"/>
                <w:rFonts w:eastAsia="仿宋" w:hAnsi="仿宋" w:hint="eastAsia"/>
                <w:kern w:val="0"/>
                <w:sz w:val="32"/>
              </w:rPr>
              <w:t>一档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rPr>
            </w:pPr>
            <w:r>
              <w:rPr>
                <w:rStyle w:val="NormalCharacter"/>
                <w:rFonts w:eastAsia="仿宋"/>
                <w:kern w:val="0"/>
                <w:sz w:val="32"/>
              </w:rPr>
              <w:t>600</w:t>
            </w:r>
          </w:p>
        </w:tc>
        <w:tc>
          <w:tcPr>
            <w:tcW w:w="772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left"/>
              <w:rPr>
                <w:rStyle w:val="NormalCharacter"/>
                <w:rFonts w:eastAsia="仿宋"/>
                <w:kern w:val="0"/>
                <w:sz w:val="32"/>
              </w:rPr>
            </w:pPr>
            <w:r>
              <w:rPr>
                <w:rStyle w:val="NormalCharacter"/>
                <w:rFonts w:eastAsia="仿宋" w:hAnsi="仿宋" w:hint="eastAsia"/>
                <w:kern w:val="0"/>
                <w:sz w:val="32"/>
              </w:rPr>
              <w:t>外墙三面以上条形瓷砖、砌清水砖或同档次外墙装饰；</w:t>
            </w:r>
            <w:r>
              <w:rPr>
                <w:rStyle w:val="NormalCharacter"/>
                <w:rFonts w:eastAsia="仿宋"/>
                <w:kern w:val="0"/>
                <w:sz w:val="32"/>
              </w:rPr>
              <w:br w:type="textWrapping" w:clear="all"/>
            </w:r>
            <w:r>
              <w:rPr>
                <w:rStyle w:val="NormalCharacter"/>
                <w:rFonts w:eastAsia="仿宋" w:hAnsi="仿宋" w:hint="eastAsia"/>
                <w:kern w:val="0"/>
                <w:sz w:val="32"/>
              </w:rPr>
              <w:t>塑钢或铝合金窗，不锈钢防盗网；</w:t>
            </w:r>
            <w:r>
              <w:rPr>
                <w:rStyle w:val="NormalCharacter"/>
                <w:rFonts w:eastAsia="仿宋"/>
                <w:kern w:val="0"/>
                <w:sz w:val="32"/>
              </w:rPr>
              <w:br w:type="textWrapping" w:clear="all"/>
            </w:r>
            <w:r>
              <w:rPr>
                <w:rStyle w:val="NormalCharacter"/>
                <w:rFonts w:eastAsia="仿宋" w:hAnsi="仿宋" w:hint="eastAsia"/>
                <w:kern w:val="0"/>
                <w:sz w:val="32"/>
              </w:rPr>
              <w:t>入户门为防盗门，室内实木门；</w:t>
            </w:r>
            <w:r>
              <w:rPr>
                <w:rStyle w:val="NormalCharacter"/>
                <w:rFonts w:eastAsia="仿宋"/>
                <w:kern w:val="0"/>
                <w:sz w:val="32"/>
              </w:rPr>
              <w:br w:type="textWrapping" w:clear="all"/>
            </w:r>
            <w:r>
              <w:rPr>
                <w:rStyle w:val="NormalCharacter"/>
                <w:rFonts w:eastAsia="仿宋" w:hAnsi="仿宋" w:hint="eastAsia"/>
                <w:kern w:val="0"/>
                <w:sz w:val="32"/>
              </w:rPr>
              <w:t>楼梯为实木扶手，知名品牌缸砖或同档次石板材踏步；</w:t>
            </w:r>
            <w:r>
              <w:rPr>
                <w:rStyle w:val="NormalCharacter"/>
                <w:rFonts w:eastAsia="仿宋"/>
                <w:kern w:val="0"/>
                <w:sz w:val="32"/>
              </w:rPr>
              <w:br w:type="textWrapping" w:clear="all"/>
            </w:r>
            <w:r>
              <w:rPr>
                <w:rStyle w:val="NormalCharacter"/>
                <w:rFonts w:eastAsia="仿宋" w:hAnsi="仿宋" w:hint="eastAsia"/>
                <w:kern w:val="0"/>
                <w:sz w:val="32"/>
              </w:rPr>
              <w:t>楼地面为知名品牌缸砖或木地板、花岗岩；</w:t>
            </w:r>
            <w:r>
              <w:rPr>
                <w:rStyle w:val="NormalCharacter"/>
                <w:rFonts w:eastAsia="仿宋"/>
                <w:kern w:val="0"/>
                <w:sz w:val="32"/>
              </w:rPr>
              <w:br w:type="textWrapping" w:clear="all"/>
            </w:r>
            <w:r>
              <w:rPr>
                <w:rStyle w:val="NormalCharacter"/>
                <w:rFonts w:eastAsia="仿宋" w:hAnsi="仿宋" w:hint="eastAsia"/>
                <w:kern w:val="0"/>
                <w:sz w:val="32"/>
              </w:rPr>
              <w:t>内墙面为</w:t>
            </w:r>
            <w:r>
              <w:rPr>
                <w:rStyle w:val="NormalCharacter"/>
                <w:rFonts w:eastAsia="仿宋"/>
                <w:kern w:val="0"/>
                <w:sz w:val="32"/>
              </w:rPr>
              <w:t>ICI</w:t>
            </w:r>
            <w:r>
              <w:rPr>
                <w:rStyle w:val="NormalCharacter"/>
                <w:rFonts w:eastAsia="仿宋" w:hAnsi="仿宋" w:hint="eastAsia"/>
                <w:kern w:val="0"/>
                <w:sz w:val="32"/>
              </w:rPr>
              <w:t>涂料粉刷、木墙裙、局部贴墙纸，局部有造型；</w:t>
            </w:r>
            <w:r>
              <w:rPr>
                <w:rStyle w:val="NormalCharacter"/>
                <w:rFonts w:eastAsia="仿宋"/>
                <w:kern w:val="0"/>
                <w:sz w:val="32"/>
              </w:rPr>
              <w:br w:type="textWrapping" w:clear="all"/>
            </w:r>
            <w:r>
              <w:rPr>
                <w:rStyle w:val="NormalCharacter"/>
                <w:rFonts w:eastAsia="仿宋" w:hAnsi="仿宋" w:hint="eastAsia"/>
                <w:kern w:val="0"/>
                <w:sz w:val="32"/>
              </w:rPr>
              <w:t>天棚为木吊顶、四周角线，带灯座（较豪华）；</w:t>
            </w:r>
            <w:r>
              <w:rPr>
                <w:rStyle w:val="NormalCharacter"/>
                <w:rFonts w:eastAsia="仿宋"/>
                <w:kern w:val="0"/>
                <w:sz w:val="32"/>
              </w:rPr>
              <w:br w:type="textWrapping" w:clear="all"/>
            </w:r>
            <w:r>
              <w:rPr>
                <w:rStyle w:val="NormalCharacter"/>
                <w:rFonts w:eastAsia="仿宋" w:hAnsi="仿宋" w:hint="eastAsia"/>
                <w:kern w:val="0"/>
                <w:sz w:val="32"/>
              </w:rPr>
              <w:t>室内设有不可移动组合式壁柜；</w:t>
            </w:r>
            <w:r>
              <w:rPr>
                <w:rStyle w:val="NormalCharacter"/>
                <w:rFonts w:eastAsia="仿宋"/>
                <w:kern w:val="0"/>
                <w:sz w:val="32"/>
              </w:rPr>
              <w:br w:type="textWrapping" w:clear="all"/>
            </w:r>
            <w:r>
              <w:rPr>
                <w:rStyle w:val="NormalCharacter"/>
                <w:rFonts w:eastAsia="仿宋" w:hAnsi="仿宋" w:hint="eastAsia"/>
                <w:kern w:val="0"/>
                <w:sz w:val="32"/>
              </w:rPr>
              <w:t>厨房楼地面缸砖、花岗岩，瓷砖墙面，铝塑板吊顶，整体橱柜；</w:t>
            </w:r>
            <w:r>
              <w:rPr>
                <w:rStyle w:val="NormalCharacter"/>
                <w:rFonts w:eastAsia="仿宋"/>
                <w:kern w:val="0"/>
                <w:sz w:val="32"/>
              </w:rPr>
              <w:br w:type="textWrapping" w:clear="all"/>
            </w:r>
            <w:r>
              <w:rPr>
                <w:rStyle w:val="NormalCharacter"/>
                <w:rFonts w:eastAsia="仿宋" w:hAnsi="仿宋" w:hint="eastAsia"/>
                <w:kern w:val="0"/>
                <w:sz w:val="32"/>
              </w:rPr>
              <w:t>卫生间楼地面防滑砖，瓷砖墙面，铝塑板吊顶，知名品牌卫生洁具；</w:t>
            </w:r>
            <w:r>
              <w:rPr>
                <w:rStyle w:val="NormalCharacter"/>
                <w:rFonts w:eastAsia="仿宋"/>
                <w:kern w:val="0"/>
                <w:sz w:val="32"/>
              </w:rPr>
              <w:br w:type="textWrapping" w:clear="all"/>
            </w:r>
            <w:r>
              <w:rPr>
                <w:rStyle w:val="NormalCharacter"/>
                <w:rFonts w:eastAsia="仿宋" w:hAnsi="仿宋" w:hint="eastAsia"/>
                <w:kern w:val="0"/>
                <w:sz w:val="32"/>
              </w:rPr>
              <w:t>水电设备齐全；</w:t>
            </w:r>
          </w:p>
        </w:tc>
      </w:tr>
      <w:tr w:rsidR="00C10A17">
        <w:trPr>
          <w:trHeight w:val="582"/>
        </w:trPr>
        <w:tc>
          <w:tcPr>
            <w:tcW w:w="1006"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t>二档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kern w:val="0"/>
                <w:sz w:val="32"/>
                <w:szCs w:val="32"/>
              </w:rPr>
              <w:t>500</w:t>
            </w:r>
          </w:p>
        </w:tc>
        <w:tc>
          <w:tcPr>
            <w:tcW w:w="772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外墙两面以上条形瓷砖、砌清水砖或同档次外墙装饰；</w:t>
            </w:r>
            <w:r>
              <w:rPr>
                <w:rStyle w:val="NormalCharacter"/>
                <w:rFonts w:eastAsia="仿宋"/>
                <w:kern w:val="0"/>
                <w:sz w:val="32"/>
                <w:szCs w:val="32"/>
              </w:rPr>
              <w:br w:type="textWrapping" w:clear="all"/>
            </w:r>
            <w:r>
              <w:rPr>
                <w:rStyle w:val="NormalCharacter"/>
                <w:rFonts w:eastAsia="仿宋" w:hAnsi="仿宋" w:hint="eastAsia"/>
                <w:kern w:val="0"/>
                <w:sz w:val="32"/>
                <w:szCs w:val="32"/>
              </w:rPr>
              <w:t>塑钢或铝合金窗，防盗网；</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入户门为铁门，室内木质门或其他同档次室内门；</w:t>
            </w:r>
            <w:r>
              <w:rPr>
                <w:rStyle w:val="NormalCharacter"/>
                <w:rFonts w:eastAsia="仿宋"/>
                <w:kern w:val="0"/>
                <w:sz w:val="32"/>
                <w:szCs w:val="32"/>
              </w:rPr>
              <w:br w:type="textWrapping" w:clear="all"/>
            </w:r>
            <w:r>
              <w:rPr>
                <w:rStyle w:val="NormalCharacter"/>
                <w:rFonts w:eastAsia="仿宋" w:hAnsi="仿宋" w:hint="eastAsia"/>
                <w:kern w:val="0"/>
                <w:sz w:val="32"/>
                <w:szCs w:val="32"/>
              </w:rPr>
              <w:t>楼梯为普通扶手，普通缸砖或同档次石板材踏步；</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楼地面为普通花岗岩或缸砖；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内墙面为</w:t>
            </w:r>
            <w:r>
              <w:rPr>
                <w:rStyle w:val="NormalCharacter"/>
                <w:rFonts w:eastAsia="仿宋"/>
                <w:kern w:val="0"/>
                <w:sz w:val="32"/>
                <w:szCs w:val="32"/>
              </w:rPr>
              <w:t>ICI</w:t>
            </w:r>
            <w:r>
              <w:rPr>
                <w:rStyle w:val="NormalCharacter"/>
                <w:rFonts w:eastAsia="仿宋" w:hAnsi="仿宋" w:hint="eastAsia"/>
                <w:kern w:val="0"/>
                <w:sz w:val="32"/>
                <w:szCs w:val="32"/>
              </w:rPr>
              <w:t>涂料粉刷、瓷砖墙裙，木质墙裙，局部有造型；</w:t>
            </w:r>
            <w:r>
              <w:rPr>
                <w:rStyle w:val="NormalCharacter"/>
                <w:rFonts w:eastAsia="仿宋"/>
                <w:kern w:val="0"/>
                <w:sz w:val="32"/>
                <w:szCs w:val="32"/>
              </w:rPr>
              <w:br w:type="textWrapping" w:clear="all"/>
            </w:r>
            <w:r>
              <w:rPr>
                <w:rStyle w:val="NormalCharacter"/>
                <w:rFonts w:eastAsia="仿宋" w:hAnsi="仿宋" w:hint="eastAsia"/>
                <w:kern w:val="0"/>
                <w:sz w:val="32"/>
                <w:szCs w:val="32"/>
              </w:rPr>
              <w:t>天棚为木吊顶或涂料粉刷天棚，带灯座；</w:t>
            </w:r>
            <w:r>
              <w:rPr>
                <w:rStyle w:val="NormalCharacter"/>
                <w:rFonts w:eastAsia="仿宋"/>
                <w:kern w:val="0"/>
                <w:sz w:val="32"/>
                <w:szCs w:val="32"/>
              </w:rPr>
              <w:br w:type="textWrapping" w:clear="all"/>
            </w:r>
            <w:r>
              <w:rPr>
                <w:rStyle w:val="NormalCharacter"/>
                <w:rFonts w:eastAsia="仿宋" w:hAnsi="仿宋" w:hint="eastAsia"/>
                <w:kern w:val="0"/>
                <w:sz w:val="32"/>
                <w:szCs w:val="32"/>
              </w:rPr>
              <w:t>室内设有部分不可移动壁柜；</w:t>
            </w:r>
            <w:r>
              <w:rPr>
                <w:rStyle w:val="NormalCharacter"/>
                <w:rFonts w:eastAsia="仿宋"/>
                <w:kern w:val="0"/>
                <w:sz w:val="32"/>
                <w:szCs w:val="32"/>
              </w:rPr>
              <w:br w:type="textWrapping" w:clear="all"/>
            </w:r>
            <w:r>
              <w:rPr>
                <w:rStyle w:val="NormalCharacter"/>
                <w:rFonts w:eastAsia="仿宋" w:hAnsi="仿宋" w:hint="eastAsia"/>
                <w:kern w:val="0"/>
                <w:sz w:val="32"/>
                <w:szCs w:val="32"/>
              </w:rPr>
              <w:t>厨房楼地面地板砖，瓷砖墙面，普通吊顶，普通橱柜；</w:t>
            </w:r>
            <w:r>
              <w:rPr>
                <w:rStyle w:val="NormalCharacter"/>
                <w:rFonts w:eastAsia="仿宋"/>
                <w:kern w:val="0"/>
                <w:sz w:val="32"/>
                <w:szCs w:val="32"/>
              </w:rPr>
              <w:br w:type="textWrapping" w:clear="all"/>
            </w:r>
            <w:r>
              <w:rPr>
                <w:rStyle w:val="NormalCharacter"/>
                <w:rFonts w:eastAsia="仿宋" w:hAnsi="仿宋" w:hint="eastAsia"/>
                <w:kern w:val="0"/>
                <w:sz w:val="32"/>
                <w:szCs w:val="32"/>
              </w:rPr>
              <w:t>卫生间楼地面防滑砖，瓷砖墙面、普通吊顶，普通卫生洁具；</w:t>
            </w:r>
            <w:r>
              <w:rPr>
                <w:rStyle w:val="NormalCharacter"/>
                <w:rFonts w:eastAsia="仿宋"/>
                <w:kern w:val="0"/>
                <w:sz w:val="32"/>
                <w:szCs w:val="32"/>
              </w:rPr>
              <w:br w:type="textWrapping" w:clear="all"/>
            </w:r>
            <w:r>
              <w:rPr>
                <w:rStyle w:val="NormalCharacter"/>
                <w:rFonts w:eastAsia="仿宋" w:hAnsi="仿宋" w:hint="eastAsia"/>
                <w:kern w:val="0"/>
                <w:sz w:val="32"/>
                <w:szCs w:val="32"/>
              </w:rPr>
              <w:t>水电设备齐全。</w:t>
            </w:r>
          </w:p>
        </w:tc>
      </w:tr>
      <w:tr w:rsidR="00C10A17">
        <w:trPr>
          <w:trHeight w:val="3102"/>
        </w:trPr>
        <w:tc>
          <w:tcPr>
            <w:tcW w:w="1006"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lastRenderedPageBreak/>
              <w:t>三档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kern w:val="0"/>
                <w:sz w:val="32"/>
                <w:szCs w:val="32"/>
              </w:rPr>
              <w:t>400</w:t>
            </w:r>
          </w:p>
        </w:tc>
        <w:tc>
          <w:tcPr>
            <w:tcW w:w="772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外墙一面以上条形瓷砖、砌清水砖或同档次外墙装饰；</w:t>
            </w:r>
            <w:r>
              <w:rPr>
                <w:rStyle w:val="NormalCharacter"/>
                <w:rFonts w:eastAsia="仿宋"/>
                <w:kern w:val="0"/>
                <w:sz w:val="32"/>
                <w:szCs w:val="32"/>
              </w:rPr>
              <w:br w:type="textWrapping" w:clear="all"/>
            </w:r>
            <w:r>
              <w:rPr>
                <w:rStyle w:val="NormalCharacter"/>
                <w:rFonts w:eastAsia="仿宋" w:hAnsi="仿宋" w:hint="eastAsia"/>
                <w:kern w:val="0"/>
                <w:sz w:val="32"/>
                <w:szCs w:val="32"/>
              </w:rPr>
              <w:t>铝合金窗；</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入户门为铁门，室内木质门或其他同档次室内门；</w:t>
            </w:r>
            <w:r>
              <w:rPr>
                <w:rStyle w:val="NormalCharacter"/>
                <w:rFonts w:eastAsia="仿宋"/>
                <w:kern w:val="0"/>
                <w:sz w:val="32"/>
                <w:szCs w:val="32"/>
              </w:rPr>
              <w:br w:type="textWrapping" w:clear="all"/>
            </w:r>
            <w:r>
              <w:rPr>
                <w:rStyle w:val="NormalCharacter"/>
                <w:rFonts w:eastAsia="仿宋" w:hAnsi="仿宋" w:hint="eastAsia"/>
                <w:kern w:val="0"/>
                <w:sz w:val="32"/>
                <w:szCs w:val="32"/>
              </w:rPr>
              <w:t>楼梯为普通扶手，普通缸砖或同档次石板材踏步；</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楼地面为普通瓷砖；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内墙面普通涂料粉刷；</w:t>
            </w:r>
            <w:r>
              <w:rPr>
                <w:rStyle w:val="NormalCharacter"/>
                <w:rFonts w:eastAsia="仿宋"/>
                <w:kern w:val="0"/>
                <w:sz w:val="32"/>
                <w:szCs w:val="32"/>
              </w:rPr>
              <w:br w:type="textWrapping" w:clear="all"/>
            </w:r>
            <w:r>
              <w:rPr>
                <w:rStyle w:val="NormalCharacter"/>
                <w:rFonts w:eastAsia="仿宋" w:hAnsi="仿宋" w:hint="eastAsia"/>
                <w:kern w:val="0"/>
                <w:sz w:val="32"/>
                <w:szCs w:val="32"/>
              </w:rPr>
              <w:t>天棚为涂料粉刷，四周角线，普通照明灯；</w:t>
            </w:r>
            <w:r>
              <w:rPr>
                <w:rStyle w:val="NormalCharacter"/>
                <w:rFonts w:eastAsia="仿宋"/>
                <w:kern w:val="0"/>
                <w:sz w:val="32"/>
                <w:szCs w:val="32"/>
              </w:rPr>
              <w:br w:type="textWrapping" w:clear="all"/>
            </w:r>
            <w:r>
              <w:rPr>
                <w:rStyle w:val="NormalCharacter"/>
                <w:rFonts w:eastAsia="仿宋" w:hAnsi="仿宋" w:hint="eastAsia"/>
                <w:kern w:val="0"/>
                <w:sz w:val="32"/>
                <w:szCs w:val="32"/>
              </w:rPr>
              <w:t>厨房楼地面地板砖，墙面部分瓷砖，普通吊顶，普通灶台；</w:t>
            </w:r>
            <w:r>
              <w:rPr>
                <w:rStyle w:val="NormalCharacter"/>
                <w:rFonts w:eastAsia="仿宋"/>
                <w:kern w:val="0"/>
                <w:sz w:val="32"/>
                <w:szCs w:val="32"/>
              </w:rPr>
              <w:br w:type="textWrapping" w:clear="all"/>
            </w:r>
            <w:r>
              <w:rPr>
                <w:rStyle w:val="NormalCharacter"/>
                <w:rFonts w:eastAsia="仿宋" w:hAnsi="仿宋" w:hint="eastAsia"/>
                <w:kern w:val="0"/>
                <w:sz w:val="32"/>
                <w:szCs w:val="32"/>
              </w:rPr>
              <w:t>卫生间楼地面防滑砖，墙面部分瓷砖，普通吊顶，普通卫生洁具；</w:t>
            </w:r>
            <w:r>
              <w:rPr>
                <w:rStyle w:val="NormalCharacter"/>
                <w:rFonts w:eastAsia="仿宋"/>
                <w:kern w:val="0"/>
                <w:sz w:val="32"/>
                <w:szCs w:val="32"/>
              </w:rPr>
              <w:br w:type="textWrapping" w:clear="all"/>
            </w:r>
            <w:r>
              <w:rPr>
                <w:rStyle w:val="NormalCharacter"/>
                <w:rFonts w:eastAsia="仿宋" w:hAnsi="仿宋" w:hint="eastAsia"/>
                <w:kern w:val="0"/>
                <w:sz w:val="32"/>
                <w:szCs w:val="32"/>
              </w:rPr>
              <w:t>水电设备齐全。</w:t>
            </w:r>
          </w:p>
        </w:tc>
      </w:tr>
      <w:tr w:rsidR="00C10A17">
        <w:trPr>
          <w:trHeight w:val="1267"/>
        </w:trPr>
        <w:tc>
          <w:tcPr>
            <w:tcW w:w="1006"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t>四档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kern w:val="0"/>
                <w:sz w:val="32"/>
                <w:szCs w:val="32"/>
              </w:rPr>
              <w:t>300</w:t>
            </w:r>
          </w:p>
        </w:tc>
        <w:tc>
          <w:tcPr>
            <w:tcW w:w="772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外墙水泥砂浆勾缝；</w:t>
            </w:r>
            <w:r>
              <w:rPr>
                <w:rStyle w:val="NormalCharacter"/>
                <w:rFonts w:eastAsia="仿宋"/>
                <w:kern w:val="0"/>
                <w:sz w:val="32"/>
                <w:szCs w:val="32"/>
              </w:rPr>
              <w:br w:type="textWrapping" w:clear="all"/>
            </w:r>
            <w:r>
              <w:rPr>
                <w:rStyle w:val="NormalCharacter"/>
                <w:rFonts w:eastAsia="仿宋" w:hAnsi="仿宋" w:hint="eastAsia"/>
                <w:kern w:val="0"/>
                <w:sz w:val="32"/>
                <w:szCs w:val="32"/>
              </w:rPr>
              <w:t>木窗；</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入户门为铁门，室内普通门；</w:t>
            </w:r>
            <w:r>
              <w:rPr>
                <w:rStyle w:val="NormalCharacter"/>
                <w:rFonts w:eastAsia="仿宋"/>
                <w:kern w:val="0"/>
                <w:sz w:val="32"/>
                <w:szCs w:val="32"/>
              </w:rPr>
              <w:br w:type="textWrapping" w:clear="all"/>
            </w:r>
            <w:r>
              <w:rPr>
                <w:rStyle w:val="NormalCharacter"/>
                <w:rFonts w:eastAsia="仿宋" w:hAnsi="仿宋" w:hint="eastAsia"/>
                <w:kern w:val="0"/>
                <w:sz w:val="32"/>
                <w:szCs w:val="32"/>
              </w:rPr>
              <w:t>楼梯普通缸砖或同档次石板材踏步；</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楼地面为普通瓷砖；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内墙面普通涂料粉刷；</w:t>
            </w:r>
            <w:r>
              <w:rPr>
                <w:rStyle w:val="NormalCharacter"/>
                <w:rFonts w:eastAsia="仿宋"/>
                <w:kern w:val="0"/>
                <w:sz w:val="32"/>
                <w:szCs w:val="32"/>
              </w:rPr>
              <w:br w:type="textWrapping" w:clear="all"/>
            </w:r>
            <w:r>
              <w:rPr>
                <w:rStyle w:val="NormalCharacter"/>
                <w:rFonts w:eastAsia="仿宋" w:hAnsi="仿宋" w:hint="eastAsia"/>
                <w:kern w:val="0"/>
                <w:sz w:val="32"/>
                <w:szCs w:val="32"/>
              </w:rPr>
              <w:t>天棚为普通涂料粉刷，简易照明；</w:t>
            </w:r>
          </w:p>
          <w:p w:rsidR="00C10A17" w:rsidRDefault="00C10A17">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厨房楼地面普通瓷砖，墙面粉刷，简易灶台；</w:t>
            </w:r>
            <w:r>
              <w:rPr>
                <w:rStyle w:val="NormalCharacter"/>
                <w:rFonts w:eastAsia="仿宋"/>
                <w:kern w:val="0"/>
                <w:sz w:val="32"/>
                <w:szCs w:val="32"/>
              </w:rPr>
              <w:br w:type="textWrapping" w:clear="all"/>
            </w:r>
            <w:r>
              <w:rPr>
                <w:rStyle w:val="NormalCharacter"/>
                <w:rFonts w:eastAsia="仿宋" w:hAnsi="仿宋" w:hint="eastAsia"/>
                <w:kern w:val="0"/>
                <w:sz w:val="32"/>
                <w:szCs w:val="32"/>
              </w:rPr>
              <w:t>卫生间楼地面普通防滑砖，墙面部分瓷砖，简易卫生洁具；</w:t>
            </w:r>
            <w:r>
              <w:rPr>
                <w:rStyle w:val="NormalCharacter"/>
                <w:rFonts w:eastAsia="仿宋"/>
                <w:kern w:val="0"/>
                <w:sz w:val="32"/>
                <w:szCs w:val="32"/>
              </w:rPr>
              <w:br w:type="textWrapping" w:clear="all"/>
            </w:r>
            <w:r>
              <w:rPr>
                <w:rStyle w:val="NormalCharacter"/>
                <w:rFonts w:eastAsia="仿宋" w:hAnsi="仿宋" w:hint="eastAsia"/>
                <w:kern w:val="0"/>
                <w:sz w:val="32"/>
                <w:szCs w:val="32"/>
              </w:rPr>
              <w:t>水电设备齐全。</w:t>
            </w:r>
          </w:p>
        </w:tc>
      </w:tr>
      <w:tr w:rsidR="00C10A17">
        <w:trPr>
          <w:trHeight w:val="2312"/>
        </w:trPr>
        <w:tc>
          <w:tcPr>
            <w:tcW w:w="1006"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t>五档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center"/>
              <w:rPr>
                <w:rStyle w:val="NormalCharacter"/>
                <w:rFonts w:eastAsia="仿宋"/>
                <w:kern w:val="0"/>
                <w:sz w:val="32"/>
                <w:szCs w:val="32"/>
              </w:rPr>
            </w:pPr>
            <w:r>
              <w:rPr>
                <w:rStyle w:val="NormalCharacter"/>
                <w:rFonts w:eastAsia="仿宋"/>
                <w:kern w:val="0"/>
                <w:sz w:val="32"/>
                <w:szCs w:val="32"/>
              </w:rPr>
              <w:t>200</w:t>
            </w:r>
          </w:p>
        </w:tc>
        <w:tc>
          <w:tcPr>
            <w:tcW w:w="7728" w:type="dxa"/>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外墙水泥砂浆勾缝；</w:t>
            </w:r>
            <w:r>
              <w:rPr>
                <w:rStyle w:val="NormalCharacter"/>
                <w:rFonts w:eastAsia="仿宋"/>
                <w:kern w:val="0"/>
                <w:sz w:val="32"/>
                <w:szCs w:val="32"/>
              </w:rPr>
              <w:br w:type="textWrapping" w:clear="all"/>
            </w:r>
            <w:r>
              <w:rPr>
                <w:rStyle w:val="NormalCharacter"/>
                <w:rFonts w:eastAsia="仿宋" w:hAnsi="仿宋" w:hint="eastAsia"/>
                <w:kern w:val="0"/>
                <w:sz w:val="32"/>
                <w:szCs w:val="32"/>
              </w:rPr>
              <w:t>木窗；</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入户门为简易铁门、室内简易门；</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楼地面为普通瓷砖或斗底砖；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内墙面及天棚简单粉刷或部分粉刷；</w:t>
            </w:r>
            <w:r>
              <w:rPr>
                <w:rStyle w:val="NormalCharacter"/>
                <w:rFonts w:eastAsia="仿宋"/>
                <w:kern w:val="0"/>
                <w:sz w:val="32"/>
                <w:szCs w:val="32"/>
              </w:rPr>
              <w:br w:type="textWrapping" w:clear="all"/>
            </w:r>
            <w:r>
              <w:rPr>
                <w:rStyle w:val="NormalCharacter"/>
                <w:rFonts w:eastAsia="仿宋" w:hAnsi="仿宋" w:hint="eastAsia"/>
                <w:kern w:val="0"/>
                <w:sz w:val="32"/>
                <w:szCs w:val="32"/>
              </w:rPr>
              <w:t>厨房简易灶台，卫生间简易洁具；</w:t>
            </w:r>
            <w:r>
              <w:rPr>
                <w:rStyle w:val="NormalCharacter"/>
                <w:rFonts w:eastAsia="仿宋"/>
                <w:kern w:val="0"/>
                <w:sz w:val="32"/>
                <w:szCs w:val="32"/>
              </w:rPr>
              <w:br w:type="textWrapping" w:clear="all"/>
            </w:r>
            <w:r>
              <w:rPr>
                <w:rStyle w:val="NormalCharacter"/>
                <w:rFonts w:eastAsia="仿宋" w:hAnsi="仿宋" w:hint="eastAsia"/>
                <w:kern w:val="0"/>
                <w:sz w:val="32"/>
                <w:szCs w:val="32"/>
              </w:rPr>
              <w:t>简单水卫电照。</w:t>
            </w:r>
          </w:p>
        </w:tc>
      </w:tr>
      <w:tr w:rsidR="00C10A17">
        <w:trPr>
          <w:trHeight w:val="1427"/>
        </w:trPr>
        <w:tc>
          <w:tcPr>
            <w:tcW w:w="10351" w:type="dxa"/>
            <w:gridSpan w:val="3"/>
            <w:tcBorders>
              <w:top w:val="single" w:sz="4" w:space="0" w:color="000000"/>
              <w:left w:val="single" w:sz="4" w:space="0" w:color="000000"/>
              <w:bottom w:val="single" w:sz="4" w:space="0" w:color="000000"/>
              <w:right w:val="single" w:sz="4" w:space="0" w:color="000000"/>
            </w:tcBorders>
            <w:vAlign w:val="center"/>
          </w:tcPr>
          <w:p w:rsidR="00C10A17" w:rsidRDefault="00C10A17">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备注：</w:t>
            </w:r>
          </w:p>
          <w:p w:rsidR="00C10A17" w:rsidRDefault="00C10A17">
            <w:pPr>
              <w:spacing w:line="350" w:lineRule="exact"/>
              <w:ind w:firstLineChars="200" w:firstLine="640"/>
              <w:jc w:val="left"/>
              <w:rPr>
                <w:rStyle w:val="NormalCharacter"/>
                <w:rFonts w:eastAsia="仿宋"/>
                <w:kern w:val="0"/>
                <w:sz w:val="32"/>
                <w:szCs w:val="32"/>
              </w:rPr>
            </w:pPr>
            <w:r>
              <w:rPr>
                <w:rStyle w:val="NormalCharacter"/>
                <w:rFonts w:eastAsia="仿宋"/>
                <w:kern w:val="0"/>
                <w:sz w:val="32"/>
                <w:szCs w:val="32"/>
              </w:rPr>
              <w:t>1.</w:t>
            </w:r>
            <w:r>
              <w:rPr>
                <w:rStyle w:val="NormalCharacter"/>
                <w:rFonts w:eastAsia="仿宋" w:hAnsi="仿宋" w:hint="eastAsia"/>
                <w:kern w:val="0"/>
                <w:sz w:val="32"/>
                <w:szCs w:val="32"/>
              </w:rPr>
              <w:t>区分装修档次应根据材料档次、做工精细度等因素综合判断。</w:t>
            </w:r>
          </w:p>
          <w:p w:rsidR="00C10A17" w:rsidRDefault="00C10A17">
            <w:pPr>
              <w:spacing w:line="350" w:lineRule="exact"/>
              <w:ind w:firstLineChars="200" w:firstLine="640"/>
              <w:jc w:val="left"/>
              <w:rPr>
                <w:rStyle w:val="NormalCharacter"/>
                <w:rFonts w:eastAsia="仿宋"/>
                <w:kern w:val="0"/>
                <w:sz w:val="32"/>
                <w:szCs w:val="32"/>
              </w:rPr>
            </w:pPr>
            <w:r>
              <w:rPr>
                <w:rStyle w:val="NormalCharacter"/>
                <w:rFonts w:eastAsia="仿宋"/>
                <w:kern w:val="0"/>
                <w:sz w:val="32"/>
                <w:szCs w:val="32"/>
              </w:rPr>
              <w:t>2.</w:t>
            </w:r>
            <w:r>
              <w:rPr>
                <w:rStyle w:val="NormalCharacter"/>
                <w:rFonts w:eastAsia="仿宋" w:hAnsi="仿宋" w:hint="eastAsia"/>
                <w:kern w:val="0"/>
                <w:sz w:val="32"/>
                <w:szCs w:val="32"/>
              </w:rPr>
              <w:t>选择全部货币补偿方式的，装饰装修价值可享受</w:t>
            </w:r>
            <w:r>
              <w:rPr>
                <w:rStyle w:val="NormalCharacter"/>
                <w:rFonts w:eastAsia="仿宋"/>
                <w:kern w:val="0"/>
                <w:sz w:val="32"/>
                <w:szCs w:val="32"/>
              </w:rPr>
              <w:t>20%</w:t>
            </w:r>
            <w:r>
              <w:rPr>
                <w:rStyle w:val="NormalCharacter"/>
                <w:rFonts w:eastAsia="仿宋" w:hAnsi="仿宋" w:hint="eastAsia"/>
                <w:kern w:val="0"/>
                <w:sz w:val="32"/>
                <w:szCs w:val="32"/>
              </w:rPr>
              <w:t>货币补偿方式奖励。装饰装修选择分户评估的，不再享受奖励。</w:t>
            </w:r>
          </w:p>
          <w:p w:rsidR="00C10A17" w:rsidRDefault="00C10A17">
            <w:pPr>
              <w:spacing w:line="350" w:lineRule="exact"/>
              <w:ind w:firstLineChars="200" w:firstLine="640"/>
              <w:jc w:val="left"/>
              <w:rPr>
                <w:rStyle w:val="NormalCharacter"/>
                <w:rFonts w:eastAsia="仿宋"/>
                <w:kern w:val="0"/>
                <w:sz w:val="32"/>
                <w:szCs w:val="32"/>
              </w:rPr>
            </w:pPr>
            <w:r>
              <w:rPr>
                <w:rStyle w:val="NormalCharacter"/>
                <w:rFonts w:eastAsia="仿宋"/>
                <w:kern w:val="0"/>
                <w:sz w:val="32"/>
                <w:szCs w:val="32"/>
              </w:rPr>
              <w:t>3.</w:t>
            </w:r>
            <w:r>
              <w:rPr>
                <w:rStyle w:val="NormalCharacter"/>
                <w:rFonts w:eastAsia="仿宋" w:hAnsi="仿宋" w:hint="eastAsia"/>
                <w:kern w:val="0"/>
                <w:sz w:val="32"/>
                <w:szCs w:val="32"/>
              </w:rPr>
              <w:t>选择全部产权调换方式或部分产权调换部分货币补偿方式的，不再享受奖励。</w:t>
            </w:r>
          </w:p>
        </w:tc>
      </w:tr>
    </w:tbl>
    <w:p w:rsidR="00C10A17" w:rsidRDefault="00C10A17">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5</w:t>
      </w:r>
    </w:p>
    <w:p w:rsidR="00C10A17" w:rsidRDefault="00C10A17">
      <w:pPr>
        <w:spacing w:line="520" w:lineRule="exact"/>
        <w:jc w:val="center"/>
        <w:rPr>
          <w:rStyle w:val="NormalCharacter"/>
          <w:rFonts w:ascii="方正小标宋简体" w:eastAsia="方正小标宋简体" w:hint="eastAsia"/>
          <w:bCs/>
          <w:sz w:val="44"/>
          <w:szCs w:val="44"/>
        </w:rPr>
      </w:pPr>
      <w:r>
        <w:rPr>
          <w:rStyle w:val="NormalCharacter"/>
          <w:rFonts w:ascii="方正小标宋简体" w:eastAsia="方正小标宋简体" w:hint="eastAsia"/>
          <w:bCs/>
          <w:sz w:val="44"/>
          <w:szCs w:val="44"/>
        </w:rPr>
        <w:t>附属物补偿表</w:t>
      </w:r>
    </w:p>
    <w:tbl>
      <w:tblPr>
        <w:tblW w:w="9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68"/>
        <w:gridCol w:w="1426"/>
        <w:gridCol w:w="1188"/>
        <w:gridCol w:w="1481"/>
        <w:gridCol w:w="3977"/>
      </w:tblGrid>
      <w:tr w:rsidR="00C10A17">
        <w:trPr>
          <w:trHeight w:hRule="exact" w:val="950"/>
          <w:jc w:val="center"/>
        </w:trPr>
        <w:tc>
          <w:tcPr>
            <w:tcW w:w="9040" w:type="dxa"/>
            <w:gridSpan w:val="5"/>
            <w:vAlign w:val="center"/>
          </w:tcPr>
          <w:p w:rsidR="00C10A17" w:rsidRDefault="00C10A17">
            <w:pPr>
              <w:spacing w:line="440" w:lineRule="exact"/>
              <w:jc w:val="center"/>
              <w:rPr>
                <w:rStyle w:val="NormalCharacter"/>
                <w:b/>
                <w:sz w:val="24"/>
              </w:rPr>
            </w:pPr>
            <w:r>
              <w:rPr>
                <w:rStyle w:val="NormalCharacter"/>
                <w:rFonts w:hAnsi="宋体" w:hint="eastAsia"/>
                <w:b/>
                <w:sz w:val="44"/>
                <w:szCs w:val="44"/>
              </w:rPr>
              <w:t>一、房屋附属物</w:t>
            </w:r>
          </w:p>
        </w:tc>
      </w:tr>
      <w:tr w:rsidR="00C10A17">
        <w:trPr>
          <w:trHeight w:hRule="exact" w:val="950"/>
          <w:jc w:val="center"/>
        </w:trPr>
        <w:tc>
          <w:tcPr>
            <w:tcW w:w="968" w:type="dxa"/>
            <w:vAlign w:val="center"/>
          </w:tcPr>
          <w:p w:rsidR="00C10A17" w:rsidRDefault="00C10A17">
            <w:pPr>
              <w:spacing w:line="440" w:lineRule="exact"/>
              <w:jc w:val="center"/>
              <w:rPr>
                <w:rStyle w:val="NormalCharacter"/>
                <w:b/>
                <w:sz w:val="24"/>
              </w:rPr>
            </w:pPr>
            <w:r>
              <w:rPr>
                <w:rStyle w:val="NormalCharacter"/>
                <w:rFonts w:hAnsi="宋体" w:hint="eastAsia"/>
                <w:b/>
                <w:sz w:val="24"/>
              </w:rPr>
              <w:t>项目</w:t>
            </w:r>
          </w:p>
        </w:tc>
        <w:tc>
          <w:tcPr>
            <w:tcW w:w="1426" w:type="dxa"/>
            <w:vAlign w:val="center"/>
          </w:tcPr>
          <w:p w:rsidR="00C10A17" w:rsidRDefault="00C10A17">
            <w:pPr>
              <w:spacing w:line="440" w:lineRule="exact"/>
              <w:jc w:val="center"/>
              <w:rPr>
                <w:rStyle w:val="NormalCharacter"/>
                <w:b/>
                <w:sz w:val="24"/>
              </w:rPr>
            </w:pPr>
            <w:r>
              <w:rPr>
                <w:rStyle w:val="NormalCharacter"/>
                <w:rFonts w:hAnsi="宋体" w:hint="eastAsia"/>
                <w:b/>
                <w:sz w:val="24"/>
              </w:rPr>
              <w:t>种</w:t>
            </w:r>
            <w:r>
              <w:rPr>
                <w:rStyle w:val="NormalCharacter"/>
                <w:b/>
                <w:sz w:val="24"/>
              </w:rPr>
              <w:t xml:space="preserve"> </w:t>
            </w:r>
            <w:r>
              <w:rPr>
                <w:rStyle w:val="NormalCharacter"/>
                <w:rFonts w:hAnsi="宋体" w:hint="eastAsia"/>
                <w:b/>
                <w:sz w:val="24"/>
              </w:rPr>
              <w:t>类</w:t>
            </w:r>
          </w:p>
        </w:tc>
        <w:tc>
          <w:tcPr>
            <w:tcW w:w="1188" w:type="dxa"/>
            <w:vAlign w:val="center"/>
          </w:tcPr>
          <w:p w:rsidR="00C10A17" w:rsidRDefault="00C10A17" w:rsidP="00847DA5">
            <w:pPr>
              <w:spacing w:line="440" w:lineRule="exact"/>
              <w:ind w:leftChars="-61" w:left="7" w:rightChars="-55" w:right="-115" w:hangingChars="56" w:hanging="135"/>
              <w:jc w:val="center"/>
              <w:rPr>
                <w:rStyle w:val="NormalCharacter"/>
                <w:b/>
                <w:sz w:val="24"/>
              </w:rPr>
            </w:pPr>
            <w:r>
              <w:rPr>
                <w:rStyle w:val="NormalCharacter"/>
                <w:rFonts w:hAnsi="宋体" w:hint="eastAsia"/>
                <w:b/>
                <w:sz w:val="24"/>
              </w:rPr>
              <w:t>计算单位</w:t>
            </w:r>
          </w:p>
        </w:tc>
        <w:tc>
          <w:tcPr>
            <w:tcW w:w="1481" w:type="dxa"/>
            <w:vAlign w:val="center"/>
          </w:tcPr>
          <w:p w:rsidR="00C10A17" w:rsidRDefault="00C10A17">
            <w:pPr>
              <w:spacing w:line="440" w:lineRule="exact"/>
              <w:jc w:val="center"/>
              <w:rPr>
                <w:rStyle w:val="NormalCharacter"/>
                <w:b/>
                <w:sz w:val="24"/>
              </w:rPr>
            </w:pPr>
            <w:r>
              <w:rPr>
                <w:rStyle w:val="NormalCharacter"/>
                <w:rFonts w:hAnsi="宋体" w:hint="eastAsia"/>
                <w:b/>
                <w:sz w:val="24"/>
              </w:rPr>
              <w:t>单价（元）</w:t>
            </w:r>
          </w:p>
        </w:tc>
        <w:tc>
          <w:tcPr>
            <w:tcW w:w="3977" w:type="dxa"/>
            <w:vAlign w:val="center"/>
          </w:tcPr>
          <w:p w:rsidR="00C10A17" w:rsidRDefault="00C10A17">
            <w:pPr>
              <w:spacing w:line="440" w:lineRule="exact"/>
              <w:jc w:val="center"/>
              <w:rPr>
                <w:rStyle w:val="NormalCharacter"/>
                <w:b/>
                <w:sz w:val="24"/>
              </w:rPr>
            </w:pPr>
            <w:r>
              <w:rPr>
                <w:rStyle w:val="NormalCharacter"/>
                <w:rFonts w:hAnsi="宋体" w:hint="eastAsia"/>
                <w:b/>
                <w:sz w:val="24"/>
              </w:rPr>
              <w:t>说</w:t>
            </w:r>
            <w:r>
              <w:rPr>
                <w:rStyle w:val="NormalCharacter"/>
                <w:b/>
                <w:sz w:val="24"/>
              </w:rPr>
              <w:t xml:space="preserve">  </w:t>
            </w:r>
            <w:r>
              <w:rPr>
                <w:rStyle w:val="NormalCharacter"/>
                <w:rFonts w:hAnsi="宋体" w:hint="eastAsia"/>
                <w:b/>
                <w:sz w:val="24"/>
              </w:rPr>
              <w:t>明</w:t>
            </w: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井</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条石</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250-300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200-250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乱石</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180-250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土井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100-150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水泥墙</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150-200</w:t>
            </w:r>
          </w:p>
        </w:tc>
        <w:tc>
          <w:tcPr>
            <w:tcW w:w="3977" w:type="dxa"/>
            <w:vAlign w:val="center"/>
          </w:tcPr>
          <w:p w:rsidR="00C10A17" w:rsidRDefault="00C10A17">
            <w:pPr>
              <w:spacing w:line="440" w:lineRule="exact"/>
              <w:jc w:val="center"/>
              <w:rPr>
                <w:rStyle w:val="NormalCharacter"/>
                <w:sz w:val="24"/>
              </w:rPr>
            </w:pPr>
          </w:p>
        </w:tc>
      </w:tr>
      <w:tr w:rsidR="00C10A17">
        <w:trPr>
          <w:cantSplit/>
          <w:trHeight w:val="264"/>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民用机井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10A17" w:rsidRDefault="00C10A17">
            <w:pPr>
              <w:spacing w:line="440" w:lineRule="exact"/>
              <w:jc w:val="center"/>
              <w:rPr>
                <w:rStyle w:val="NormalCharacter"/>
                <w:sz w:val="24"/>
              </w:rPr>
            </w:pPr>
            <w:r>
              <w:rPr>
                <w:rStyle w:val="NormalCharacter"/>
                <w:sz w:val="24"/>
              </w:rPr>
              <w:t>180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根据实际深度计算</w:t>
            </w:r>
          </w:p>
        </w:tc>
      </w:tr>
      <w:tr w:rsidR="00C10A17">
        <w:trPr>
          <w:cantSplit/>
          <w:trHeight w:val="707"/>
          <w:jc w:val="center"/>
        </w:trPr>
        <w:tc>
          <w:tcPr>
            <w:tcW w:w="968" w:type="dxa"/>
            <w:vMerge/>
            <w:vAlign w:val="center"/>
          </w:tcPr>
          <w:p w:rsidR="00C10A17" w:rsidRDefault="00C10A17">
            <w:pPr>
              <w:spacing w:line="440" w:lineRule="exact"/>
              <w:jc w:val="center"/>
              <w:rPr>
                <w:rStyle w:val="NormalCharacter"/>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农田灌溉用机井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5000-10000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指口径在</w:t>
            </w:r>
            <w:r>
              <w:rPr>
                <w:rStyle w:val="NormalCharacter"/>
                <w:sz w:val="24"/>
              </w:rPr>
              <w:t>8</w:t>
            </w:r>
            <w:r>
              <w:rPr>
                <w:rStyle w:val="NormalCharacter"/>
                <w:rFonts w:hAnsi="宋体" w:hint="eastAsia"/>
                <w:sz w:val="24"/>
              </w:rPr>
              <w:t>米以上的</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废井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口</w:t>
            </w:r>
          </w:p>
        </w:tc>
        <w:tc>
          <w:tcPr>
            <w:tcW w:w="1481" w:type="dxa"/>
            <w:vAlign w:val="center"/>
          </w:tcPr>
          <w:p w:rsidR="00C10A17" w:rsidRDefault="00C10A17">
            <w:pPr>
              <w:spacing w:line="440" w:lineRule="exact"/>
              <w:jc w:val="center"/>
              <w:rPr>
                <w:rStyle w:val="NormalCharacter"/>
                <w:sz w:val="24"/>
              </w:rPr>
            </w:pPr>
            <w:r>
              <w:rPr>
                <w:rStyle w:val="NormalCharacter"/>
                <w:sz w:val="24"/>
              </w:rPr>
              <w:t>200-500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门</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电动门</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600</w:t>
            </w:r>
          </w:p>
        </w:tc>
        <w:tc>
          <w:tcPr>
            <w:tcW w:w="3977"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室外围墙全封闭，其中电机每台补偿</w:t>
            </w:r>
            <w:r>
              <w:rPr>
                <w:rStyle w:val="NormalCharacter"/>
                <w:sz w:val="24"/>
              </w:rPr>
              <w:t>1200</w:t>
            </w:r>
            <w:r>
              <w:rPr>
                <w:rStyle w:val="NormalCharacter"/>
                <w:rFonts w:hAnsi="宋体" w:hint="eastAsia"/>
                <w:sz w:val="24"/>
              </w:rPr>
              <w:t>元</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不锈钢门</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600</w:t>
            </w:r>
          </w:p>
        </w:tc>
        <w:tc>
          <w:tcPr>
            <w:tcW w:w="3977" w:type="dxa"/>
            <w:vMerge/>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镀锌板门</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260</w:t>
            </w:r>
          </w:p>
        </w:tc>
        <w:tc>
          <w:tcPr>
            <w:tcW w:w="3977" w:type="dxa"/>
            <w:vMerge/>
            <w:vAlign w:val="center"/>
          </w:tcPr>
          <w:p w:rsidR="00C10A17" w:rsidRDefault="00C10A17">
            <w:pPr>
              <w:spacing w:line="440" w:lineRule="exact"/>
              <w:jc w:val="center"/>
              <w:rPr>
                <w:rStyle w:val="NormalCharacter"/>
                <w:sz w:val="24"/>
              </w:rPr>
            </w:pPr>
          </w:p>
        </w:tc>
      </w:tr>
      <w:tr w:rsidR="00C10A17">
        <w:trPr>
          <w:cantSplit/>
          <w:trHeight w:hRule="exact" w:val="474"/>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围墙</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土</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25-35</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砖石混</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80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空心砖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150-200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乱石</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150-180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条石</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250-300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320-380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lastRenderedPageBreak/>
              <w:t>挡土墙</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乱毛石</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70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条</w:t>
            </w:r>
            <w:r>
              <w:rPr>
                <w:rStyle w:val="NormalCharacter"/>
                <w:sz w:val="24"/>
              </w:rPr>
              <w:t xml:space="preserve">  </w:t>
            </w:r>
            <w:r>
              <w:rPr>
                <w:rStyle w:val="NormalCharacter"/>
                <w:rFonts w:hAnsi="宋体" w:hint="eastAsia"/>
                <w:sz w:val="24"/>
              </w:rPr>
              <w:t>石</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200-250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994"/>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庭埕</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石</w:t>
            </w:r>
            <w:r>
              <w:rPr>
                <w:rStyle w:val="NormalCharacter"/>
                <w:sz w:val="24"/>
              </w:rPr>
              <w:t xml:space="preserve">  </w:t>
            </w:r>
            <w:r>
              <w:rPr>
                <w:rStyle w:val="NormalCharacter"/>
                <w:rFonts w:hAnsi="宋体" w:hint="eastAsia"/>
                <w:sz w:val="24"/>
              </w:rPr>
              <w:t>板</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80-100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应分</w:t>
            </w:r>
            <w:r>
              <w:rPr>
                <w:rStyle w:val="NormalCharacter"/>
                <w:sz w:val="24"/>
              </w:rPr>
              <w:t>“</w:t>
            </w:r>
            <w:r>
              <w:rPr>
                <w:rStyle w:val="NormalCharacter"/>
                <w:rFonts w:hAnsi="宋体" w:hint="eastAsia"/>
                <w:sz w:val="24"/>
              </w:rPr>
              <w:t>大铺</w:t>
            </w:r>
            <w:r>
              <w:rPr>
                <w:rStyle w:val="NormalCharacter"/>
                <w:sz w:val="24"/>
              </w:rPr>
              <w:t>”</w:t>
            </w:r>
            <w:r>
              <w:rPr>
                <w:rStyle w:val="NormalCharacter"/>
                <w:rFonts w:hAnsi="宋体" w:hint="eastAsia"/>
                <w:sz w:val="24"/>
              </w:rPr>
              <w:t>、</w:t>
            </w:r>
            <w:r>
              <w:rPr>
                <w:rStyle w:val="NormalCharacter"/>
                <w:sz w:val="24"/>
              </w:rPr>
              <w:t>“</w:t>
            </w:r>
            <w:r>
              <w:rPr>
                <w:rStyle w:val="NormalCharacter"/>
                <w:rFonts w:hAnsi="宋体" w:hint="eastAsia"/>
                <w:sz w:val="24"/>
              </w:rPr>
              <w:t>中铺</w:t>
            </w:r>
            <w:r>
              <w:rPr>
                <w:rStyle w:val="NormalCharacter"/>
                <w:sz w:val="24"/>
              </w:rPr>
              <w:t>”</w:t>
            </w:r>
            <w:r>
              <w:rPr>
                <w:rStyle w:val="NormalCharacter"/>
                <w:rFonts w:hAnsi="宋体" w:hint="eastAsia"/>
                <w:sz w:val="24"/>
              </w:rPr>
              <w:t>、</w:t>
            </w:r>
            <w:r>
              <w:rPr>
                <w:rStyle w:val="NormalCharacter"/>
                <w:sz w:val="24"/>
              </w:rPr>
              <w:t>“</w:t>
            </w:r>
            <w:r>
              <w:rPr>
                <w:rStyle w:val="NormalCharacter"/>
                <w:rFonts w:hAnsi="宋体" w:hint="eastAsia"/>
                <w:sz w:val="24"/>
              </w:rPr>
              <w:t>碎铺</w:t>
            </w:r>
            <w:r>
              <w:rPr>
                <w:rStyle w:val="NormalCharacter"/>
                <w:sz w:val="24"/>
              </w:rPr>
              <w:t>”</w:t>
            </w:r>
            <w:r>
              <w:rPr>
                <w:rStyle w:val="NormalCharacter"/>
                <w:rFonts w:hAnsi="宋体" w:hint="eastAsia"/>
                <w:sz w:val="24"/>
              </w:rPr>
              <w:t>不同价值计算补偿</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80-100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水</w:t>
            </w:r>
            <w:r>
              <w:rPr>
                <w:rStyle w:val="NormalCharacter"/>
                <w:sz w:val="24"/>
              </w:rPr>
              <w:t xml:space="preserve">  </w:t>
            </w:r>
            <w:r>
              <w:rPr>
                <w:rStyle w:val="NormalCharacter"/>
                <w:rFonts w:hAnsi="宋体" w:hint="eastAsia"/>
                <w:sz w:val="24"/>
              </w:rPr>
              <w:t>泥</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50-80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炉灶</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土</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200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按炉口计补偿</w:t>
            </w:r>
          </w:p>
        </w:tc>
      </w:tr>
      <w:tr w:rsidR="00C10A17">
        <w:trPr>
          <w:cantSplit/>
          <w:trHeight w:hRule="exact" w:val="92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250-350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分别有带烟囱的双连灶、无烟囱双连灶、单口灶等</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瓷</w:t>
            </w:r>
            <w:r>
              <w:rPr>
                <w:rStyle w:val="NormalCharacter"/>
                <w:sz w:val="24"/>
              </w:rPr>
              <w:t xml:space="preserve">  </w:t>
            </w:r>
            <w:r>
              <w:rPr>
                <w:rStyle w:val="NormalCharacter"/>
                <w:rFonts w:hAnsi="宋体" w:hint="eastAsia"/>
                <w:sz w:val="24"/>
              </w:rPr>
              <w:t>贴</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400-500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按炉口计补偿</w:t>
            </w:r>
          </w:p>
        </w:tc>
      </w:tr>
      <w:tr w:rsidR="00C10A17">
        <w:trPr>
          <w:cantSplit/>
          <w:trHeight w:val="509"/>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上柜</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10A17" w:rsidRDefault="00C10A17">
            <w:pPr>
              <w:spacing w:line="440" w:lineRule="exact"/>
              <w:jc w:val="center"/>
              <w:rPr>
                <w:rStyle w:val="NormalCharacter"/>
                <w:sz w:val="24"/>
              </w:rPr>
            </w:pPr>
            <w:r>
              <w:rPr>
                <w:rStyle w:val="NormalCharacter"/>
                <w:sz w:val="24"/>
              </w:rPr>
              <w:t>350</w:t>
            </w:r>
          </w:p>
        </w:tc>
        <w:tc>
          <w:tcPr>
            <w:tcW w:w="3977"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厨房成套整体灶台</w:t>
            </w:r>
          </w:p>
        </w:tc>
      </w:tr>
      <w:tr w:rsidR="00C10A17">
        <w:trPr>
          <w:cantSplit/>
          <w:trHeight w:val="509"/>
          <w:jc w:val="center"/>
        </w:trPr>
        <w:tc>
          <w:tcPr>
            <w:tcW w:w="968" w:type="dxa"/>
            <w:vMerge/>
            <w:vAlign w:val="center"/>
          </w:tcPr>
          <w:p w:rsidR="00C10A17" w:rsidRDefault="00C10A17">
            <w:pPr>
              <w:spacing w:line="440" w:lineRule="exact"/>
              <w:jc w:val="center"/>
              <w:rPr>
                <w:rStyle w:val="NormalCharacter"/>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下柜</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10A17" w:rsidRDefault="00C10A17">
            <w:pPr>
              <w:spacing w:line="440" w:lineRule="exact"/>
              <w:jc w:val="center"/>
              <w:rPr>
                <w:rStyle w:val="NormalCharacter"/>
                <w:sz w:val="24"/>
              </w:rPr>
            </w:pPr>
            <w:r>
              <w:rPr>
                <w:rStyle w:val="NormalCharacter"/>
                <w:sz w:val="24"/>
              </w:rPr>
              <w:t>600</w:t>
            </w:r>
          </w:p>
        </w:tc>
        <w:tc>
          <w:tcPr>
            <w:tcW w:w="3977" w:type="dxa"/>
            <w:vMerge/>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焙</w:t>
            </w:r>
            <w:r>
              <w:rPr>
                <w:rStyle w:val="NormalCharacter"/>
                <w:sz w:val="24"/>
              </w:rPr>
              <w:t xml:space="preserve">  </w:t>
            </w:r>
            <w:r>
              <w:rPr>
                <w:rStyle w:val="NormalCharacter"/>
                <w:rFonts w:hAnsi="宋体" w:hint="eastAsia"/>
                <w:sz w:val="24"/>
              </w:rPr>
              <w:t>灶</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300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用于烘焙龙眼、荔枝等</w:t>
            </w: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菜台</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水泥面菜台</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30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贴瓷砖菜台</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50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水池</w:t>
            </w:r>
          </w:p>
          <w:p w:rsidR="00C10A17" w:rsidRDefault="00C10A17">
            <w:pPr>
              <w:spacing w:line="440" w:lineRule="exact"/>
              <w:jc w:val="center"/>
              <w:rPr>
                <w:rStyle w:val="NormalCharacter"/>
                <w:sz w:val="24"/>
              </w:rPr>
            </w:pPr>
            <w:r>
              <w:rPr>
                <w:rStyle w:val="NormalCharacter"/>
                <w:rFonts w:hAnsi="宋体" w:hint="eastAsia"/>
                <w:sz w:val="24"/>
              </w:rPr>
              <w:t>水柜</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抹水泥砖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80-100</w:t>
            </w:r>
          </w:p>
        </w:tc>
        <w:tc>
          <w:tcPr>
            <w:tcW w:w="3977"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指厨房或浴室内洗刷用小水池小水柜或室外搭设</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砖贴瓷砖</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100-150</w:t>
            </w:r>
          </w:p>
        </w:tc>
        <w:tc>
          <w:tcPr>
            <w:tcW w:w="3977" w:type="dxa"/>
            <w:vMerge/>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洗手盆</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350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花岗岩、大理石宽式台面的</w:t>
            </w: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厕所</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茅</w:t>
            </w:r>
            <w:r>
              <w:rPr>
                <w:rStyle w:val="NormalCharacter"/>
                <w:sz w:val="24"/>
              </w:rPr>
              <w:t xml:space="preserve">  </w:t>
            </w:r>
            <w:r>
              <w:rPr>
                <w:rStyle w:val="NormalCharacter"/>
                <w:rFonts w:hAnsi="宋体" w:hint="eastAsia"/>
                <w:sz w:val="24"/>
              </w:rPr>
              <w:t>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间</w:t>
            </w:r>
          </w:p>
        </w:tc>
        <w:tc>
          <w:tcPr>
            <w:tcW w:w="1481" w:type="dxa"/>
            <w:vAlign w:val="center"/>
          </w:tcPr>
          <w:p w:rsidR="00C10A17" w:rsidRDefault="00C10A17">
            <w:pPr>
              <w:spacing w:line="440" w:lineRule="exact"/>
              <w:jc w:val="center"/>
              <w:rPr>
                <w:rStyle w:val="NormalCharacter"/>
                <w:sz w:val="24"/>
              </w:rPr>
            </w:pPr>
            <w:r>
              <w:rPr>
                <w:rStyle w:val="NormalCharacter"/>
                <w:sz w:val="24"/>
              </w:rPr>
              <w:t>600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室外</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三化厕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1500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适用民宅</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公</w:t>
            </w:r>
            <w:r>
              <w:rPr>
                <w:rStyle w:val="NormalCharacter"/>
                <w:sz w:val="24"/>
              </w:rPr>
              <w:t xml:space="preserve">  </w:t>
            </w:r>
            <w:r>
              <w:rPr>
                <w:rStyle w:val="NormalCharacter"/>
                <w:rFonts w:hAnsi="宋体" w:hint="eastAsia"/>
                <w:sz w:val="24"/>
              </w:rPr>
              <w:t>厕</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500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室外</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蹲</w:t>
            </w:r>
            <w:r>
              <w:rPr>
                <w:rStyle w:val="NormalCharacter"/>
                <w:sz w:val="24"/>
              </w:rPr>
              <w:t xml:space="preserve">   </w:t>
            </w:r>
            <w:r>
              <w:rPr>
                <w:rStyle w:val="NormalCharacter"/>
                <w:rFonts w:hAnsi="宋体" w:hint="eastAsia"/>
                <w:sz w:val="24"/>
              </w:rPr>
              <w:t>位</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100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室内</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坐</w:t>
            </w:r>
            <w:r>
              <w:rPr>
                <w:rStyle w:val="NormalCharacter"/>
                <w:sz w:val="24"/>
              </w:rPr>
              <w:t xml:space="preserve">   </w:t>
            </w:r>
            <w:r>
              <w:rPr>
                <w:rStyle w:val="NormalCharacter"/>
                <w:rFonts w:hAnsi="宋体" w:hint="eastAsia"/>
                <w:sz w:val="24"/>
              </w:rPr>
              <w:t>盆</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200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室内</w:t>
            </w: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lastRenderedPageBreak/>
              <w:t>水塔</w:t>
            </w: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普</w:t>
            </w:r>
            <w:r>
              <w:rPr>
                <w:rStyle w:val="NormalCharacter"/>
                <w:sz w:val="24"/>
              </w:rPr>
              <w:t xml:space="preserve">  </w:t>
            </w:r>
            <w:r>
              <w:rPr>
                <w:rStyle w:val="NormalCharacter"/>
                <w:rFonts w:hAnsi="宋体" w:hint="eastAsia"/>
                <w:sz w:val="24"/>
              </w:rPr>
              <w:t>通</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400-600</w:t>
            </w:r>
          </w:p>
        </w:tc>
        <w:tc>
          <w:tcPr>
            <w:tcW w:w="3977" w:type="dxa"/>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不锈钢</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500-800</w:t>
            </w:r>
          </w:p>
        </w:tc>
        <w:tc>
          <w:tcPr>
            <w:tcW w:w="3977" w:type="dxa"/>
            <w:vAlign w:val="center"/>
          </w:tcPr>
          <w:p w:rsidR="00C10A17" w:rsidRDefault="00C10A17">
            <w:pPr>
              <w:spacing w:line="440" w:lineRule="exact"/>
              <w:jc w:val="center"/>
              <w:rPr>
                <w:rStyle w:val="NormalCharacter"/>
                <w:sz w:val="24"/>
              </w:rPr>
            </w:pPr>
          </w:p>
        </w:tc>
      </w:tr>
      <w:tr w:rsidR="00C10A17">
        <w:trPr>
          <w:cantSplit/>
          <w:trHeight w:val="8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砖混</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800</w:t>
            </w:r>
          </w:p>
        </w:tc>
        <w:tc>
          <w:tcPr>
            <w:tcW w:w="3977" w:type="dxa"/>
            <w:vAlign w:val="center"/>
          </w:tcPr>
          <w:p w:rsidR="00C10A17" w:rsidRDefault="00C10A17">
            <w:pPr>
              <w:spacing w:line="440" w:lineRule="exact"/>
              <w:jc w:val="center"/>
              <w:rPr>
                <w:rStyle w:val="NormalCharacter"/>
                <w:sz w:val="24"/>
              </w:rPr>
            </w:pPr>
            <w:r>
              <w:rPr>
                <w:rStyle w:val="NormalCharacter"/>
                <w:sz w:val="24"/>
              </w:rPr>
              <w:t>3</w:t>
            </w:r>
            <w:r>
              <w:rPr>
                <w:rStyle w:val="NormalCharacter"/>
                <w:rFonts w:hAnsi="宋体" w:hint="eastAsia"/>
                <w:sz w:val="24"/>
              </w:rPr>
              <w:t>吨以下</w:t>
            </w:r>
          </w:p>
        </w:tc>
      </w:tr>
      <w:tr w:rsidR="00C10A17">
        <w:trPr>
          <w:cantSplit/>
          <w:trHeight w:val="88"/>
          <w:jc w:val="center"/>
        </w:trPr>
        <w:tc>
          <w:tcPr>
            <w:tcW w:w="968" w:type="dxa"/>
            <w:vMerge/>
            <w:vAlign w:val="center"/>
          </w:tcPr>
          <w:p w:rsidR="00C10A17" w:rsidRDefault="00C10A17">
            <w:pPr>
              <w:spacing w:line="440" w:lineRule="exact"/>
              <w:jc w:val="center"/>
              <w:rPr>
                <w:rStyle w:val="NormalCharacter"/>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砖混</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1300</w:t>
            </w:r>
          </w:p>
        </w:tc>
        <w:tc>
          <w:tcPr>
            <w:tcW w:w="3977" w:type="dxa"/>
            <w:vAlign w:val="center"/>
          </w:tcPr>
          <w:p w:rsidR="00C10A17" w:rsidRDefault="00C10A17">
            <w:pPr>
              <w:spacing w:line="440" w:lineRule="exact"/>
              <w:jc w:val="center"/>
              <w:rPr>
                <w:rStyle w:val="NormalCharacter"/>
                <w:sz w:val="24"/>
              </w:rPr>
            </w:pPr>
            <w:r>
              <w:rPr>
                <w:rStyle w:val="NormalCharacter"/>
                <w:sz w:val="24"/>
              </w:rPr>
              <w:t>4-6</w:t>
            </w:r>
            <w:r>
              <w:rPr>
                <w:rStyle w:val="NormalCharacter"/>
                <w:rFonts w:hAnsi="宋体" w:hint="eastAsia"/>
                <w:sz w:val="24"/>
              </w:rPr>
              <w:t>吨</w:t>
            </w:r>
          </w:p>
        </w:tc>
      </w:tr>
      <w:tr w:rsidR="00C10A17">
        <w:trPr>
          <w:cantSplit/>
          <w:trHeight w:val="8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1300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小</w:t>
            </w:r>
            <w:r>
              <w:rPr>
                <w:rStyle w:val="NormalCharacter"/>
                <w:sz w:val="24"/>
              </w:rPr>
              <w:t>3</w:t>
            </w:r>
            <w:r>
              <w:rPr>
                <w:rStyle w:val="NormalCharacter"/>
                <w:rFonts w:hAnsi="宋体" w:hint="eastAsia"/>
                <w:sz w:val="24"/>
              </w:rPr>
              <w:t>吨及以下</w:t>
            </w:r>
          </w:p>
        </w:tc>
      </w:tr>
      <w:tr w:rsidR="00C10A17">
        <w:trPr>
          <w:cantSplit/>
          <w:trHeight w:val="8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1800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中</w:t>
            </w:r>
            <w:r>
              <w:rPr>
                <w:rStyle w:val="NormalCharacter"/>
                <w:sz w:val="24"/>
              </w:rPr>
              <w:t>6</w:t>
            </w:r>
            <w:r>
              <w:rPr>
                <w:rStyle w:val="NormalCharacter"/>
                <w:rFonts w:hAnsi="宋体" w:hint="eastAsia"/>
                <w:sz w:val="24"/>
              </w:rPr>
              <w:t>吨以下</w:t>
            </w:r>
          </w:p>
        </w:tc>
      </w:tr>
      <w:tr w:rsidR="00C10A17">
        <w:trPr>
          <w:cantSplit/>
          <w:trHeight w:val="8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2800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大</w:t>
            </w:r>
            <w:r>
              <w:rPr>
                <w:rStyle w:val="NormalCharacter"/>
                <w:sz w:val="24"/>
              </w:rPr>
              <w:t>6-10</w:t>
            </w:r>
            <w:r>
              <w:rPr>
                <w:rStyle w:val="NormalCharacter"/>
                <w:rFonts w:hAnsi="宋体" w:hint="eastAsia"/>
                <w:sz w:val="24"/>
              </w:rPr>
              <w:t>吨</w:t>
            </w:r>
          </w:p>
        </w:tc>
      </w:tr>
      <w:tr w:rsidR="00C10A17">
        <w:trPr>
          <w:cantSplit/>
          <w:trHeight w:val="8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300</w:t>
            </w:r>
          </w:p>
        </w:tc>
        <w:tc>
          <w:tcPr>
            <w:tcW w:w="3977" w:type="dxa"/>
            <w:vAlign w:val="center"/>
          </w:tcPr>
          <w:p w:rsidR="00C10A17" w:rsidRDefault="00C10A17">
            <w:pPr>
              <w:spacing w:line="440" w:lineRule="exact"/>
              <w:jc w:val="center"/>
              <w:rPr>
                <w:rStyle w:val="NormalCharacter"/>
                <w:sz w:val="24"/>
              </w:rPr>
            </w:pPr>
            <w:r>
              <w:rPr>
                <w:rStyle w:val="NormalCharacter"/>
                <w:sz w:val="24"/>
              </w:rPr>
              <w:t>10</w:t>
            </w:r>
            <w:r>
              <w:rPr>
                <w:rStyle w:val="NormalCharacter"/>
                <w:rFonts w:hAnsi="宋体" w:hint="eastAsia"/>
                <w:sz w:val="24"/>
              </w:rPr>
              <w:t>吨以上</w:t>
            </w:r>
          </w:p>
        </w:tc>
      </w:tr>
      <w:tr w:rsidR="00C10A17">
        <w:trPr>
          <w:trHeight w:hRule="exact" w:val="878"/>
          <w:jc w:val="center"/>
        </w:trPr>
        <w:tc>
          <w:tcPr>
            <w:tcW w:w="968" w:type="dxa"/>
            <w:vAlign w:val="center"/>
          </w:tcPr>
          <w:p w:rsidR="00C10A17" w:rsidRDefault="00C10A17">
            <w:pPr>
              <w:spacing w:line="440" w:lineRule="exact"/>
              <w:jc w:val="center"/>
              <w:rPr>
                <w:rStyle w:val="NormalCharacter"/>
                <w:sz w:val="24"/>
              </w:rPr>
            </w:pPr>
            <w:r>
              <w:rPr>
                <w:rStyle w:val="NormalCharacter"/>
                <w:rFonts w:hAnsi="宋体" w:hint="eastAsia"/>
                <w:sz w:val="24"/>
              </w:rPr>
              <w:t>变压器</w:t>
            </w:r>
          </w:p>
        </w:tc>
        <w:tc>
          <w:tcPr>
            <w:tcW w:w="4095" w:type="dxa"/>
            <w:gridSpan w:val="3"/>
            <w:vAlign w:val="center"/>
          </w:tcPr>
          <w:p w:rsidR="00C10A17" w:rsidRDefault="00C10A17">
            <w:pPr>
              <w:spacing w:line="440" w:lineRule="exact"/>
              <w:jc w:val="center"/>
              <w:rPr>
                <w:rStyle w:val="NormalCharacter"/>
                <w:sz w:val="24"/>
              </w:rPr>
            </w:pPr>
            <w:r>
              <w:rPr>
                <w:rStyle w:val="NormalCharacter"/>
                <w:rFonts w:hAnsi="宋体" w:hint="eastAsia"/>
                <w:sz w:val="24"/>
              </w:rPr>
              <w:t>按供电部门安装价格补偿，应提供发票和合同等材料</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迁移的，按供电部门的迁移费补偿，应提供发票等证明材料</w:t>
            </w:r>
          </w:p>
        </w:tc>
      </w:tr>
      <w:tr w:rsidR="00C10A17">
        <w:trPr>
          <w:cantSplit/>
          <w:trHeight w:hRule="exact" w:val="548"/>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三相电</w:t>
            </w:r>
          </w:p>
        </w:tc>
        <w:tc>
          <w:tcPr>
            <w:tcW w:w="1426" w:type="dxa"/>
            <w:vAlign w:val="center"/>
          </w:tcPr>
          <w:p w:rsidR="00C10A17" w:rsidRDefault="00C10A17">
            <w:pPr>
              <w:spacing w:line="440" w:lineRule="exact"/>
              <w:jc w:val="center"/>
              <w:rPr>
                <w:rStyle w:val="NormalCharacter"/>
                <w:sz w:val="24"/>
              </w:rPr>
            </w:pPr>
            <w:r>
              <w:rPr>
                <w:rStyle w:val="NormalCharacter"/>
                <w:sz w:val="24"/>
              </w:rPr>
              <w:t>20A</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10A17" w:rsidRDefault="00C10A17">
            <w:pPr>
              <w:spacing w:line="440" w:lineRule="exact"/>
              <w:jc w:val="center"/>
              <w:rPr>
                <w:rStyle w:val="NormalCharacter"/>
                <w:sz w:val="24"/>
              </w:rPr>
            </w:pPr>
            <w:r>
              <w:rPr>
                <w:rStyle w:val="NormalCharacter"/>
                <w:sz w:val="24"/>
              </w:rPr>
              <w:t>1520</w:t>
            </w:r>
          </w:p>
        </w:tc>
        <w:tc>
          <w:tcPr>
            <w:tcW w:w="3977"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应提供电力部门相应的发票或证明材料或以电力部门的发票金额进行补偿</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sz w:val="24"/>
              </w:rPr>
              <w:t>40A</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10A17" w:rsidRDefault="00C10A17">
            <w:pPr>
              <w:spacing w:line="440" w:lineRule="exact"/>
              <w:jc w:val="center"/>
              <w:rPr>
                <w:rStyle w:val="NormalCharacter"/>
                <w:sz w:val="24"/>
              </w:rPr>
            </w:pPr>
            <w:r>
              <w:rPr>
                <w:rStyle w:val="NormalCharacter"/>
                <w:sz w:val="24"/>
              </w:rPr>
              <w:t>3040</w:t>
            </w:r>
          </w:p>
        </w:tc>
        <w:tc>
          <w:tcPr>
            <w:tcW w:w="3977" w:type="dxa"/>
            <w:vMerge/>
            <w:vAlign w:val="center"/>
          </w:tcPr>
          <w:p w:rsidR="00C10A17" w:rsidRDefault="00C10A17">
            <w:pPr>
              <w:spacing w:line="440" w:lineRule="exact"/>
              <w:jc w:val="center"/>
              <w:rPr>
                <w:rStyle w:val="NormalCharacter"/>
                <w:sz w:val="24"/>
              </w:rPr>
            </w:pP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sz w:val="24"/>
              </w:rPr>
              <w:t>60A</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10A17" w:rsidRDefault="00C10A17">
            <w:pPr>
              <w:spacing w:line="440" w:lineRule="exact"/>
              <w:jc w:val="center"/>
              <w:rPr>
                <w:rStyle w:val="NormalCharacter"/>
                <w:sz w:val="24"/>
              </w:rPr>
            </w:pPr>
            <w:r>
              <w:rPr>
                <w:rStyle w:val="NormalCharacter"/>
                <w:sz w:val="24"/>
              </w:rPr>
              <w:t>4560</w:t>
            </w:r>
          </w:p>
        </w:tc>
        <w:tc>
          <w:tcPr>
            <w:tcW w:w="3977" w:type="dxa"/>
            <w:vMerge/>
            <w:vAlign w:val="center"/>
          </w:tcPr>
          <w:p w:rsidR="00C10A17" w:rsidRDefault="00C10A17">
            <w:pPr>
              <w:spacing w:line="440" w:lineRule="exact"/>
              <w:jc w:val="center"/>
              <w:rPr>
                <w:rStyle w:val="NormalCharacter"/>
                <w:sz w:val="24"/>
              </w:rPr>
            </w:pPr>
          </w:p>
        </w:tc>
      </w:tr>
      <w:tr w:rsidR="00C10A17">
        <w:trPr>
          <w:cantSplit/>
          <w:trHeight w:hRule="exact" w:val="1056"/>
          <w:jc w:val="center"/>
        </w:trPr>
        <w:tc>
          <w:tcPr>
            <w:tcW w:w="968" w:type="dxa"/>
            <w:vMerge w:val="restart"/>
            <w:vAlign w:val="center"/>
          </w:tcPr>
          <w:p w:rsidR="00C10A17" w:rsidRDefault="00C10A17">
            <w:pPr>
              <w:spacing w:line="440" w:lineRule="exact"/>
              <w:jc w:val="center"/>
              <w:rPr>
                <w:rStyle w:val="NormalCharacter"/>
                <w:sz w:val="24"/>
              </w:rPr>
            </w:pPr>
            <w:r>
              <w:rPr>
                <w:rStyle w:val="NormalCharacter"/>
                <w:rFonts w:hAnsi="宋体" w:hint="eastAsia"/>
                <w:sz w:val="24"/>
              </w:rPr>
              <w:t>其</w:t>
            </w:r>
          </w:p>
          <w:p w:rsidR="00C10A17" w:rsidRDefault="00C10A17">
            <w:pPr>
              <w:spacing w:line="440" w:lineRule="exact"/>
              <w:jc w:val="center"/>
              <w:rPr>
                <w:rStyle w:val="NormalCharacter"/>
                <w:sz w:val="24"/>
              </w:rPr>
            </w:pPr>
            <w:r>
              <w:rPr>
                <w:rStyle w:val="NormalCharacter"/>
                <w:rFonts w:hAnsi="宋体" w:hint="eastAsia"/>
                <w:sz w:val="24"/>
              </w:rPr>
              <w:t>他</w:t>
            </w:r>
          </w:p>
        </w:tc>
        <w:tc>
          <w:tcPr>
            <w:tcW w:w="1426" w:type="dxa"/>
            <w:vAlign w:val="center"/>
          </w:tcPr>
          <w:p w:rsidR="00C10A17" w:rsidRDefault="00C10A17">
            <w:pPr>
              <w:tabs>
                <w:tab w:val="decimal" w:pos="807"/>
              </w:tabs>
              <w:spacing w:line="440" w:lineRule="exact"/>
              <w:jc w:val="center"/>
              <w:rPr>
                <w:rStyle w:val="NormalCharacter"/>
                <w:sz w:val="24"/>
              </w:rPr>
            </w:pPr>
            <w:r>
              <w:rPr>
                <w:rStyle w:val="NormalCharacter"/>
                <w:rFonts w:hAnsi="宋体" w:hint="eastAsia"/>
                <w:sz w:val="24"/>
              </w:rPr>
              <w:t>阁楼、风楼及附属物</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250-300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和房屋同时建造且层高</w:t>
            </w:r>
            <w:r>
              <w:rPr>
                <w:rStyle w:val="NormalCharacter"/>
                <w:sz w:val="24"/>
              </w:rPr>
              <w:t>H&lt;2.2m</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木制大壁橱</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10A17" w:rsidRDefault="00C10A17">
            <w:pPr>
              <w:spacing w:line="440" w:lineRule="exact"/>
              <w:jc w:val="center"/>
              <w:rPr>
                <w:rStyle w:val="NormalCharacter"/>
                <w:sz w:val="24"/>
              </w:rPr>
            </w:pPr>
            <w:r>
              <w:rPr>
                <w:rStyle w:val="NormalCharacter"/>
                <w:sz w:val="24"/>
              </w:rPr>
              <w:t>300-1000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高度应不低于</w:t>
            </w:r>
            <w:r>
              <w:rPr>
                <w:rStyle w:val="NormalCharacter"/>
                <w:sz w:val="24"/>
              </w:rPr>
              <w:t>1.5</w:t>
            </w:r>
            <w:r>
              <w:rPr>
                <w:rStyle w:val="NormalCharacter"/>
                <w:rFonts w:hAnsi="宋体" w:hint="eastAsia"/>
                <w:sz w:val="24"/>
              </w:rPr>
              <w:t>米</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柴</w:t>
            </w:r>
            <w:r>
              <w:rPr>
                <w:rStyle w:val="NormalCharacter"/>
                <w:sz w:val="24"/>
              </w:rPr>
              <w:t xml:space="preserve">  </w:t>
            </w:r>
            <w:r>
              <w:rPr>
                <w:rStyle w:val="NormalCharacter"/>
                <w:rFonts w:hAnsi="宋体" w:hint="eastAsia"/>
                <w:sz w:val="24"/>
              </w:rPr>
              <w:t>间</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50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室外搭设（包括什物储藏间）</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化粪池</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400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适用企业</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沼气池</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10A17" w:rsidRDefault="00C10A17">
            <w:pPr>
              <w:spacing w:line="440" w:lineRule="exact"/>
              <w:jc w:val="center"/>
              <w:rPr>
                <w:rStyle w:val="NormalCharacter"/>
                <w:sz w:val="24"/>
              </w:rPr>
            </w:pPr>
            <w:r>
              <w:rPr>
                <w:rStyle w:val="NormalCharacter"/>
                <w:sz w:val="24"/>
              </w:rPr>
              <w:t>600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适用企业</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太阳能</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10A17" w:rsidRDefault="00C10A17">
            <w:pPr>
              <w:spacing w:line="440" w:lineRule="exact"/>
              <w:jc w:val="center"/>
              <w:rPr>
                <w:rStyle w:val="NormalCharacter"/>
                <w:sz w:val="24"/>
              </w:rPr>
            </w:pPr>
            <w:r>
              <w:rPr>
                <w:rStyle w:val="NormalCharacter"/>
                <w:sz w:val="24"/>
              </w:rPr>
              <w:t>2000-3000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指迁移费用</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空气能</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10A17" w:rsidRDefault="00C10A17">
            <w:pPr>
              <w:spacing w:line="440" w:lineRule="exact"/>
              <w:jc w:val="center"/>
              <w:rPr>
                <w:rStyle w:val="NormalCharacter"/>
                <w:sz w:val="24"/>
              </w:rPr>
            </w:pPr>
            <w:r>
              <w:rPr>
                <w:rStyle w:val="NormalCharacter"/>
                <w:sz w:val="24"/>
              </w:rPr>
              <w:t>5000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指迁移费用</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电话移机</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部</w:t>
            </w:r>
          </w:p>
        </w:tc>
        <w:tc>
          <w:tcPr>
            <w:tcW w:w="1481" w:type="dxa"/>
            <w:vAlign w:val="center"/>
          </w:tcPr>
          <w:p w:rsidR="00C10A17" w:rsidRDefault="00C10A17">
            <w:pPr>
              <w:spacing w:line="440" w:lineRule="exact"/>
              <w:jc w:val="center"/>
              <w:rPr>
                <w:rStyle w:val="NormalCharacter"/>
                <w:sz w:val="24"/>
              </w:rPr>
            </w:pPr>
            <w:r>
              <w:rPr>
                <w:rStyle w:val="NormalCharacter"/>
                <w:sz w:val="24"/>
              </w:rPr>
              <w:t>150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需提供发票等证明材料</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有线电视</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部</w:t>
            </w:r>
          </w:p>
        </w:tc>
        <w:tc>
          <w:tcPr>
            <w:tcW w:w="1481" w:type="dxa"/>
            <w:vAlign w:val="center"/>
          </w:tcPr>
          <w:p w:rsidR="00C10A17" w:rsidRDefault="00C10A17">
            <w:pPr>
              <w:spacing w:line="440" w:lineRule="exact"/>
              <w:jc w:val="center"/>
              <w:rPr>
                <w:rStyle w:val="NormalCharacter"/>
                <w:sz w:val="24"/>
              </w:rPr>
            </w:pPr>
            <w:r>
              <w:rPr>
                <w:rStyle w:val="NormalCharacter"/>
                <w:sz w:val="24"/>
              </w:rPr>
              <w:t>800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需提供发票等证明材料</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宽带移机</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部</w:t>
            </w:r>
          </w:p>
        </w:tc>
        <w:tc>
          <w:tcPr>
            <w:tcW w:w="1481" w:type="dxa"/>
            <w:vAlign w:val="center"/>
          </w:tcPr>
          <w:p w:rsidR="00C10A17" w:rsidRDefault="00C10A17">
            <w:pPr>
              <w:spacing w:line="440" w:lineRule="exact"/>
              <w:jc w:val="center"/>
              <w:rPr>
                <w:rStyle w:val="NormalCharacter"/>
                <w:sz w:val="24"/>
              </w:rPr>
            </w:pPr>
            <w:r>
              <w:rPr>
                <w:rStyle w:val="NormalCharacter"/>
                <w:sz w:val="24"/>
              </w:rPr>
              <w:t>200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需提供发票等证明材料</w:t>
            </w:r>
          </w:p>
        </w:tc>
      </w:tr>
      <w:tr w:rsidR="00C10A17">
        <w:trPr>
          <w:cantSplit/>
          <w:trHeight w:hRule="exact" w:val="548"/>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空调移机</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10A17" w:rsidRDefault="00C10A17">
            <w:pPr>
              <w:spacing w:line="440" w:lineRule="exact"/>
              <w:jc w:val="center"/>
              <w:rPr>
                <w:rStyle w:val="NormalCharacter"/>
                <w:sz w:val="24"/>
              </w:rPr>
            </w:pPr>
            <w:r>
              <w:rPr>
                <w:rStyle w:val="NormalCharacter"/>
                <w:sz w:val="24"/>
              </w:rPr>
              <w:t>150</w:t>
            </w:r>
          </w:p>
        </w:tc>
        <w:tc>
          <w:tcPr>
            <w:tcW w:w="3977" w:type="dxa"/>
            <w:vAlign w:val="center"/>
          </w:tcPr>
          <w:p w:rsidR="00C10A17" w:rsidRDefault="00C10A17">
            <w:pPr>
              <w:spacing w:line="440" w:lineRule="exact"/>
              <w:jc w:val="center"/>
              <w:rPr>
                <w:rStyle w:val="NormalCharacter"/>
                <w:sz w:val="24"/>
              </w:rPr>
            </w:pPr>
          </w:p>
        </w:tc>
      </w:tr>
      <w:tr w:rsidR="00C10A17">
        <w:trPr>
          <w:cantSplit/>
          <w:trHeight w:val="234"/>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360" w:lineRule="exact"/>
              <w:jc w:val="center"/>
              <w:rPr>
                <w:rStyle w:val="NormalCharacter"/>
                <w:sz w:val="24"/>
              </w:rPr>
            </w:pPr>
            <w:r>
              <w:rPr>
                <w:rStyle w:val="NormalCharacter"/>
                <w:rFonts w:hAnsi="宋体" w:hint="eastAsia"/>
                <w:sz w:val="24"/>
              </w:rPr>
              <w:t>视频监控迁移费</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10A17" w:rsidRDefault="00C10A17">
            <w:pPr>
              <w:spacing w:line="440" w:lineRule="exact"/>
              <w:jc w:val="center"/>
              <w:rPr>
                <w:rStyle w:val="NormalCharacter"/>
                <w:sz w:val="24"/>
              </w:rPr>
            </w:pPr>
            <w:r>
              <w:rPr>
                <w:rStyle w:val="NormalCharacter"/>
                <w:sz w:val="24"/>
              </w:rPr>
              <w:t>300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按监控探头数量计算</w:t>
            </w:r>
          </w:p>
        </w:tc>
      </w:tr>
      <w:tr w:rsidR="00C10A17">
        <w:trPr>
          <w:cantSplit/>
          <w:trHeight w:val="107"/>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360" w:lineRule="exact"/>
              <w:jc w:val="center"/>
              <w:rPr>
                <w:rStyle w:val="NormalCharacter"/>
                <w:sz w:val="24"/>
              </w:rPr>
            </w:pPr>
            <w:r>
              <w:rPr>
                <w:rStyle w:val="NormalCharacter"/>
                <w:rFonts w:hAnsi="宋体" w:hint="eastAsia"/>
                <w:sz w:val="24"/>
              </w:rPr>
              <w:t>室外楼梯（铁）</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台阶</w:t>
            </w:r>
          </w:p>
        </w:tc>
        <w:tc>
          <w:tcPr>
            <w:tcW w:w="1481" w:type="dxa"/>
            <w:vAlign w:val="center"/>
          </w:tcPr>
          <w:p w:rsidR="00C10A17" w:rsidRDefault="00C10A17">
            <w:pPr>
              <w:spacing w:line="440" w:lineRule="exact"/>
              <w:jc w:val="center"/>
              <w:rPr>
                <w:rStyle w:val="NormalCharacter"/>
                <w:sz w:val="24"/>
              </w:rPr>
            </w:pPr>
            <w:r>
              <w:rPr>
                <w:rStyle w:val="NormalCharacter"/>
                <w:sz w:val="24"/>
              </w:rPr>
              <w:t>80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不锈钢参照</w:t>
            </w:r>
          </w:p>
        </w:tc>
      </w:tr>
      <w:tr w:rsidR="00C10A17">
        <w:trPr>
          <w:cantSplit/>
          <w:trHeight w:val="107"/>
          <w:jc w:val="center"/>
        </w:trPr>
        <w:tc>
          <w:tcPr>
            <w:tcW w:w="968" w:type="dxa"/>
            <w:vMerge/>
            <w:vAlign w:val="center"/>
          </w:tcPr>
          <w:p w:rsidR="00C10A17" w:rsidRDefault="00C10A17">
            <w:pPr>
              <w:spacing w:line="440" w:lineRule="exact"/>
              <w:jc w:val="center"/>
              <w:rPr>
                <w:rStyle w:val="NormalCharacter"/>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有围护晒台</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150</w:t>
            </w:r>
          </w:p>
        </w:tc>
        <w:tc>
          <w:tcPr>
            <w:tcW w:w="3977" w:type="dxa"/>
            <w:vAlign w:val="center"/>
          </w:tcPr>
          <w:p w:rsidR="00C10A17" w:rsidRDefault="00C10A17">
            <w:pPr>
              <w:spacing w:line="440" w:lineRule="exact"/>
              <w:jc w:val="center"/>
              <w:rPr>
                <w:rStyle w:val="NormalCharacter"/>
                <w:sz w:val="24"/>
              </w:rPr>
            </w:pPr>
          </w:p>
        </w:tc>
      </w:tr>
      <w:tr w:rsidR="00C10A17">
        <w:trPr>
          <w:cantSplit/>
          <w:trHeight w:val="107"/>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牲畜用房</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10A17" w:rsidRDefault="00C10A17">
            <w:pPr>
              <w:spacing w:line="440" w:lineRule="exact"/>
              <w:jc w:val="center"/>
              <w:rPr>
                <w:rStyle w:val="NormalCharacter"/>
                <w:sz w:val="24"/>
              </w:rPr>
            </w:pPr>
            <w:r>
              <w:rPr>
                <w:rStyle w:val="NormalCharacter"/>
                <w:sz w:val="24"/>
              </w:rPr>
              <w:t>30-50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指室外猪、牛、鸡、羊舍等</w:t>
            </w:r>
          </w:p>
        </w:tc>
      </w:tr>
      <w:tr w:rsidR="00C10A17">
        <w:trPr>
          <w:cantSplit/>
          <w:trHeight w:val="264"/>
          <w:jc w:val="center"/>
        </w:trPr>
        <w:tc>
          <w:tcPr>
            <w:tcW w:w="968" w:type="dxa"/>
            <w:vMerge/>
            <w:vAlign w:val="center"/>
          </w:tcPr>
          <w:p w:rsidR="00C10A17" w:rsidRDefault="00C10A17">
            <w:pPr>
              <w:spacing w:line="440" w:lineRule="exact"/>
              <w:jc w:val="center"/>
              <w:rPr>
                <w:rStyle w:val="NormalCharacter"/>
                <w:sz w:val="24"/>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路灯</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杆</w:t>
            </w:r>
          </w:p>
        </w:tc>
        <w:tc>
          <w:tcPr>
            <w:tcW w:w="1481" w:type="dxa"/>
            <w:vAlign w:val="center"/>
          </w:tcPr>
          <w:p w:rsidR="00C10A17" w:rsidRDefault="00C10A17">
            <w:pPr>
              <w:spacing w:line="440" w:lineRule="exact"/>
              <w:jc w:val="center"/>
              <w:rPr>
                <w:rStyle w:val="NormalCharacter"/>
                <w:sz w:val="24"/>
              </w:rPr>
            </w:pPr>
            <w:r>
              <w:rPr>
                <w:rStyle w:val="NormalCharacter"/>
                <w:sz w:val="24"/>
              </w:rPr>
              <w:t>300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指庭院或露台照明的带有灯杆的灯</w:t>
            </w:r>
          </w:p>
        </w:tc>
      </w:tr>
      <w:tr w:rsidR="00C10A17">
        <w:trPr>
          <w:cantSplit/>
          <w:trHeight w:val="264"/>
          <w:jc w:val="center"/>
        </w:trPr>
        <w:tc>
          <w:tcPr>
            <w:tcW w:w="968" w:type="dxa"/>
            <w:vMerge/>
            <w:vAlign w:val="center"/>
          </w:tcPr>
          <w:p w:rsidR="00C10A17" w:rsidRDefault="00C10A17">
            <w:pPr>
              <w:spacing w:line="440" w:lineRule="exact"/>
              <w:jc w:val="center"/>
              <w:rPr>
                <w:rStyle w:val="NormalCharacter"/>
              </w:rPr>
            </w:pPr>
          </w:p>
        </w:tc>
        <w:tc>
          <w:tcPr>
            <w:tcW w:w="1426" w:type="dxa"/>
            <w:vAlign w:val="center"/>
          </w:tcPr>
          <w:p w:rsidR="00C10A17" w:rsidRDefault="00C10A17">
            <w:pPr>
              <w:spacing w:line="440" w:lineRule="exact"/>
              <w:jc w:val="center"/>
              <w:rPr>
                <w:rStyle w:val="NormalCharacter"/>
                <w:sz w:val="24"/>
              </w:rPr>
            </w:pPr>
            <w:r>
              <w:rPr>
                <w:rStyle w:val="NormalCharacter"/>
                <w:rFonts w:hAnsi="宋体" w:hint="eastAsia"/>
                <w:sz w:val="24"/>
              </w:rPr>
              <w:t>果杂树</w:t>
            </w:r>
          </w:p>
        </w:tc>
        <w:tc>
          <w:tcPr>
            <w:tcW w:w="1188" w:type="dxa"/>
            <w:vAlign w:val="center"/>
          </w:tcPr>
          <w:p w:rsidR="00C10A17" w:rsidRDefault="00C10A17">
            <w:pPr>
              <w:spacing w:line="440" w:lineRule="exact"/>
              <w:jc w:val="center"/>
              <w:rPr>
                <w:rStyle w:val="NormalCharacter"/>
                <w:sz w:val="24"/>
              </w:rPr>
            </w:pPr>
            <w:r>
              <w:rPr>
                <w:rStyle w:val="NormalCharacter"/>
                <w:rFonts w:hAnsi="宋体" w:hint="eastAsia"/>
                <w:sz w:val="24"/>
              </w:rPr>
              <w:t>株</w:t>
            </w:r>
          </w:p>
        </w:tc>
        <w:tc>
          <w:tcPr>
            <w:tcW w:w="1481" w:type="dxa"/>
            <w:vAlign w:val="center"/>
          </w:tcPr>
          <w:p w:rsidR="00C10A17" w:rsidRDefault="00C10A17">
            <w:pPr>
              <w:spacing w:line="440" w:lineRule="exact"/>
              <w:jc w:val="center"/>
              <w:rPr>
                <w:rStyle w:val="NormalCharacter"/>
                <w:sz w:val="24"/>
              </w:rPr>
            </w:pP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按照征地标准执行</w:t>
            </w:r>
          </w:p>
        </w:tc>
      </w:tr>
      <w:tr w:rsidR="00C10A17">
        <w:trPr>
          <w:trHeight w:hRule="exact" w:val="974"/>
          <w:jc w:val="center"/>
        </w:trPr>
        <w:tc>
          <w:tcPr>
            <w:tcW w:w="9040" w:type="dxa"/>
            <w:gridSpan w:val="5"/>
            <w:vAlign w:val="center"/>
          </w:tcPr>
          <w:p w:rsidR="00C10A17" w:rsidRDefault="00C10A17">
            <w:pPr>
              <w:spacing w:line="440" w:lineRule="exact"/>
              <w:jc w:val="center"/>
              <w:rPr>
                <w:rStyle w:val="NormalCharacter"/>
                <w:b/>
                <w:sz w:val="44"/>
                <w:szCs w:val="44"/>
              </w:rPr>
            </w:pPr>
            <w:r>
              <w:rPr>
                <w:rStyle w:val="NormalCharacter"/>
                <w:rFonts w:hAnsi="宋体" w:hint="eastAsia"/>
                <w:b/>
                <w:sz w:val="44"/>
                <w:szCs w:val="44"/>
              </w:rPr>
              <w:t>二、简易搭盖（临时建筑）</w:t>
            </w:r>
          </w:p>
        </w:tc>
      </w:tr>
      <w:tr w:rsidR="00C10A17">
        <w:trPr>
          <w:trHeight w:hRule="exact" w:val="559"/>
          <w:jc w:val="center"/>
        </w:trPr>
        <w:tc>
          <w:tcPr>
            <w:tcW w:w="968" w:type="dxa"/>
            <w:vAlign w:val="center"/>
          </w:tcPr>
          <w:p w:rsidR="00C10A17" w:rsidRDefault="00C10A17">
            <w:pPr>
              <w:spacing w:line="440" w:lineRule="exact"/>
              <w:jc w:val="center"/>
              <w:rPr>
                <w:rStyle w:val="NormalCharacter"/>
                <w:sz w:val="24"/>
              </w:rPr>
            </w:pPr>
            <w:r>
              <w:rPr>
                <w:rStyle w:val="NormalCharacter"/>
                <w:rFonts w:hAnsi="宋体" w:hint="eastAsia"/>
                <w:b/>
                <w:sz w:val="24"/>
              </w:rPr>
              <w:t>序号</w:t>
            </w:r>
          </w:p>
        </w:tc>
        <w:tc>
          <w:tcPr>
            <w:tcW w:w="2614" w:type="dxa"/>
            <w:gridSpan w:val="2"/>
            <w:vAlign w:val="center"/>
          </w:tcPr>
          <w:p w:rsidR="00C10A17" w:rsidRDefault="00C10A17" w:rsidP="00847DA5">
            <w:pPr>
              <w:spacing w:line="440" w:lineRule="exact"/>
              <w:ind w:leftChars="-61" w:left="7" w:rightChars="-55" w:right="-115" w:hangingChars="56" w:hanging="135"/>
              <w:jc w:val="center"/>
              <w:rPr>
                <w:rStyle w:val="NormalCharacter"/>
                <w:sz w:val="24"/>
              </w:rPr>
            </w:pPr>
            <w:r>
              <w:rPr>
                <w:rStyle w:val="NormalCharacter"/>
                <w:rFonts w:hAnsi="宋体" w:hint="eastAsia"/>
                <w:b/>
                <w:sz w:val="24"/>
              </w:rPr>
              <w:t>类别</w:t>
            </w:r>
          </w:p>
        </w:tc>
        <w:tc>
          <w:tcPr>
            <w:tcW w:w="1481" w:type="dxa"/>
            <w:vAlign w:val="center"/>
          </w:tcPr>
          <w:p w:rsidR="00C10A17" w:rsidRDefault="00C10A17">
            <w:pPr>
              <w:spacing w:line="440" w:lineRule="exact"/>
              <w:jc w:val="center"/>
              <w:rPr>
                <w:rStyle w:val="NormalCharacter"/>
                <w:sz w:val="24"/>
              </w:rPr>
            </w:pPr>
            <w:r>
              <w:rPr>
                <w:rStyle w:val="NormalCharacter"/>
                <w:rFonts w:hAnsi="宋体" w:hint="eastAsia"/>
                <w:b/>
                <w:szCs w:val="21"/>
              </w:rPr>
              <w:t>单价（元</w:t>
            </w:r>
            <w:r>
              <w:rPr>
                <w:rStyle w:val="NormalCharacter"/>
                <w:b/>
                <w:szCs w:val="21"/>
              </w:rPr>
              <w:t>/m</w:t>
            </w:r>
            <w:r>
              <w:rPr>
                <w:rStyle w:val="NormalCharacter"/>
                <w:b/>
                <w:szCs w:val="21"/>
                <w:vertAlign w:val="superscript"/>
              </w:rPr>
              <w:t>2</w:t>
            </w:r>
            <w:r>
              <w:rPr>
                <w:rStyle w:val="NormalCharacter"/>
                <w:rFonts w:hAnsi="宋体" w:hint="eastAsia"/>
                <w:b/>
                <w:szCs w:val="21"/>
              </w:rPr>
              <w:t>）</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b/>
                <w:sz w:val="24"/>
              </w:rPr>
              <w:t>说</w:t>
            </w:r>
            <w:r>
              <w:rPr>
                <w:rStyle w:val="NormalCharacter"/>
                <w:b/>
                <w:sz w:val="24"/>
              </w:rPr>
              <w:t xml:space="preserve">  </w:t>
            </w:r>
            <w:r>
              <w:rPr>
                <w:rStyle w:val="NormalCharacter"/>
                <w:rFonts w:hAnsi="宋体" w:hint="eastAsia"/>
                <w:b/>
                <w:sz w:val="24"/>
              </w:rPr>
              <w:t>明</w:t>
            </w:r>
          </w:p>
        </w:tc>
      </w:tr>
      <w:tr w:rsidR="00C10A17">
        <w:trPr>
          <w:trHeight w:hRule="exact" w:val="705"/>
          <w:jc w:val="center"/>
        </w:trPr>
        <w:tc>
          <w:tcPr>
            <w:tcW w:w="968" w:type="dxa"/>
            <w:vAlign w:val="center"/>
          </w:tcPr>
          <w:p w:rsidR="00C10A17" w:rsidRDefault="00C10A17">
            <w:pPr>
              <w:spacing w:line="440" w:lineRule="exact"/>
              <w:jc w:val="center"/>
              <w:rPr>
                <w:rStyle w:val="NormalCharacter"/>
                <w:sz w:val="24"/>
              </w:rPr>
            </w:pPr>
            <w:r>
              <w:rPr>
                <w:rStyle w:val="NormalCharacter"/>
                <w:sz w:val="24"/>
              </w:rPr>
              <w:t>1</w:t>
            </w:r>
          </w:p>
        </w:tc>
        <w:tc>
          <w:tcPr>
            <w:tcW w:w="2614" w:type="dxa"/>
            <w:gridSpan w:val="2"/>
            <w:vAlign w:val="center"/>
          </w:tcPr>
          <w:p w:rsidR="00C10A17" w:rsidRDefault="00C10A17">
            <w:pPr>
              <w:spacing w:line="360" w:lineRule="exact"/>
              <w:jc w:val="center"/>
              <w:rPr>
                <w:rStyle w:val="NormalCharacter"/>
                <w:szCs w:val="21"/>
              </w:rPr>
            </w:pPr>
            <w:r>
              <w:rPr>
                <w:rStyle w:val="NormalCharacter"/>
                <w:rFonts w:hAnsi="宋体" w:hint="eastAsia"/>
                <w:szCs w:val="21"/>
              </w:rPr>
              <w:t>主架为竹（木），屋面为油毛毯</w:t>
            </w:r>
          </w:p>
        </w:tc>
        <w:tc>
          <w:tcPr>
            <w:tcW w:w="1481" w:type="dxa"/>
            <w:vAlign w:val="center"/>
          </w:tcPr>
          <w:p w:rsidR="00C10A17" w:rsidRDefault="00C10A17">
            <w:pPr>
              <w:spacing w:line="440" w:lineRule="exact"/>
              <w:jc w:val="center"/>
              <w:rPr>
                <w:rStyle w:val="NormalCharacter"/>
                <w:sz w:val="24"/>
              </w:rPr>
            </w:pPr>
            <w:r>
              <w:rPr>
                <w:rStyle w:val="NormalCharacter"/>
                <w:sz w:val="24"/>
              </w:rPr>
              <w:t>40-60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高</w:t>
            </w:r>
            <w:r>
              <w:rPr>
                <w:rStyle w:val="NormalCharacter"/>
                <w:sz w:val="24"/>
              </w:rPr>
              <w:t>3m</w:t>
            </w:r>
            <w:r>
              <w:rPr>
                <w:rStyle w:val="NormalCharacter"/>
                <w:rFonts w:hAnsi="宋体" w:hint="eastAsia"/>
                <w:sz w:val="24"/>
              </w:rPr>
              <w:t>以上</w:t>
            </w:r>
          </w:p>
        </w:tc>
      </w:tr>
      <w:tr w:rsidR="00C10A17">
        <w:trPr>
          <w:trHeight w:hRule="exact" w:val="1128"/>
          <w:jc w:val="center"/>
        </w:trPr>
        <w:tc>
          <w:tcPr>
            <w:tcW w:w="968" w:type="dxa"/>
            <w:vAlign w:val="center"/>
          </w:tcPr>
          <w:p w:rsidR="00C10A17" w:rsidRDefault="00C10A17">
            <w:pPr>
              <w:spacing w:line="440" w:lineRule="exact"/>
              <w:jc w:val="center"/>
              <w:rPr>
                <w:rStyle w:val="NormalCharacter"/>
                <w:sz w:val="24"/>
              </w:rPr>
            </w:pPr>
            <w:r>
              <w:rPr>
                <w:rStyle w:val="NormalCharacter"/>
                <w:sz w:val="24"/>
              </w:rPr>
              <w:t>2</w:t>
            </w:r>
          </w:p>
        </w:tc>
        <w:tc>
          <w:tcPr>
            <w:tcW w:w="2614" w:type="dxa"/>
            <w:gridSpan w:val="2"/>
            <w:vAlign w:val="center"/>
          </w:tcPr>
          <w:p w:rsidR="00C10A17" w:rsidRDefault="00C10A17">
            <w:pPr>
              <w:spacing w:line="360" w:lineRule="exact"/>
              <w:jc w:val="center"/>
              <w:rPr>
                <w:rStyle w:val="NormalCharacter"/>
                <w:szCs w:val="21"/>
              </w:rPr>
            </w:pPr>
            <w:r>
              <w:rPr>
                <w:rStyle w:val="NormalCharacter"/>
                <w:rFonts w:hAnsi="宋体" w:hint="eastAsia"/>
                <w:szCs w:val="21"/>
              </w:rPr>
              <w:t>墙体为机砖、空心砖、木层架、屋面为油毛毯（石棉瓦）</w:t>
            </w:r>
          </w:p>
        </w:tc>
        <w:tc>
          <w:tcPr>
            <w:tcW w:w="1481" w:type="dxa"/>
            <w:vAlign w:val="center"/>
          </w:tcPr>
          <w:p w:rsidR="00C10A17" w:rsidRDefault="00C10A17">
            <w:pPr>
              <w:spacing w:line="440" w:lineRule="exact"/>
              <w:jc w:val="center"/>
              <w:rPr>
                <w:rStyle w:val="NormalCharacter"/>
                <w:sz w:val="24"/>
              </w:rPr>
            </w:pPr>
            <w:r>
              <w:rPr>
                <w:rStyle w:val="NormalCharacter"/>
                <w:sz w:val="24"/>
              </w:rPr>
              <w:t>120-150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墙高</w:t>
            </w:r>
            <w:r>
              <w:rPr>
                <w:rStyle w:val="NormalCharacter"/>
                <w:sz w:val="24"/>
              </w:rPr>
              <w:t>3m</w:t>
            </w:r>
            <w:r>
              <w:rPr>
                <w:rStyle w:val="NormalCharacter"/>
                <w:rFonts w:hAnsi="宋体" w:hint="eastAsia"/>
                <w:sz w:val="24"/>
              </w:rPr>
              <w:t>以上，简单装修可以住人。</w:t>
            </w:r>
          </w:p>
        </w:tc>
      </w:tr>
      <w:tr w:rsidR="00C10A17">
        <w:trPr>
          <w:trHeight w:hRule="exact" w:val="1132"/>
          <w:jc w:val="center"/>
        </w:trPr>
        <w:tc>
          <w:tcPr>
            <w:tcW w:w="968" w:type="dxa"/>
            <w:vAlign w:val="center"/>
          </w:tcPr>
          <w:p w:rsidR="00C10A17" w:rsidRDefault="00C10A17">
            <w:pPr>
              <w:spacing w:line="440" w:lineRule="exact"/>
              <w:jc w:val="center"/>
              <w:rPr>
                <w:rStyle w:val="NormalCharacter"/>
                <w:sz w:val="24"/>
              </w:rPr>
            </w:pPr>
            <w:r>
              <w:rPr>
                <w:rStyle w:val="NormalCharacter"/>
                <w:sz w:val="24"/>
              </w:rPr>
              <w:t>3</w:t>
            </w:r>
          </w:p>
        </w:tc>
        <w:tc>
          <w:tcPr>
            <w:tcW w:w="2614" w:type="dxa"/>
            <w:gridSpan w:val="2"/>
            <w:vAlign w:val="center"/>
          </w:tcPr>
          <w:p w:rsidR="00C10A17" w:rsidRDefault="00C10A17">
            <w:pPr>
              <w:spacing w:line="360" w:lineRule="exact"/>
              <w:jc w:val="center"/>
              <w:rPr>
                <w:rStyle w:val="NormalCharacter"/>
                <w:szCs w:val="21"/>
              </w:rPr>
            </w:pPr>
            <w:r>
              <w:rPr>
                <w:rStyle w:val="NormalCharacter"/>
                <w:rFonts w:hAnsi="宋体" w:hint="eastAsia"/>
                <w:szCs w:val="21"/>
              </w:rPr>
              <w:t>铁支架、角铁屋架，屋面为彩钢板，无围护的搭盖</w:t>
            </w:r>
          </w:p>
        </w:tc>
        <w:tc>
          <w:tcPr>
            <w:tcW w:w="1481" w:type="dxa"/>
            <w:vAlign w:val="center"/>
          </w:tcPr>
          <w:p w:rsidR="00C10A17" w:rsidRDefault="00C10A17">
            <w:pPr>
              <w:spacing w:line="440" w:lineRule="exact"/>
              <w:jc w:val="center"/>
              <w:rPr>
                <w:rStyle w:val="NormalCharacter"/>
                <w:sz w:val="24"/>
              </w:rPr>
            </w:pPr>
            <w:r>
              <w:rPr>
                <w:rStyle w:val="NormalCharacter"/>
                <w:sz w:val="24"/>
              </w:rPr>
              <w:t>150-200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墙高</w:t>
            </w:r>
            <w:r>
              <w:rPr>
                <w:rStyle w:val="NormalCharacter"/>
                <w:sz w:val="24"/>
              </w:rPr>
              <w:t>3m</w:t>
            </w:r>
            <w:r>
              <w:rPr>
                <w:rStyle w:val="NormalCharacter"/>
                <w:rFonts w:hAnsi="宋体" w:hint="eastAsia"/>
                <w:sz w:val="24"/>
              </w:rPr>
              <w:t>以上，简单装修可以住人。</w:t>
            </w:r>
          </w:p>
        </w:tc>
      </w:tr>
      <w:tr w:rsidR="00C10A17">
        <w:trPr>
          <w:trHeight w:hRule="exact" w:val="992"/>
          <w:jc w:val="center"/>
        </w:trPr>
        <w:tc>
          <w:tcPr>
            <w:tcW w:w="968" w:type="dxa"/>
            <w:vAlign w:val="center"/>
          </w:tcPr>
          <w:p w:rsidR="00C10A17" w:rsidRDefault="00C10A17">
            <w:pPr>
              <w:spacing w:line="440" w:lineRule="exact"/>
              <w:jc w:val="center"/>
              <w:rPr>
                <w:rStyle w:val="NormalCharacter"/>
                <w:sz w:val="24"/>
              </w:rPr>
            </w:pPr>
            <w:r>
              <w:rPr>
                <w:rStyle w:val="NormalCharacter"/>
                <w:sz w:val="24"/>
              </w:rPr>
              <w:t>4</w:t>
            </w:r>
          </w:p>
        </w:tc>
        <w:tc>
          <w:tcPr>
            <w:tcW w:w="2614" w:type="dxa"/>
            <w:gridSpan w:val="2"/>
            <w:vAlign w:val="center"/>
          </w:tcPr>
          <w:p w:rsidR="00C10A17" w:rsidRDefault="00C10A17">
            <w:pPr>
              <w:spacing w:line="360" w:lineRule="exact"/>
              <w:jc w:val="center"/>
              <w:rPr>
                <w:rStyle w:val="NormalCharacter"/>
                <w:szCs w:val="21"/>
              </w:rPr>
            </w:pPr>
            <w:r>
              <w:rPr>
                <w:rStyle w:val="NormalCharacter"/>
                <w:rFonts w:hAnsi="宋体" w:hint="eastAsia"/>
                <w:szCs w:val="21"/>
              </w:rPr>
              <w:t>墙体为机砖、空心挝、角铁屋架，屋面为铁皮</w:t>
            </w:r>
          </w:p>
        </w:tc>
        <w:tc>
          <w:tcPr>
            <w:tcW w:w="1481" w:type="dxa"/>
            <w:vAlign w:val="center"/>
          </w:tcPr>
          <w:p w:rsidR="00C10A17" w:rsidRDefault="00C10A17">
            <w:pPr>
              <w:spacing w:line="440" w:lineRule="exact"/>
              <w:jc w:val="center"/>
              <w:rPr>
                <w:rStyle w:val="NormalCharacter"/>
                <w:sz w:val="24"/>
              </w:rPr>
            </w:pPr>
            <w:r>
              <w:rPr>
                <w:rStyle w:val="NormalCharacter"/>
                <w:sz w:val="24"/>
              </w:rPr>
              <w:t>200-240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墙高</w:t>
            </w:r>
            <w:r>
              <w:rPr>
                <w:rStyle w:val="NormalCharacter"/>
                <w:sz w:val="24"/>
              </w:rPr>
              <w:t>3m</w:t>
            </w:r>
            <w:r>
              <w:rPr>
                <w:rStyle w:val="NormalCharacter"/>
                <w:rFonts w:hAnsi="宋体" w:hint="eastAsia"/>
                <w:sz w:val="24"/>
              </w:rPr>
              <w:t>以上，简单装修可以住人。</w:t>
            </w:r>
          </w:p>
        </w:tc>
      </w:tr>
      <w:tr w:rsidR="00C10A17">
        <w:trPr>
          <w:trHeight w:hRule="exact" w:val="1698"/>
          <w:jc w:val="center"/>
        </w:trPr>
        <w:tc>
          <w:tcPr>
            <w:tcW w:w="968" w:type="dxa"/>
            <w:vAlign w:val="center"/>
          </w:tcPr>
          <w:p w:rsidR="00C10A17" w:rsidRDefault="00C10A17">
            <w:pPr>
              <w:spacing w:line="440" w:lineRule="exact"/>
              <w:jc w:val="center"/>
              <w:rPr>
                <w:rStyle w:val="NormalCharacter"/>
                <w:sz w:val="24"/>
              </w:rPr>
            </w:pPr>
            <w:r>
              <w:rPr>
                <w:rStyle w:val="NormalCharacter"/>
                <w:sz w:val="24"/>
              </w:rPr>
              <w:t>5</w:t>
            </w:r>
          </w:p>
        </w:tc>
        <w:tc>
          <w:tcPr>
            <w:tcW w:w="2614" w:type="dxa"/>
            <w:gridSpan w:val="2"/>
            <w:vAlign w:val="center"/>
          </w:tcPr>
          <w:p w:rsidR="00C10A17" w:rsidRDefault="00C10A17">
            <w:pPr>
              <w:spacing w:line="360" w:lineRule="exact"/>
              <w:jc w:val="center"/>
              <w:rPr>
                <w:rStyle w:val="NormalCharacter"/>
                <w:szCs w:val="21"/>
              </w:rPr>
            </w:pPr>
            <w:r>
              <w:rPr>
                <w:rStyle w:val="NormalCharacter"/>
                <w:rFonts w:hAnsi="宋体" w:hint="eastAsia"/>
                <w:szCs w:val="21"/>
              </w:rPr>
              <w:t>工业厂房类的简易建筑，四周砖墙体或铁皮围或方石，钢屋面或石棉瓦或砖瓦，屋架及承重架为轻型构架</w:t>
            </w:r>
          </w:p>
        </w:tc>
        <w:tc>
          <w:tcPr>
            <w:tcW w:w="1481" w:type="dxa"/>
            <w:vAlign w:val="center"/>
          </w:tcPr>
          <w:p w:rsidR="00C10A17" w:rsidRDefault="00C10A17">
            <w:pPr>
              <w:spacing w:line="440" w:lineRule="exact"/>
              <w:jc w:val="center"/>
              <w:rPr>
                <w:rStyle w:val="NormalCharacter"/>
                <w:sz w:val="24"/>
              </w:rPr>
            </w:pPr>
            <w:r>
              <w:rPr>
                <w:rStyle w:val="NormalCharacter"/>
                <w:sz w:val="24"/>
              </w:rPr>
              <w:t>250-300</w:t>
            </w:r>
          </w:p>
        </w:tc>
        <w:tc>
          <w:tcPr>
            <w:tcW w:w="3977" w:type="dxa"/>
            <w:vAlign w:val="center"/>
          </w:tcPr>
          <w:p w:rsidR="00C10A17" w:rsidRDefault="00C10A17">
            <w:pPr>
              <w:spacing w:line="440" w:lineRule="exact"/>
              <w:jc w:val="center"/>
              <w:rPr>
                <w:rStyle w:val="NormalCharacter"/>
                <w:sz w:val="24"/>
              </w:rPr>
            </w:pPr>
            <w:r>
              <w:rPr>
                <w:rStyle w:val="NormalCharacter"/>
                <w:rFonts w:hAnsi="宋体" w:hint="eastAsia"/>
                <w:sz w:val="24"/>
              </w:rPr>
              <w:t>层高</w:t>
            </w:r>
            <w:r>
              <w:rPr>
                <w:rStyle w:val="NormalCharacter"/>
                <w:sz w:val="24"/>
              </w:rPr>
              <w:t>4</w:t>
            </w:r>
            <w:r>
              <w:rPr>
                <w:rStyle w:val="NormalCharacter"/>
                <w:rFonts w:hAnsi="宋体" w:hint="eastAsia"/>
                <w:sz w:val="24"/>
              </w:rPr>
              <w:t>米以下</w:t>
            </w:r>
          </w:p>
        </w:tc>
      </w:tr>
      <w:tr w:rsidR="00C10A17">
        <w:trPr>
          <w:trHeight w:hRule="exact" w:val="559"/>
          <w:jc w:val="center"/>
        </w:trPr>
        <w:tc>
          <w:tcPr>
            <w:tcW w:w="968" w:type="dxa"/>
            <w:vAlign w:val="center"/>
          </w:tcPr>
          <w:p w:rsidR="00C10A17" w:rsidRDefault="00C10A17">
            <w:pPr>
              <w:spacing w:line="440" w:lineRule="exact"/>
              <w:jc w:val="center"/>
              <w:rPr>
                <w:rStyle w:val="NormalCharacter"/>
                <w:sz w:val="24"/>
              </w:rPr>
            </w:pPr>
            <w:r>
              <w:rPr>
                <w:rStyle w:val="NormalCharacter"/>
                <w:sz w:val="24"/>
              </w:rPr>
              <w:t>6</w:t>
            </w:r>
          </w:p>
        </w:tc>
        <w:tc>
          <w:tcPr>
            <w:tcW w:w="2614" w:type="dxa"/>
            <w:gridSpan w:val="2"/>
            <w:vAlign w:val="center"/>
          </w:tcPr>
          <w:p w:rsidR="00C10A17" w:rsidRDefault="00C10A17">
            <w:pPr>
              <w:spacing w:line="440" w:lineRule="exact"/>
              <w:jc w:val="center"/>
              <w:rPr>
                <w:rStyle w:val="NormalCharacter"/>
                <w:sz w:val="24"/>
              </w:rPr>
            </w:pPr>
            <w:r>
              <w:rPr>
                <w:rStyle w:val="NormalCharacter"/>
                <w:rFonts w:hAnsi="宋体" w:hint="eastAsia"/>
                <w:sz w:val="24"/>
              </w:rPr>
              <w:t>活动板房</w:t>
            </w:r>
          </w:p>
        </w:tc>
        <w:tc>
          <w:tcPr>
            <w:tcW w:w="1481" w:type="dxa"/>
            <w:vAlign w:val="center"/>
          </w:tcPr>
          <w:p w:rsidR="00C10A17" w:rsidRDefault="00C10A17">
            <w:pPr>
              <w:spacing w:line="440" w:lineRule="exact"/>
              <w:jc w:val="center"/>
              <w:rPr>
                <w:rStyle w:val="NormalCharacter"/>
                <w:sz w:val="24"/>
              </w:rPr>
            </w:pPr>
            <w:r>
              <w:rPr>
                <w:rStyle w:val="NormalCharacter"/>
                <w:sz w:val="24"/>
              </w:rPr>
              <w:t>300</w:t>
            </w:r>
          </w:p>
        </w:tc>
        <w:tc>
          <w:tcPr>
            <w:tcW w:w="3977" w:type="dxa"/>
            <w:vAlign w:val="center"/>
          </w:tcPr>
          <w:p w:rsidR="00C10A17" w:rsidRDefault="00C10A17">
            <w:pPr>
              <w:spacing w:line="440" w:lineRule="exact"/>
              <w:jc w:val="center"/>
              <w:rPr>
                <w:rStyle w:val="NormalCharacter"/>
                <w:sz w:val="24"/>
              </w:rPr>
            </w:pPr>
          </w:p>
        </w:tc>
      </w:tr>
      <w:tr w:rsidR="00C10A17">
        <w:trPr>
          <w:trHeight w:hRule="exact" w:val="559"/>
          <w:jc w:val="center"/>
        </w:trPr>
        <w:tc>
          <w:tcPr>
            <w:tcW w:w="968" w:type="dxa"/>
            <w:vAlign w:val="center"/>
          </w:tcPr>
          <w:p w:rsidR="00C10A17" w:rsidRDefault="00C10A17">
            <w:pPr>
              <w:spacing w:line="440" w:lineRule="exact"/>
              <w:jc w:val="center"/>
              <w:rPr>
                <w:rStyle w:val="NormalCharacter"/>
                <w:sz w:val="24"/>
              </w:rPr>
            </w:pPr>
            <w:r>
              <w:rPr>
                <w:rStyle w:val="NormalCharacter"/>
                <w:sz w:val="24"/>
              </w:rPr>
              <w:t>7</w:t>
            </w:r>
          </w:p>
        </w:tc>
        <w:tc>
          <w:tcPr>
            <w:tcW w:w="2614" w:type="dxa"/>
            <w:gridSpan w:val="2"/>
            <w:vAlign w:val="center"/>
          </w:tcPr>
          <w:p w:rsidR="00C10A17" w:rsidRDefault="00C10A17">
            <w:pPr>
              <w:spacing w:line="440" w:lineRule="exact"/>
              <w:jc w:val="center"/>
              <w:rPr>
                <w:rStyle w:val="NormalCharacter"/>
                <w:sz w:val="24"/>
              </w:rPr>
            </w:pPr>
            <w:r>
              <w:rPr>
                <w:rStyle w:val="NormalCharacter"/>
                <w:rFonts w:hAnsi="宋体" w:hint="eastAsia"/>
                <w:sz w:val="24"/>
              </w:rPr>
              <w:t>钢结构大棚</w:t>
            </w:r>
          </w:p>
        </w:tc>
        <w:tc>
          <w:tcPr>
            <w:tcW w:w="1481" w:type="dxa"/>
            <w:vAlign w:val="center"/>
          </w:tcPr>
          <w:p w:rsidR="00C10A17" w:rsidRDefault="00C10A17">
            <w:pPr>
              <w:spacing w:line="440" w:lineRule="exact"/>
              <w:jc w:val="center"/>
              <w:rPr>
                <w:rStyle w:val="NormalCharacter"/>
                <w:sz w:val="24"/>
              </w:rPr>
            </w:pPr>
            <w:r>
              <w:rPr>
                <w:rStyle w:val="NormalCharacter"/>
                <w:sz w:val="24"/>
              </w:rPr>
              <w:t>50</w:t>
            </w:r>
          </w:p>
        </w:tc>
        <w:tc>
          <w:tcPr>
            <w:tcW w:w="3977" w:type="dxa"/>
            <w:vAlign w:val="center"/>
          </w:tcPr>
          <w:p w:rsidR="00C10A17" w:rsidRDefault="00C10A17">
            <w:pPr>
              <w:spacing w:line="440" w:lineRule="exact"/>
              <w:jc w:val="center"/>
              <w:rPr>
                <w:rStyle w:val="NormalCharacter"/>
                <w:sz w:val="24"/>
              </w:rPr>
            </w:pPr>
          </w:p>
        </w:tc>
      </w:tr>
    </w:tbl>
    <w:p w:rsidR="00C10A17" w:rsidRDefault="00C10A17">
      <w:pPr>
        <w:spacing w:line="520" w:lineRule="exact"/>
        <w:rPr>
          <w:rStyle w:val="NormalCharacter"/>
          <w:rFonts w:ascii="黑体" w:eastAsia="黑体" w:hAnsi="黑体" w:hint="eastAsia"/>
          <w:sz w:val="32"/>
          <w:szCs w:val="32"/>
        </w:rPr>
      </w:pPr>
    </w:p>
    <w:p w:rsidR="00C10A17" w:rsidRDefault="00C10A17">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6</w:t>
      </w:r>
    </w:p>
    <w:p w:rsidR="00C10A17" w:rsidRDefault="00C10A17">
      <w:pPr>
        <w:spacing w:line="520" w:lineRule="exact"/>
        <w:jc w:val="center"/>
        <w:rPr>
          <w:rStyle w:val="NormalCharacter"/>
          <w:rFonts w:ascii="方正小标宋简体" w:eastAsia="方正小标宋简体"/>
        </w:rPr>
      </w:pPr>
      <w:r>
        <w:rPr>
          <w:rStyle w:val="NormalCharacter"/>
          <w:rFonts w:ascii="方正小标宋简体" w:eastAsia="方正小标宋简体" w:hint="eastAsia"/>
          <w:sz w:val="44"/>
          <w:szCs w:val="44"/>
        </w:rPr>
        <w:t>安置房价格及装修、设施标准</w:t>
      </w:r>
      <w:r>
        <w:rPr>
          <w:rStyle w:val="NormalCharacter"/>
          <w:rFonts w:ascii="方正小标宋简体" w:eastAsia="方正小标宋简体"/>
        </w:rPr>
        <w:t xml:space="preserve">                                                   </w:t>
      </w:r>
    </w:p>
    <w:p w:rsidR="00C10A17" w:rsidRDefault="00C10A17">
      <w:pPr>
        <w:spacing w:line="520" w:lineRule="exact"/>
        <w:rPr>
          <w:rStyle w:val="NormalCharacter"/>
          <w:rFonts w:eastAsia="仿宋"/>
          <w:sz w:val="32"/>
          <w:szCs w:val="32"/>
        </w:rPr>
      </w:pPr>
      <w:r>
        <w:rPr>
          <w:rStyle w:val="NormalCharacter"/>
          <w:rFonts w:eastAsia="仿宋"/>
          <w:sz w:val="32"/>
          <w:szCs w:val="32"/>
        </w:rPr>
        <w:t xml:space="preserve">          </w:t>
      </w:r>
    </w:p>
    <w:tbl>
      <w:tblPr>
        <w:tblW w:w="85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68"/>
        <w:gridCol w:w="1800"/>
        <w:gridCol w:w="5354"/>
      </w:tblGrid>
      <w:tr w:rsidR="00C10A17">
        <w:tc>
          <w:tcPr>
            <w:tcW w:w="8522" w:type="dxa"/>
            <w:gridSpan w:val="3"/>
          </w:tcPr>
          <w:p w:rsidR="00C10A17" w:rsidRDefault="00C10A17">
            <w:pPr>
              <w:spacing w:line="520" w:lineRule="exact"/>
              <w:rPr>
                <w:rStyle w:val="NormalCharacter"/>
                <w:rFonts w:eastAsia="仿宋"/>
                <w:sz w:val="32"/>
                <w:szCs w:val="32"/>
              </w:rPr>
            </w:pPr>
            <w:r>
              <w:rPr>
                <w:rStyle w:val="NormalCharacter"/>
                <w:rFonts w:eastAsia="仿宋" w:hAnsi="仿宋" w:hint="eastAsia"/>
                <w:b/>
                <w:bCs/>
                <w:kern w:val="0"/>
                <w:sz w:val="32"/>
                <w:szCs w:val="32"/>
              </w:rPr>
              <w:t>一、单价：</w:t>
            </w:r>
            <w:r>
              <w:rPr>
                <w:rStyle w:val="NormalCharacter"/>
                <w:rFonts w:eastAsia="仿宋_GB2312" w:hint="eastAsia"/>
                <w:color w:val="000000"/>
                <w:sz w:val="32"/>
                <w:szCs w:val="32"/>
              </w:rPr>
              <w:t>8451</w:t>
            </w:r>
            <w:r>
              <w:rPr>
                <w:rStyle w:val="NormalCharacter"/>
                <w:rFonts w:eastAsia="仿宋" w:hAnsi="仿宋" w:hint="eastAsia"/>
                <w:sz w:val="32"/>
                <w:szCs w:val="32"/>
              </w:rPr>
              <w:t>元</w:t>
            </w:r>
            <w:r>
              <w:rPr>
                <w:rStyle w:val="NormalCharacter"/>
                <w:rFonts w:eastAsia="仿宋"/>
                <w:sz w:val="32"/>
                <w:szCs w:val="32"/>
              </w:rPr>
              <w:t>/</w:t>
            </w:r>
            <w:r>
              <w:rPr>
                <w:rStyle w:val="NormalCharacter"/>
                <w:rFonts w:eastAsia="仿宋" w:hAnsi="仿宋" w:hint="eastAsia"/>
                <w:sz w:val="32"/>
                <w:szCs w:val="32"/>
              </w:rPr>
              <w:t>㎡（</w:t>
            </w:r>
            <w:r>
              <w:rPr>
                <w:rStyle w:val="NormalCharacter"/>
                <w:rFonts w:eastAsia="仿宋" w:hAnsi="仿宋" w:hint="eastAsia"/>
                <w:kern w:val="0"/>
                <w:sz w:val="32"/>
                <w:szCs w:val="32"/>
              </w:rPr>
              <w:t>该价格不含室内二次装修</w:t>
            </w:r>
            <w:r>
              <w:rPr>
                <w:rStyle w:val="NormalCharacter"/>
                <w:rFonts w:eastAsia="仿宋" w:hAnsi="仿宋" w:hint="eastAsia"/>
                <w:sz w:val="32"/>
                <w:szCs w:val="32"/>
              </w:rPr>
              <w:t>）</w:t>
            </w:r>
          </w:p>
        </w:tc>
      </w:tr>
      <w:tr w:rsidR="00C10A17">
        <w:trPr>
          <w:trHeight w:val="575"/>
        </w:trPr>
        <w:tc>
          <w:tcPr>
            <w:tcW w:w="8522" w:type="dxa"/>
            <w:gridSpan w:val="3"/>
          </w:tcPr>
          <w:p w:rsidR="00C10A17" w:rsidRDefault="00C10A17">
            <w:pPr>
              <w:rPr>
                <w:rStyle w:val="NormalCharacter"/>
                <w:rFonts w:eastAsia="仿宋" w:hint="eastAsia"/>
                <w:sz w:val="32"/>
                <w:szCs w:val="32"/>
              </w:rPr>
            </w:pPr>
            <w:r>
              <w:rPr>
                <w:rStyle w:val="NormalCharacter"/>
                <w:rFonts w:eastAsia="仿宋" w:hint="eastAsia"/>
                <w:sz w:val="32"/>
                <w:szCs w:val="32"/>
              </w:rPr>
              <w:t>1.</w:t>
            </w:r>
            <w:r>
              <w:rPr>
                <w:rStyle w:val="NormalCharacter"/>
                <w:rFonts w:eastAsia="仿宋" w:hint="eastAsia"/>
                <w:sz w:val="32"/>
                <w:szCs w:val="32"/>
              </w:rPr>
              <w:t>以上价格不含室内二次装修；</w:t>
            </w:r>
          </w:p>
          <w:p w:rsidR="00C10A17" w:rsidRDefault="00C10A17">
            <w:pPr>
              <w:rPr>
                <w:rStyle w:val="NormalCharacter"/>
                <w:rFonts w:eastAsia="仿宋"/>
                <w:sz w:val="32"/>
                <w:szCs w:val="32"/>
              </w:rPr>
            </w:pPr>
            <w:r>
              <w:rPr>
                <w:rStyle w:val="NormalCharacter"/>
                <w:rFonts w:eastAsia="仿宋" w:hint="eastAsia"/>
                <w:sz w:val="32"/>
                <w:szCs w:val="32"/>
              </w:rPr>
              <w:t>2.</w:t>
            </w:r>
            <w:r>
              <w:rPr>
                <w:rStyle w:val="NormalCharacter"/>
                <w:rFonts w:eastAsia="仿宋" w:hint="eastAsia"/>
                <w:sz w:val="32"/>
                <w:szCs w:val="32"/>
              </w:rPr>
              <w:t>土地使用权类型为国有出让。</w:t>
            </w:r>
          </w:p>
        </w:tc>
      </w:tr>
      <w:tr w:rsidR="00C10A17">
        <w:tc>
          <w:tcPr>
            <w:tcW w:w="8522" w:type="dxa"/>
            <w:gridSpan w:val="3"/>
          </w:tcPr>
          <w:p w:rsidR="00C10A17" w:rsidRDefault="00C10A17">
            <w:pPr>
              <w:spacing w:line="520" w:lineRule="exact"/>
              <w:rPr>
                <w:rStyle w:val="NormalCharacter"/>
                <w:rFonts w:eastAsia="仿宋"/>
                <w:sz w:val="32"/>
                <w:szCs w:val="32"/>
              </w:rPr>
            </w:pPr>
            <w:r>
              <w:rPr>
                <w:rStyle w:val="NormalCharacter"/>
                <w:rFonts w:eastAsia="仿宋" w:hAnsi="仿宋" w:hint="eastAsia"/>
                <w:sz w:val="32"/>
                <w:szCs w:val="32"/>
              </w:rPr>
              <w:t>二、</w:t>
            </w:r>
            <w:r>
              <w:rPr>
                <w:rStyle w:val="NormalCharacter"/>
                <w:rFonts w:eastAsia="仿宋" w:hAnsi="仿宋" w:hint="eastAsia"/>
                <w:b/>
                <w:bCs/>
                <w:kern w:val="0"/>
                <w:sz w:val="32"/>
                <w:szCs w:val="32"/>
              </w:rPr>
              <w:t>装修标准</w:t>
            </w:r>
          </w:p>
        </w:tc>
      </w:tr>
      <w:tr w:rsidR="00C10A17">
        <w:tc>
          <w:tcPr>
            <w:tcW w:w="1368"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b/>
                <w:bCs/>
                <w:kern w:val="0"/>
                <w:sz w:val="32"/>
                <w:szCs w:val="32"/>
              </w:rPr>
              <w:t>序号</w:t>
            </w:r>
          </w:p>
        </w:tc>
        <w:tc>
          <w:tcPr>
            <w:tcW w:w="1800"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b/>
                <w:bCs/>
                <w:kern w:val="0"/>
                <w:sz w:val="32"/>
                <w:szCs w:val="32"/>
              </w:rPr>
              <w:t>分项名称</w:t>
            </w:r>
          </w:p>
        </w:tc>
        <w:tc>
          <w:tcPr>
            <w:tcW w:w="5354" w:type="dxa"/>
            <w:vAlign w:val="center"/>
          </w:tcPr>
          <w:p w:rsidR="00C10A17" w:rsidRDefault="00C10A17">
            <w:pPr>
              <w:spacing w:line="520" w:lineRule="exact"/>
              <w:jc w:val="center"/>
              <w:rPr>
                <w:rStyle w:val="NormalCharacter"/>
                <w:rFonts w:eastAsia="仿宋"/>
                <w:sz w:val="32"/>
                <w:szCs w:val="32"/>
              </w:rPr>
            </w:pPr>
            <w:r>
              <w:rPr>
                <w:rStyle w:val="NormalCharacter"/>
                <w:rFonts w:eastAsia="仿宋" w:hAnsi="仿宋" w:hint="eastAsia"/>
                <w:b/>
                <w:bCs/>
                <w:kern w:val="0"/>
                <w:sz w:val="32"/>
                <w:szCs w:val="32"/>
              </w:rPr>
              <w:t>住</w:t>
            </w:r>
            <w:r>
              <w:rPr>
                <w:rStyle w:val="NormalCharacter"/>
                <w:rFonts w:eastAsia="仿宋"/>
                <w:b/>
                <w:bCs/>
                <w:kern w:val="0"/>
                <w:sz w:val="32"/>
                <w:szCs w:val="32"/>
              </w:rPr>
              <w:t xml:space="preserve">      </w:t>
            </w:r>
            <w:r>
              <w:rPr>
                <w:rStyle w:val="NormalCharacter"/>
                <w:rFonts w:eastAsia="仿宋" w:hAnsi="仿宋" w:hint="eastAsia"/>
                <w:b/>
                <w:bCs/>
                <w:kern w:val="0"/>
                <w:sz w:val="32"/>
                <w:szCs w:val="32"/>
              </w:rPr>
              <w:t>宅</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1</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外</w:t>
            </w:r>
            <w:r>
              <w:rPr>
                <w:rStyle w:val="NormalCharacter"/>
                <w:rFonts w:eastAsia="仿宋"/>
                <w:kern w:val="0"/>
                <w:sz w:val="32"/>
                <w:szCs w:val="32"/>
              </w:rPr>
              <w:t xml:space="preserve">  </w:t>
            </w:r>
            <w:r>
              <w:rPr>
                <w:rStyle w:val="NormalCharacter"/>
                <w:rFonts w:eastAsia="仿宋" w:hAnsi="仿宋" w:hint="eastAsia"/>
                <w:kern w:val="0"/>
                <w:sz w:val="32"/>
                <w:szCs w:val="32"/>
              </w:rPr>
              <w:t>墙</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外墙涂料或面砖</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2</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内</w:t>
            </w:r>
            <w:r>
              <w:rPr>
                <w:rStyle w:val="NormalCharacter"/>
                <w:rFonts w:eastAsia="仿宋"/>
                <w:kern w:val="0"/>
                <w:sz w:val="32"/>
                <w:szCs w:val="32"/>
              </w:rPr>
              <w:t xml:space="preserve">  </w:t>
            </w:r>
            <w:r>
              <w:rPr>
                <w:rStyle w:val="NormalCharacter"/>
                <w:rFonts w:eastAsia="仿宋" w:hAnsi="仿宋" w:hint="eastAsia"/>
                <w:kern w:val="0"/>
                <w:sz w:val="32"/>
                <w:szCs w:val="32"/>
              </w:rPr>
              <w:t>墙</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混合砂浆找平</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3</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顶</w:t>
            </w:r>
            <w:r>
              <w:rPr>
                <w:rStyle w:val="NormalCharacter"/>
                <w:rFonts w:eastAsia="仿宋"/>
                <w:kern w:val="0"/>
                <w:sz w:val="32"/>
                <w:szCs w:val="32"/>
              </w:rPr>
              <w:t xml:space="preserve">  </w:t>
            </w:r>
            <w:r>
              <w:rPr>
                <w:rStyle w:val="NormalCharacter"/>
                <w:rFonts w:eastAsia="仿宋" w:hAnsi="仿宋" w:hint="eastAsia"/>
                <w:kern w:val="0"/>
                <w:sz w:val="32"/>
                <w:szCs w:val="32"/>
              </w:rPr>
              <w:t>棚</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混合砂浆找平</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4</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地</w:t>
            </w:r>
            <w:r>
              <w:rPr>
                <w:rStyle w:val="NormalCharacter"/>
                <w:rFonts w:eastAsia="仿宋"/>
                <w:kern w:val="0"/>
                <w:sz w:val="32"/>
                <w:szCs w:val="32"/>
              </w:rPr>
              <w:t xml:space="preserve">  </w:t>
            </w:r>
            <w:r>
              <w:rPr>
                <w:rStyle w:val="NormalCharacter"/>
                <w:rFonts w:eastAsia="仿宋" w:hAnsi="仿宋" w:hint="eastAsia"/>
                <w:kern w:val="0"/>
                <w:sz w:val="32"/>
                <w:szCs w:val="32"/>
              </w:rPr>
              <w:t>面</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混凝土结构楼地面</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5</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门</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钢制单扇防盗防火门（入户）</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6</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窗</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塑钢或铝合金窗</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7</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厨</w:t>
            </w:r>
            <w:r>
              <w:rPr>
                <w:rStyle w:val="NormalCharacter"/>
                <w:rFonts w:eastAsia="仿宋"/>
                <w:kern w:val="0"/>
                <w:sz w:val="32"/>
                <w:szCs w:val="32"/>
              </w:rPr>
              <w:t xml:space="preserve">  </w:t>
            </w:r>
            <w:r>
              <w:rPr>
                <w:rStyle w:val="NormalCharacter"/>
                <w:rFonts w:eastAsia="仿宋" w:hAnsi="仿宋" w:hint="eastAsia"/>
                <w:kern w:val="0"/>
                <w:sz w:val="32"/>
                <w:szCs w:val="32"/>
              </w:rPr>
              <w:t>房</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地面水泥砂浆找平加防水涂料</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8</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卫生间</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地面水泥砂浆找平加防水涂料</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9</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阳</w:t>
            </w:r>
            <w:r>
              <w:rPr>
                <w:rStyle w:val="NormalCharacter"/>
                <w:rFonts w:eastAsia="仿宋"/>
                <w:kern w:val="0"/>
                <w:sz w:val="32"/>
                <w:szCs w:val="32"/>
              </w:rPr>
              <w:t xml:space="preserve">  </w:t>
            </w:r>
            <w:r>
              <w:rPr>
                <w:rStyle w:val="NormalCharacter"/>
                <w:rFonts w:eastAsia="仿宋" w:hAnsi="仿宋" w:hint="eastAsia"/>
                <w:kern w:val="0"/>
                <w:sz w:val="32"/>
                <w:szCs w:val="32"/>
              </w:rPr>
              <w:t>台</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混凝土结构楼面</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10</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电</w:t>
            </w:r>
            <w:r>
              <w:rPr>
                <w:rStyle w:val="NormalCharacter"/>
                <w:rFonts w:eastAsia="仿宋"/>
                <w:kern w:val="0"/>
                <w:sz w:val="32"/>
                <w:szCs w:val="32"/>
              </w:rPr>
              <w:t xml:space="preserve">  </w:t>
            </w:r>
            <w:r>
              <w:rPr>
                <w:rStyle w:val="NormalCharacter"/>
                <w:rFonts w:eastAsia="仿宋" w:hAnsi="仿宋" w:hint="eastAsia"/>
                <w:kern w:val="0"/>
                <w:sz w:val="32"/>
                <w:szCs w:val="32"/>
              </w:rPr>
              <w:t>梯</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符合国家规定标准</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11</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自来水</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接到入户</w:t>
            </w:r>
          </w:p>
        </w:tc>
      </w:tr>
      <w:tr w:rsidR="00C10A17">
        <w:tc>
          <w:tcPr>
            <w:tcW w:w="1368"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kern w:val="0"/>
                <w:sz w:val="32"/>
                <w:szCs w:val="32"/>
              </w:rPr>
              <w:t>12</w:t>
            </w:r>
          </w:p>
        </w:tc>
        <w:tc>
          <w:tcPr>
            <w:tcW w:w="1800"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电</w:t>
            </w:r>
            <w:r>
              <w:rPr>
                <w:rStyle w:val="NormalCharacter"/>
                <w:rFonts w:eastAsia="仿宋"/>
                <w:kern w:val="0"/>
                <w:sz w:val="32"/>
                <w:szCs w:val="32"/>
              </w:rPr>
              <w:t xml:space="preserve">  </w:t>
            </w:r>
            <w:r>
              <w:rPr>
                <w:rStyle w:val="NormalCharacter"/>
                <w:rFonts w:eastAsia="仿宋" w:hAnsi="仿宋" w:hint="eastAsia"/>
                <w:kern w:val="0"/>
                <w:sz w:val="32"/>
                <w:szCs w:val="32"/>
              </w:rPr>
              <w:t>源</w:t>
            </w:r>
          </w:p>
        </w:tc>
        <w:tc>
          <w:tcPr>
            <w:tcW w:w="5354" w:type="dxa"/>
            <w:vAlign w:val="center"/>
          </w:tcPr>
          <w:p w:rsidR="00C10A17" w:rsidRDefault="00C10A17">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接到入户</w:t>
            </w:r>
          </w:p>
        </w:tc>
      </w:tr>
    </w:tbl>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B54018" w:rsidRDefault="00B54018" w:rsidP="00B54018">
      <w:pPr>
        <w:shd w:val="clear" w:color="auto" w:fill="FFFFFF"/>
        <w:spacing w:line="560" w:lineRule="exact"/>
        <w:ind w:right="432" w:firstLine="4888"/>
        <w:rPr>
          <w:rFonts w:ascii="仿宋_GB2312" w:eastAsia="仿宋_GB2312" w:hAnsi="仿宋" w:cs="仿宋" w:hint="eastAsia"/>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Default="009812AA" w:rsidP="009812AA">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9812AA" w:rsidRPr="00666133" w:rsidRDefault="009812AA" w:rsidP="009812AA">
      <w:pPr>
        <w:widowControl/>
        <w:pBdr>
          <w:top w:val="single" w:sz="4" w:space="0" w:color="auto"/>
          <w:bottom w:val="single" w:sz="4" w:space="0" w:color="auto"/>
        </w:pBdr>
        <w:shd w:val="clear" w:color="auto" w:fill="FFFFFF"/>
        <w:spacing w:line="560" w:lineRule="exact"/>
        <w:ind w:firstLineChars="100" w:firstLine="268"/>
        <w:rPr>
          <w:rFonts w:ascii="仿宋_GB2312" w:eastAsia="仿宋_GB2312" w:hAnsi="仿宋_GB2312" w:cs="仿宋_GB2312" w:hint="eastAsia"/>
          <w:bCs/>
          <w:color w:val="000000"/>
          <w:spacing w:val="-6"/>
          <w:kern w:val="0"/>
          <w:sz w:val="28"/>
          <w:szCs w:val="28"/>
          <w:shd w:val="clear" w:color="auto" w:fill="FFFFFF"/>
        </w:rPr>
      </w:pPr>
      <w:r>
        <w:rPr>
          <w:rFonts w:ascii="仿宋_GB2312" w:eastAsia="仿宋_GB2312" w:hAnsi="仿宋_GB2312" w:cs="仿宋_GB2312" w:hint="eastAsia"/>
          <w:bCs/>
          <w:color w:val="000000"/>
          <w:spacing w:val="-6"/>
          <w:kern w:val="0"/>
          <w:sz w:val="28"/>
          <w:szCs w:val="28"/>
          <w:shd w:val="clear" w:color="auto" w:fill="FFFFFF"/>
        </w:rPr>
        <w:t>泉州市丰泽区人民政府办公室                 2020年11月6日印发</w:t>
      </w:r>
    </w:p>
    <w:sectPr w:rsidR="009812AA" w:rsidRPr="00666133">
      <w:headerReference w:type="default" r:id="rId6"/>
      <w:footerReference w:type="even" r:id="rId7"/>
      <w:footerReference w:type="default" r:id="rId8"/>
      <w:pgSz w:w="11906" w:h="16838"/>
      <w:pgMar w:top="2098" w:right="1474" w:bottom="1984" w:left="158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72" w:rsidRDefault="009D7872" w:rsidP="00C10A17">
      <w:pPr>
        <w:ind w:firstLine="600"/>
      </w:pPr>
      <w:r>
        <w:separator/>
      </w:r>
    </w:p>
  </w:endnote>
  <w:endnote w:type="continuationSeparator" w:id="0">
    <w:p w:rsidR="009D7872" w:rsidRDefault="009D7872" w:rsidP="00C10A17">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17" w:rsidRDefault="00C10A17">
    <w:pPr>
      <w:pStyle w:val="a6"/>
      <w:framePr w:wrap="around" w:vAnchor="text" w:hAnchor="margin" w:xAlign="center" w:y="1"/>
      <w:rPr>
        <w:rStyle w:val="a4"/>
      </w:rPr>
    </w:pPr>
    <w:r>
      <w:fldChar w:fldCharType="begin"/>
    </w:r>
    <w:r>
      <w:rPr>
        <w:rStyle w:val="a4"/>
      </w:rPr>
      <w:instrText xml:space="preserve">PAGE  </w:instrText>
    </w:r>
    <w:r>
      <w:fldChar w:fldCharType="end"/>
    </w:r>
  </w:p>
  <w:p w:rsidR="00C10A17" w:rsidRDefault="00C10A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17" w:rsidRDefault="00C10A17">
    <w:pPr>
      <w:pStyle w:val="a6"/>
      <w:jc w:val="center"/>
    </w:pPr>
    <w:r>
      <w:pict>
        <v:shapetype id="_x0000_t202" coordsize="21600,21600" o:spt="202" path="m,l,21600r21600,l21600,xe">
          <v:stroke joinstyle="miter"/>
          <v:path gradientshapeok="t" o:connecttype="rect"/>
        </v:shapetype>
        <v:shape id="文本框 5" o:spid="_x0000_s2053" type="#_x0000_t202" style="position:absolute;left:0;text-align:left;margin-left:104pt;margin-top:0;width:2in;height:2in;z-index:251657728;mso-wrap-style:none;mso-position-horizontal:outside;mso-position-horizontal-relative:margin" filled="f" stroked="f">
          <v:fill o:detectmouseclick="t"/>
          <v:textbox style="mso-fit-shape-to-text:t" inset="0,0,0,0">
            <w:txbxContent>
              <w:p w:rsidR="00C10A17" w:rsidRDefault="00C10A17">
                <w:pPr>
                  <w:pStyle w:val="a6"/>
                  <w:jc w:val="center"/>
                </w:pP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557864">
                  <w:rPr>
                    <w:rStyle w:val="a4"/>
                    <w:rFonts w:ascii="宋体" w:hAnsi="宋体"/>
                    <w:noProof/>
                    <w:sz w:val="28"/>
                    <w:szCs w:val="28"/>
                  </w:rPr>
                  <w:t>25</w:t>
                </w:r>
                <w:r>
                  <w:rPr>
                    <w:rFonts w:ascii="宋体" w:hAnsi="宋体"/>
                    <w:sz w:val="28"/>
                    <w:szCs w:val="28"/>
                  </w:rPr>
                  <w:fldChar w:fldCharType="end"/>
                </w:r>
                <w:r>
                  <w:rPr>
                    <w:rStyle w:val="a4"/>
                    <w:rFonts w:ascii="宋体" w:hAnsi="宋体" w:hint="eastAsia"/>
                    <w:sz w:val="28"/>
                    <w:szCs w:val="28"/>
                  </w:rPr>
                  <w:t xml:space="preserve"> —</w:t>
                </w:r>
              </w:p>
            </w:txbxContent>
          </v:textbox>
          <w10:wrap anchorx="margin"/>
        </v:shape>
      </w:pict>
    </w:r>
  </w:p>
  <w:p w:rsidR="00C10A17" w:rsidRDefault="00C10A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72" w:rsidRDefault="009D7872" w:rsidP="00C10A17">
      <w:pPr>
        <w:ind w:firstLine="600"/>
      </w:pPr>
      <w:r>
        <w:separator/>
      </w:r>
    </w:p>
  </w:footnote>
  <w:footnote w:type="continuationSeparator" w:id="0">
    <w:p w:rsidR="009D7872" w:rsidRDefault="009D7872" w:rsidP="00C10A17">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17" w:rsidRDefault="00C10A1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D0898"/>
    <w:rsid w:val="00010F5B"/>
    <w:rsid w:val="00011ACB"/>
    <w:rsid w:val="00014A4A"/>
    <w:rsid w:val="000162E7"/>
    <w:rsid w:val="000328CE"/>
    <w:rsid w:val="0004770A"/>
    <w:rsid w:val="00052202"/>
    <w:rsid w:val="000668CE"/>
    <w:rsid w:val="00066F09"/>
    <w:rsid w:val="000672BD"/>
    <w:rsid w:val="00072E13"/>
    <w:rsid w:val="0008375D"/>
    <w:rsid w:val="00083F55"/>
    <w:rsid w:val="000931D6"/>
    <w:rsid w:val="00096CB0"/>
    <w:rsid w:val="000A2807"/>
    <w:rsid w:val="000A3BCB"/>
    <w:rsid w:val="000B1C70"/>
    <w:rsid w:val="000B2E58"/>
    <w:rsid w:val="000D0898"/>
    <w:rsid w:val="000D6D68"/>
    <w:rsid w:val="000E3F76"/>
    <w:rsid w:val="000E79A9"/>
    <w:rsid w:val="000F5330"/>
    <w:rsid w:val="000F5998"/>
    <w:rsid w:val="00102983"/>
    <w:rsid w:val="00102C9E"/>
    <w:rsid w:val="00104F22"/>
    <w:rsid w:val="0011375A"/>
    <w:rsid w:val="00113B31"/>
    <w:rsid w:val="00130582"/>
    <w:rsid w:val="0013654D"/>
    <w:rsid w:val="0014217E"/>
    <w:rsid w:val="00144388"/>
    <w:rsid w:val="00153CE5"/>
    <w:rsid w:val="001602E5"/>
    <w:rsid w:val="001633E8"/>
    <w:rsid w:val="00166252"/>
    <w:rsid w:val="00173014"/>
    <w:rsid w:val="00181E11"/>
    <w:rsid w:val="00186D49"/>
    <w:rsid w:val="00191537"/>
    <w:rsid w:val="0019394E"/>
    <w:rsid w:val="00193BCE"/>
    <w:rsid w:val="0019517E"/>
    <w:rsid w:val="001A1845"/>
    <w:rsid w:val="001A2601"/>
    <w:rsid w:val="001A746E"/>
    <w:rsid w:val="001B125B"/>
    <w:rsid w:val="001B4DD8"/>
    <w:rsid w:val="001B6548"/>
    <w:rsid w:val="001C2F49"/>
    <w:rsid w:val="001C6B95"/>
    <w:rsid w:val="001D0566"/>
    <w:rsid w:val="001D3110"/>
    <w:rsid w:val="001D3260"/>
    <w:rsid w:val="001E1D72"/>
    <w:rsid w:val="001E230E"/>
    <w:rsid w:val="001E3243"/>
    <w:rsid w:val="001E33B6"/>
    <w:rsid w:val="001E7A21"/>
    <w:rsid w:val="001F013C"/>
    <w:rsid w:val="00210D09"/>
    <w:rsid w:val="00214C21"/>
    <w:rsid w:val="00217E7B"/>
    <w:rsid w:val="00221EB4"/>
    <w:rsid w:val="0023088B"/>
    <w:rsid w:val="00241560"/>
    <w:rsid w:val="00243DAF"/>
    <w:rsid w:val="002500A6"/>
    <w:rsid w:val="00252ACE"/>
    <w:rsid w:val="0025576E"/>
    <w:rsid w:val="00257BE9"/>
    <w:rsid w:val="00265DB2"/>
    <w:rsid w:val="00271A9F"/>
    <w:rsid w:val="00271ACA"/>
    <w:rsid w:val="00273A13"/>
    <w:rsid w:val="0027765D"/>
    <w:rsid w:val="00277B81"/>
    <w:rsid w:val="002836C1"/>
    <w:rsid w:val="0028436F"/>
    <w:rsid w:val="0028662A"/>
    <w:rsid w:val="00290EE5"/>
    <w:rsid w:val="00294226"/>
    <w:rsid w:val="002A0611"/>
    <w:rsid w:val="002A7B72"/>
    <w:rsid w:val="002B04C8"/>
    <w:rsid w:val="002B2604"/>
    <w:rsid w:val="002B51EC"/>
    <w:rsid w:val="002B79FA"/>
    <w:rsid w:val="002C17BF"/>
    <w:rsid w:val="002D0835"/>
    <w:rsid w:val="002E0903"/>
    <w:rsid w:val="002E1DB7"/>
    <w:rsid w:val="002E27AF"/>
    <w:rsid w:val="002E692E"/>
    <w:rsid w:val="002E75D5"/>
    <w:rsid w:val="00301E2B"/>
    <w:rsid w:val="00303FFC"/>
    <w:rsid w:val="003301CA"/>
    <w:rsid w:val="00330D6D"/>
    <w:rsid w:val="00331A6B"/>
    <w:rsid w:val="0034253C"/>
    <w:rsid w:val="00342CCF"/>
    <w:rsid w:val="003514A0"/>
    <w:rsid w:val="003715BB"/>
    <w:rsid w:val="0037497A"/>
    <w:rsid w:val="003751D4"/>
    <w:rsid w:val="00376E58"/>
    <w:rsid w:val="003774E7"/>
    <w:rsid w:val="00377F4C"/>
    <w:rsid w:val="00381851"/>
    <w:rsid w:val="003A1730"/>
    <w:rsid w:val="003B0224"/>
    <w:rsid w:val="003D51F4"/>
    <w:rsid w:val="003F4003"/>
    <w:rsid w:val="00402B23"/>
    <w:rsid w:val="0040692D"/>
    <w:rsid w:val="00407EDF"/>
    <w:rsid w:val="0041407D"/>
    <w:rsid w:val="0042410B"/>
    <w:rsid w:val="004315F1"/>
    <w:rsid w:val="00442442"/>
    <w:rsid w:val="00447AC8"/>
    <w:rsid w:val="00456DCB"/>
    <w:rsid w:val="00460459"/>
    <w:rsid w:val="004719C9"/>
    <w:rsid w:val="00477111"/>
    <w:rsid w:val="0048189B"/>
    <w:rsid w:val="0048371A"/>
    <w:rsid w:val="00487726"/>
    <w:rsid w:val="00491D37"/>
    <w:rsid w:val="00495128"/>
    <w:rsid w:val="004A38E8"/>
    <w:rsid w:val="004A4E0B"/>
    <w:rsid w:val="004C2EF5"/>
    <w:rsid w:val="004C535C"/>
    <w:rsid w:val="004C6B0E"/>
    <w:rsid w:val="004D1C03"/>
    <w:rsid w:val="004D283A"/>
    <w:rsid w:val="004D3652"/>
    <w:rsid w:val="004D4580"/>
    <w:rsid w:val="004D5FAE"/>
    <w:rsid w:val="004E42F7"/>
    <w:rsid w:val="004E73F2"/>
    <w:rsid w:val="004F03A5"/>
    <w:rsid w:val="004F05A3"/>
    <w:rsid w:val="004F3895"/>
    <w:rsid w:val="00504097"/>
    <w:rsid w:val="00506ACC"/>
    <w:rsid w:val="005100AF"/>
    <w:rsid w:val="00520BAF"/>
    <w:rsid w:val="00522577"/>
    <w:rsid w:val="005231B4"/>
    <w:rsid w:val="00531016"/>
    <w:rsid w:val="00537882"/>
    <w:rsid w:val="00543617"/>
    <w:rsid w:val="00543650"/>
    <w:rsid w:val="00546C71"/>
    <w:rsid w:val="00551402"/>
    <w:rsid w:val="0055336A"/>
    <w:rsid w:val="00555D58"/>
    <w:rsid w:val="00557864"/>
    <w:rsid w:val="00564052"/>
    <w:rsid w:val="00566DD6"/>
    <w:rsid w:val="00570366"/>
    <w:rsid w:val="00570B4D"/>
    <w:rsid w:val="00576EAB"/>
    <w:rsid w:val="00580768"/>
    <w:rsid w:val="00584A39"/>
    <w:rsid w:val="0058622D"/>
    <w:rsid w:val="005A473C"/>
    <w:rsid w:val="005B4B61"/>
    <w:rsid w:val="005C15EB"/>
    <w:rsid w:val="005C21F9"/>
    <w:rsid w:val="005C3F8E"/>
    <w:rsid w:val="005D1CB8"/>
    <w:rsid w:val="005D42D0"/>
    <w:rsid w:val="005D548A"/>
    <w:rsid w:val="005D7EA6"/>
    <w:rsid w:val="005F2343"/>
    <w:rsid w:val="005F3E52"/>
    <w:rsid w:val="005F5E50"/>
    <w:rsid w:val="00612543"/>
    <w:rsid w:val="00616232"/>
    <w:rsid w:val="00624311"/>
    <w:rsid w:val="00624843"/>
    <w:rsid w:val="0063108A"/>
    <w:rsid w:val="00635446"/>
    <w:rsid w:val="00637F5E"/>
    <w:rsid w:val="00640701"/>
    <w:rsid w:val="00645D46"/>
    <w:rsid w:val="006505B6"/>
    <w:rsid w:val="00653613"/>
    <w:rsid w:val="0067200C"/>
    <w:rsid w:val="00672083"/>
    <w:rsid w:val="00675C62"/>
    <w:rsid w:val="006823DC"/>
    <w:rsid w:val="006A008F"/>
    <w:rsid w:val="006A629E"/>
    <w:rsid w:val="006C2003"/>
    <w:rsid w:val="006C28A8"/>
    <w:rsid w:val="006D436B"/>
    <w:rsid w:val="006D6785"/>
    <w:rsid w:val="006E28ED"/>
    <w:rsid w:val="006E5B9F"/>
    <w:rsid w:val="006E6AE8"/>
    <w:rsid w:val="006F35F0"/>
    <w:rsid w:val="00710CE9"/>
    <w:rsid w:val="00724C56"/>
    <w:rsid w:val="00725928"/>
    <w:rsid w:val="0072681A"/>
    <w:rsid w:val="00734D5A"/>
    <w:rsid w:val="00735662"/>
    <w:rsid w:val="00736148"/>
    <w:rsid w:val="0073632C"/>
    <w:rsid w:val="00737242"/>
    <w:rsid w:val="0074077C"/>
    <w:rsid w:val="00757EF7"/>
    <w:rsid w:val="00760A06"/>
    <w:rsid w:val="00771A57"/>
    <w:rsid w:val="007832B2"/>
    <w:rsid w:val="00786B99"/>
    <w:rsid w:val="00796687"/>
    <w:rsid w:val="0079685B"/>
    <w:rsid w:val="007A0B4D"/>
    <w:rsid w:val="007A5864"/>
    <w:rsid w:val="007C1705"/>
    <w:rsid w:val="007C42B3"/>
    <w:rsid w:val="007D1C43"/>
    <w:rsid w:val="007D2026"/>
    <w:rsid w:val="007D3565"/>
    <w:rsid w:val="0080053E"/>
    <w:rsid w:val="00803FEA"/>
    <w:rsid w:val="00810B7F"/>
    <w:rsid w:val="00810EF0"/>
    <w:rsid w:val="00820877"/>
    <w:rsid w:val="008262F0"/>
    <w:rsid w:val="0082769B"/>
    <w:rsid w:val="0083515B"/>
    <w:rsid w:val="00837E33"/>
    <w:rsid w:val="008417B0"/>
    <w:rsid w:val="008468A7"/>
    <w:rsid w:val="00847DA5"/>
    <w:rsid w:val="00855447"/>
    <w:rsid w:val="0085547C"/>
    <w:rsid w:val="0085757F"/>
    <w:rsid w:val="00871977"/>
    <w:rsid w:val="008828D3"/>
    <w:rsid w:val="008829B0"/>
    <w:rsid w:val="00884141"/>
    <w:rsid w:val="008B6261"/>
    <w:rsid w:val="008C3538"/>
    <w:rsid w:val="008D07D0"/>
    <w:rsid w:val="008D3AD9"/>
    <w:rsid w:val="008D4F26"/>
    <w:rsid w:val="008D6156"/>
    <w:rsid w:val="008F09DF"/>
    <w:rsid w:val="008F0B3F"/>
    <w:rsid w:val="008F594A"/>
    <w:rsid w:val="008F734A"/>
    <w:rsid w:val="0091177E"/>
    <w:rsid w:val="0092093C"/>
    <w:rsid w:val="00923D15"/>
    <w:rsid w:val="0092433B"/>
    <w:rsid w:val="009252FD"/>
    <w:rsid w:val="00925D36"/>
    <w:rsid w:val="0092697F"/>
    <w:rsid w:val="00935B12"/>
    <w:rsid w:val="0093670B"/>
    <w:rsid w:val="00936CAD"/>
    <w:rsid w:val="009425E9"/>
    <w:rsid w:val="00943872"/>
    <w:rsid w:val="00944281"/>
    <w:rsid w:val="0094445B"/>
    <w:rsid w:val="009526C3"/>
    <w:rsid w:val="0095358F"/>
    <w:rsid w:val="00955704"/>
    <w:rsid w:val="00961475"/>
    <w:rsid w:val="00961F2B"/>
    <w:rsid w:val="00967EF6"/>
    <w:rsid w:val="009763BB"/>
    <w:rsid w:val="00976E8F"/>
    <w:rsid w:val="00976F31"/>
    <w:rsid w:val="009809C0"/>
    <w:rsid w:val="009812AA"/>
    <w:rsid w:val="00982CF9"/>
    <w:rsid w:val="009854FF"/>
    <w:rsid w:val="00996CFE"/>
    <w:rsid w:val="009974BE"/>
    <w:rsid w:val="009A1E31"/>
    <w:rsid w:val="009A260F"/>
    <w:rsid w:val="009A7424"/>
    <w:rsid w:val="009B70FB"/>
    <w:rsid w:val="009C4548"/>
    <w:rsid w:val="009C46BE"/>
    <w:rsid w:val="009D7872"/>
    <w:rsid w:val="009F569A"/>
    <w:rsid w:val="009F6891"/>
    <w:rsid w:val="009F6BEE"/>
    <w:rsid w:val="009F7AC2"/>
    <w:rsid w:val="00A04CCE"/>
    <w:rsid w:val="00A07FF7"/>
    <w:rsid w:val="00A113B2"/>
    <w:rsid w:val="00A24C12"/>
    <w:rsid w:val="00A25D18"/>
    <w:rsid w:val="00A262E2"/>
    <w:rsid w:val="00A30B70"/>
    <w:rsid w:val="00A418B6"/>
    <w:rsid w:val="00A42AA9"/>
    <w:rsid w:val="00A43BFA"/>
    <w:rsid w:val="00A502EB"/>
    <w:rsid w:val="00A51D76"/>
    <w:rsid w:val="00A5224B"/>
    <w:rsid w:val="00A700B1"/>
    <w:rsid w:val="00A758FC"/>
    <w:rsid w:val="00A97C73"/>
    <w:rsid w:val="00AA44CE"/>
    <w:rsid w:val="00AA6705"/>
    <w:rsid w:val="00AA75E7"/>
    <w:rsid w:val="00AC30EA"/>
    <w:rsid w:val="00AD1CB4"/>
    <w:rsid w:val="00AD2B77"/>
    <w:rsid w:val="00AD579F"/>
    <w:rsid w:val="00AE3726"/>
    <w:rsid w:val="00AE47F6"/>
    <w:rsid w:val="00AF4CD6"/>
    <w:rsid w:val="00B01CB6"/>
    <w:rsid w:val="00B02576"/>
    <w:rsid w:val="00B06398"/>
    <w:rsid w:val="00B21193"/>
    <w:rsid w:val="00B216C2"/>
    <w:rsid w:val="00B21843"/>
    <w:rsid w:val="00B2227E"/>
    <w:rsid w:val="00B273B9"/>
    <w:rsid w:val="00B3044C"/>
    <w:rsid w:val="00B3174B"/>
    <w:rsid w:val="00B42B7E"/>
    <w:rsid w:val="00B5043C"/>
    <w:rsid w:val="00B52F37"/>
    <w:rsid w:val="00B54018"/>
    <w:rsid w:val="00B54B15"/>
    <w:rsid w:val="00B56A66"/>
    <w:rsid w:val="00B62A9E"/>
    <w:rsid w:val="00B63350"/>
    <w:rsid w:val="00B65D90"/>
    <w:rsid w:val="00B703C6"/>
    <w:rsid w:val="00B71D3B"/>
    <w:rsid w:val="00B770CE"/>
    <w:rsid w:val="00B80A25"/>
    <w:rsid w:val="00B83BC2"/>
    <w:rsid w:val="00B9085A"/>
    <w:rsid w:val="00B9683B"/>
    <w:rsid w:val="00BA427D"/>
    <w:rsid w:val="00BB0626"/>
    <w:rsid w:val="00BB2BAD"/>
    <w:rsid w:val="00BB31C3"/>
    <w:rsid w:val="00BB572A"/>
    <w:rsid w:val="00BB6FAE"/>
    <w:rsid w:val="00BC1E41"/>
    <w:rsid w:val="00BC7BEB"/>
    <w:rsid w:val="00BD24B2"/>
    <w:rsid w:val="00BD3E53"/>
    <w:rsid w:val="00BD42D5"/>
    <w:rsid w:val="00BD480B"/>
    <w:rsid w:val="00BE4053"/>
    <w:rsid w:val="00BE4504"/>
    <w:rsid w:val="00BF4A77"/>
    <w:rsid w:val="00BF738E"/>
    <w:rsid w:val="00C10A17"/>
    <w:rsid w:val="00C13A47"/>
    <w:rsid w:val="00C14E91"/>
    <w:rsid w:val="00C24396"/>
    <w:rsid w:val="00C269CD"/>
    <w:rsid w:val="00C3512D"/>
    <w:rsid w:val="00C4214E"/>
    <w:rsid w:val="00C47CED"/>
    <w:rsid w:val="00C60528"/>
    <w:rsid w:val="00C637F5"/>
    <w:rsid w:val="00C643D3"/>
    <w:rsid w:val="00C64CAA"/>
    <w:rsid w:val="00C650E1"/>
    <w:rsid w:val="00C707B0"/>
    <w:rsid w:val="00C77566"/>
    <w:rsid w:val="00C80D76"/>
    <w:rsid w:val="00C828A6"/>
    <w:rsid w:val="00C847B7"/>
    <w:rsid w:val="00C97492"/>
    <w:rsid w:val="00CB5B20"/>
    <w:rsid w:val="00CB5D73"/>
    <w:rsid w:val="00CC2A27"/>
    <w:rsid w:val="00CD0055"/>
    <w:rsid w:val="00CD45BD"/>
    <w:rsid w:val="00CE09D5"/>
    <w:rsid w:val="00CE0B44"/>
    <w:rsid w:val="00CF5B27"/>
    <w:rsid w:val="00CF6DB0"/>
    <w:rsid w:val="00D1353A"/>
    <w:rsid w:val="00D13A7A"/>
    <w:rsid w:val="00D1454C"/>
    <w:rsid w:val="00D149E7"/>
    <w:rsid w:val="00D14B9F"/>
    <w:rsid w:val="00D20494"/>
    <w:rsid w:val="00D2265D"/>
    <w:rsid w:val="00D3076B"/>
    <w:rsid w:val="00D34A78"/>
    <w:rsid w:val="00D436FF"/>
    <w:rsid w:val="00D61CC3"/>
    <w:rsid w:val="00D72EA0"/>
    <w:rsid w:val="00D75737"/>
    <w:rsid w:val="00D8109D"/>
    <w:rsid w:val="00D876B5"/>
    <w:rsid w:val="00D90089"/>
    <w:rsid w:val="00D90E92"/>
    <w:rsid w:val="00D925F0"/>
    <w:rsid w:val="00DA0A52"/>
    <w:rsid w:val="00DA0DD3"/>
    <w:rsid w:val="00DA277C"/>
    <w:rsid w:val="00DA3B00"/>
    <w:rsid w:val="00DB7538"/>
    <w:rsid w:val="00DB773F"/>
    <w:rsid w:val="00DC50BB"/>
    <w:rsid w:val="00DD13D5"/>
    <w:rsid w:val="00DE0DBA"/>
    <w:rsid w:val="00DE46A2"/>
    <w:rsid w:val="00DE471C"/>
    <w:rsid w:val="00DE4EB2"/>
    <w:rsid w:val="00DF7B86"/>
    <w:rsid w:val="00E012F5"/>
    <w:rsid w:val="00E17F1C"/>
    <w:rsid w:val="00E223CF"/>
    <w:rsid w:val="00E34D9F"/>
    <w:rsid w:val="00E36266"/>
    <w:rsid w:val="00E374C8"/>
    <w:rsid w:val="00E41809"/>
    <w:rsid w:val="00E43CBE"/>
    <w:rsid w:val="00E47FCD"/>
    <w:rsid w:val="00E51070"/>
    <w:rsid w:val="00E52737"/>
    <w:rsid w:val="00E53A21"/>
    <w:rsid w:val="00E574C2"/>
    <w:rsid w:val="00E645CF"/>
    <w:rsid w:val="00E66159"/>
    <w:rsid w:val="00E80CF1"/>
    <w:rsid w:val="00E85486"/>
    <w:rsid w:val="00E87605"/>
    <w:rsid w:val="00E94B37"/>
    <w:rsid w:val="00EC105F"/>
    <w:rsid w:val="00EC5304"/>
    <w:rsid w:val="00F02120"/>
    <w:rsid w:val="00F077F3"/>
    <w:rsid w:val="00F110D2"/>
    <w:rsid w:val="00F113DC"/>
    <w:rsid w:val="00F12B60"/>
    <w:rsid w:val="00F1308C"/>
    <w:rsid w:val="00F1453F"/>
    <w:rsid w:val="00F23110"/>
    <w:rsid w:val="00F31E05"/>
    <w:rsid w:val="00F33B66"/>
    <w:rsid w:val="00F36769"/>
    <w:rsid w:val="00F4216B"/>
    <w:rsid w:val="00F452AD"/>
    <w:rsid w:val="00F51F70"/>
    <w:rsid w:val="00F522C9"/>
    <w:rsid w:val="00F52E24"/>
    <w:rsid w:val="00F556B2"/>
    <w:rsid w:val="00F739D8"/>
    <w:rsid w:val="00F73A99"/>
    <w:rsid w:val="00F7416F"/>
    <w:rsid w:val="00F85ACA"/>
    <w:rsid w:val="00F94899"/>
    <w:rsid w:val="00FA4F77"/>
    <w:rsid w:val="00FB6F4E"/>
    <w:rsid w:val="00FB7B0F"/>
    <w:rsid w:val="00FD3CEE"/>
    <w:rsid w:val="00FD7B67"/>
    <w:rsid w:val="00FE3CBA"/>
    <w:rsid w:val="00FF0E24"/>
    <w:rsid w:val="00FF6DA4"/>
    <w:rsid w:val="02B95CA0"/>
    <w:rsid w:val="03067506"/>
    <w:rsid w:val="03BF0F5F"/>
    <w:rsid w:val="05AE4128"/>
    <w:rsid w:val="05B83CCE"/>
    <w:rsid w:val="05CF2AEC"/>
    <w:rsid w:val="0692062C"/>
    <w:rsid w:val="083721CD"/>
    <w:rsid w:val="09AD6F21"/>
    <w:rsid w:val="09AF30FB"/>
    <w:rsid w:val="0A1B264C"/>
    <w:rsid w:val="0AFD7040"/>
    <w:rsid w:val="0B0F56F0"/>
    <w:rsid w:val="0BA417C0"/>
    <w:rsid w:val="0F227B9D"/>
    <w:rsid w:val="100877D9"/>
    <w:rsid w:val="10262E5C"/>
    <w:rsid w:val="116804A3"/>
    <w:rsid w:val="127B68F4"/>
    <w:rsid w:val="14DF64FE"/>
    <w:rsid w:val="14E76BCF"/>
    <w:rsid w:val="159765CB"/>
    <w:rsid w:val="15985C33"/>
    <w:rsid w:val="16855AEC"/>
    <w:rsid w:val="17A77CBA"/>
    <w:rsid w:val="1837617F"/>
    <w:rsid w:val="18717C03"/>
    <w:rsid w:val="19196A99"/>
    <w:rsid w:val="1AAB2C30"/>
    <w:rsid w:val="1ABC5DCA"/>
    <w:rsid w:val="1B1A39C9"/>
    <w:rsid w:val="1B832520"/>
    <w:rsid w:val="1C073BB3"/>
    <w:rsid w:val="1CDE0848"/>
    <w:rsid w:val="1D5C326E"/>
    <w:rsid w:val="1E0E6697"/>
    <w:rsid w:val="1E262DD0"/>
    <w:rsid w:val="1F210264"/>
    <w:rsid w:val="20F74553"/>
    <w:rsid w:val="20FA3B7F"/>
    <w:rsid w:val="215E0C42"/>
    <w:rsid w:val="220D4E96"/>
    <w:rsid w:val="22506F05"/>
    <w:rsid w:val="22617C31"/>
    <w:rsid w:val="23A95987"/>
    <w:rsid w:val="23B8658A"/>
    <w:rsid w:val="23E54273"/>
    <w:rsid w:val="24412F96"/>
    <w:rsid w:val="24705BF4"/>
    <w:rsid w:val="249309C7"/>
    <w:rsid w:val="25316FD1"/>
    <w:rsid w:val="25BE7370"/>
    <w:rsid w:val="274D32A0"/>
    <w:rsid w:val="284774A2"/>
    <w:rsid w:val="28D1659C"/>
    <w:rsid w:val="291466DB"/>
    <w:rsid w:val="29750F59"/>
    <w:rsid w:val="29FF3043"/>
    <w:rsid w:val="2A9B708D"/>
    <w:rsid w:val="2ABF2AD5"/>
    <w:rsid w:val="2B116EE1"/>
    <w:rsid w:val="2BEC77A3"/>
    <w:rsid w:val="2C0F69EE"/>
    <w:rsid w:val="2DBB270C"/>
    <w:rsid w:val="2DBF4624"/>
    <w:rsid w:val="2DD817B9"/>
    <w:rsid w:val="2F602C1C"/>
    <w:rsid w:val="2FB3334F"/>
    <w:rsid w:val="2FF54DBA"/>
    <w:rsid w:val="303E50E4"/>
    <w:rsid w:val="30A202D0"/>
    <w:rsid w:val="310F3C2A"/>
    <w:rsid w:val="326C6136"/>
    <w:rsid w:val="32A34D2E"/>
    <w:rsid w:val="32FB38D5"/>
    <w:rsid w:val="33506DEC"/>
    <w:rsid w:val="33B1105F"/>
    <w:rsid w:val="33EC490C"/>
    <w:rsid w:val="36787423"/>
    <w:rsid w:val="377D7FC2"/>
    <w:rsid w:val="37834855"/>
    <w:rsid w:val="382C35B2"/>
    <w:rsid w:val="383F046B"/>
    <w:rsid w:val="38623AA2"/>
    <w:rsid w:val="39785FD9"/>
    <w:rsid w:val="39883C20"/>
    <w:rsid w:val="39C07DF0"/>
    <w:rsid w:val="3B0F1829"/>
    <w:rsid w:val="3B615C8F"/>
    <w:rsid w:val="3C1105DE"/>
    <w:rsid w:val="3CB5095A"/>
    <w:rsid w:val="3CF05617"/>
    <w:rsid w:val="3EE467E9"/>
    <w:rsid w:val="3F664E32"/>
    <w:rsid w:val="40EA5DC5"/>
    <w:rsid w:val="40F67C9A"/>
    <w:rsid w:val="41D34B4A"/>
    <w:rsid w:val="41FB6BE5"/>
    <w:rsid w:val="4237243E"/>
    <w:rsid w:val="42A80EC4"/>
    <w:rsid w:val="42D80C7F"/>
    <w:rsid w:val="431A70F3"/>
    <w:rsid w:val="43C37709"/>
    <w:rsid w:val="45223F2C"/>
    <w:rsid w:val="46AF461A"/>
    <w:rsid w:val="470B01B4"/>
    <w:rsid w:val="47641E2E"/>
    <w:rsid w:val="47EC06A9"/>
    <w:rsid w:val="48021A48"/>
    <w:rsid w:val="493D24E5"/>
    <w:rsid w:val="49F5530E"/>
    <w:rsid w:val="4BE825E2"/>
    <w:rsid w:val="4F9C03DB"/>
    <w:rsid w:val="509901C2"/>
    <w:rsid w:val="51A70819"/>
    <w:rsid w:val="51E20445"/>
    <w:rsid w:val="52A704DB"/>
    <w:rsid w:val="54AA4008"/>
    <w:rsid w:val="553206FE"/>
    <w:rsid w:val="559E7812"/>
    <w:rsid w:val="57250868"/>
    <w:rsid w:val="587467EA"/>
    <w:rsid w:val="595C1E22"/>
    <w:rsid w:val="59796E04"/>
    <w:rsid w:val="599468BA"/>
    <w:rsid w:val="59B95BB7"/>
    <w:rsid w:val="5A3F3D58"/>
    <w:rsid w:val="5AA005F6"/>
    <w:rsid w:val="5ABB64AA"/>
    <w:rsid w:val="5BA16FB1"/>
    <w:rsid w:val="5CE73815"/>
    <w:rsid w:val="5CEB23EB"/>
    <w:rsid w:val="5D1A1023"/>
    <w:rsid w:val="5DD9453B"/>
    <w:rsid w:val="5F5875AA"/>
    <w:rsid w:val="60093FF9"/>
    <w:rsid w:val="60215A26"/>
    <w:rsid w:val="623A3F2A"/>
    <w:rsid w:val="633A2D6C"/>
    <w:rsid w:val="63E81052"/>
    <w:rsid w:val="653D7386"/>
    <w:rsid w:val="65594995"/>
    <w:rsid w:val="661A1E09"/>
    <w:rsid w:val="667A5DFC"/>
    <w:rsid w:val="670177CD"/>
    <w:rsid w:val="681F10EC"/>
    <w:rsid w:val="687D70A7"/>
    <w:rsid w:val="697A0631"/>
    <w:rsid w:val="69EB5CEA"/>
    <w:rsid w:val="6A330392"/>
    <w:rsid w:val="6A66177C"/>
    <w:rsid w:val="6BB91B68"/>
    <w:rsid w:val="6CA81700"/>
    <w:rsid w:val="6DB05BF1"/>
    <w:rsid w:val="6DFD5C2C"/>
    <w:rsid w:val="6F4226AB"/>
    <w:rsid w:val="6FDB3A95"/>
    <w:rsid w:val="731B32C4"/>
    <w:rsid w:val="73C721EE"/>
    <w:rsid w:val="74065136"/>
    <w:rsid w:val="74751CB3"/>
    <w:rsid w:val="762165BA"/>
    <w:rsid w:val="76A11515"/>
    <w:rsid w:val="782839EA"/>
    <w:rsid w:val="799821F4"/>
    <w:rsid w:val="79A860DC"/>
    <w:rsid w:val="79BB01A0"/>
    <w:rsid w:val="79F41CDF"/>
    <w:rsid w:val="7A637453"/>
    <w:rsid w:val="7BAB069E"/>
    <w:rsid w:val="7BCC6C76"/>
    <w:rsid w:val="7C834308"/>
    <w:rsid w:val="7CEA378B"/>
    <w:rsid w:val="7D4307DC"/>
    <w:rsid w:val="7DDB5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Pr>
      <w:sz w:val="21"/>
      <w:szCs w:val="21"/>
    </w:rPr>
  </w:style>
  <w:style w:type="character" w:customStyle="1" w:styleId="UserStyle0">
    <w:name w:val="UserStyle_0"/>
    <w:basedOn w:val="NormalCharacter"/>
    <w:link w:val="Acetate"/>
    <w:locked/>
    <w:rPr>
      <w:kern w:val="2"/>
      <w:sz w:val="18"/>
      <w:szCs w:val="18"/>
      <w:lang w:bidi="ar-SA"/>
    </w:rPr>
  </w:style>
  <w:style w:type="character" w:styleId="a4">
    <w:name w:val="page number"/>
    <w:basedOn w:val="a0"/>
  </w:style>
  <w:style w:type="character" w:customStyle="1" w:styleId="NormalCharacter">
    <w:name w:val="NormalCharacter"/>
  </w:style>
  <w:style w:type="character" w:customStyle="1" w:styleId="Char">
    <w:name w:val="页眉 Char"/>
    <w:basedOn w:val="a0"/>
    <w:link w:val="a5"/>
    <w:semiHidden/>
    <w:locked/>
    <w:rPr>
      <w:rFonts w:eastAsia="宋体"/>
      <w:kern w:val="2"/>
      <w:sz w:val="18"/>
      <w:szCs w:val="18"/>
      <w:lang w:val="en-US" w:eastAsia="zh-CN" w:bidi="ar-SA"/>
    </w:rPr>
  </w:style>
  <w:style w:type="character" w:customStyle="1" w:styleId="Char0">
    <w:name w:val="页脚 Char"/>
    <w:basedOn w:val="NormalCharacter"/>
    <w:link w:val="a6"/>
    <w:locked/>
    <w:rPr>
      <w:rFonts w:eastAsia="宋体"/>
      <w:kern w:val="2"/>
      <w:sz w:val="18"/>
      <w:szCs w:val="18"/>
      <w:lang w:val="en-US" w:eastAsia="zh-CN" w:bidi="ar-SA"/>
    </w:rPr>
  </w:style>
  <w:style w:type="character" w:customStyle="1" w:styleId="PageNumber">
    <w:name w:val="PageNumber"/>
    <w:basedOn w:val="NormalCharacter"/>
    <w:rPr>
      <w:rFonts w:cs="Times New Roman"/>
    </w:rPr>
  </w:style>
  <w:style w:type="character" w:customStyle="1" w:styleId="Char1">
    <w:name w:val="日期 Char"/>
    <w:basedOn w:val="NormalCharacter"/>
    <w:link w:val="a7"/>
    <w:locked/>
    <w:rPr>
      <w:rFonts w:eastAsia="宋体"/>
      <w:kern w:val="2"/>
      <w:sz w:val="21"/>
      <w:szCs w:val="24"/>
      <w:lang w:val="en-US" w:eastAsia="zh-CN" w:bidi="ar-SA"/>
    </w:rPr>
  </w:style>
  <w:style w:type="paragraph" w:styleId="a7">
    <w:name w:val="Date"/>
    <w:basedOn w:val="a"/>
    <w:next w:val="a"/>
    <w:link w:val="Char1"/>
    <w:pPr>
      <w:widowControl/>
      <w:ind w:leftChars="2500" w:left="100"/>
    </w:p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annotation subject"/>
    <w:basedOn w:val="a9"/>
    <w:next w:val="a9"/>
    <w:semiHidden/>
    <w:rPr>
      <w:b/>
      <w:bCs/>
    </w:rPr>
  </w:style>
  <w:style w:type="paragraph" w:styleId="a6">
    <w:name w:val="footer"/>
    <w:basedOn w:val="a"/>
    <w:link w:val="Char0"/>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9">
    <w:name w:val="annotation text"/>
    <w:basedOn w:val="a"/>
    <w:semiHidden/>
    <w:pPr>
      <w:jc w:val="left"/>
    </w:pPr>
  </w:style>
  <w:style w:type="paragraph" w:customStyle="1" w:styleId="Heading3">
    <w:name w:val="Heading3"/>
    <w:basedOn w:val="a"/>
    <w:next w:val="a"/>
    <w:pPr>
      <w:widowControl/>
      <w:spacing w:before="100" w:beforeAutospacing="1" w:after="100" w:afterAutospacing="1"/>
      <w:jc w:val="left"/>
    </w:pPr>
    <w:rPr>
      <w:rFonts w:ascii="宋体" w:hAnsi="宋体"/>
      <w:b/>
      <w:kern w:val="0"/>
      <w:sz w:val="27"/>
      <w:szCs w:val="27"/>
    </w:rPr>
  </w:style>
  <w:style w:type="paragraph" w:customStyle="1" w:styleId="Acetate">
    <w:name w:val="Acetate"/>
    <w:basedOn w:val="a"/>
    <w:link w:val="UserStyle0"/>
    <w:pPr>
      <w:widowControl/>
    </w:pPr>
    <w:rPr>
      <w:rFonts w:eastAsia="Times New Roman"/>
      <w:sz w:val="18"/>
      <w:szCs w:val="18"/>
      <w:lang w:val="en-US" w:eastAsia="zh-CN"/>
    </w:rPr>
  </w:style>
  <w:style w:type="paragraph" w:customStyle="1" w:styleId="AnnotationText">
    <w:name w:val="AnnotationText"/>
    <w:basedOn w:val="a"/>
    <w:pPr>
      <w:widowControl/>
      <w:jc w:val="left"/>
    </w:p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1522</Words>
  <Characters>8677</Characters>
  <Application>Microsoft Office Word</Application>
  <DocSecurity>0</DocSecurity>
  <PresentationFormat/>
  <Lines>72</Lines>
  <Paragraphs>20</Paragraphs>
  <Slides>0</Slides>
  <Notes>0</Notes>
  <HiddenSlides>0</HiddenSlides>
  <MMClips>0</MMClips>
  <ScaleCrop>false</ScaleCrop>
  <Company>微软中国</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泉州市城东至北峰快速通道及两侧片区</dc:title>
  <dc:creator>微软用户</dc:creator>
  <cp:lastModifiedBy>shi</cp:lastModifiedBy>
  <cp:revision>3</cp:revision>
  <cp:lastPrinted>2020-11-04T00:39:00Z</cp:lastPrinted>
  <dcterms:created xsi:type="dcterms:W3CDTF">2020-11-06T09:21:00Z</dcterms:created>
  <dcterms:modified xsi:type="dcterms:W3CDTF">2020-11-06T09:21:00Z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