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年泉州市事业单位公开招聘编制内工作人员公告》，本人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参加大学生志愿服务西部计划（含研究生支教团）、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大学生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志愿服务欠发达地区计划、高校毕业生服务社区计划、“三支一扶”计划等服务基层项目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FFFFFF"/>
        </w:rPr>
        <w:t>的人员，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之前无工作经历，服务期满且考核合格后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年内的高校毕业生（即：服务期满时间在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8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31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59" w:firstLineChars="1206"/>
        <w:textAlignment w:val="auto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ˎ̥" w:eastAsia="仿宋_GB2312" w:cs="Arial"/>
          <w:kern w:val="0"/>
          <w:sz w:val="18"/>
          <w:szCs w:val="18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13513A95"/>
    <w:rsid w:val="1E5B75A7"/>
    <w:rsid w:val="20C30273"/>
    <w:rsid w:val="37494430"/>
    <w:rsid w:val="38A261BD"/>
    <w:rsid w:val="461D58A6"/>
    <w:rsid w:val="5DFD27A3"/>
    <w:rsid w:val="68B0397A"/>
    <w:rsid w:val="78DB5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Administrator</cp:lastModifiedBy>
  <cp:lastPrinted>2021-11-09T00:57:40Z</cp:lastPrinted>
  <dcterms:modified xsi:type="dcterms:W3CDTF">2021-11-09T00:58:35Z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38043979C1B84DEEAF0010BBC7FDFA9E</vt:lpwstr>
  </property>
</Properties>
</file>