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E5" w:rsidRDefault="003716E5" w:rsidP="00526F4D">
      <w:pPr>
        <w:widowControl/>
        <w:spacing w:line="579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526F4D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泉州市丰泽区</w:t>
      </w:r>
      <w:r w:rsidRPr="00526F4D"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  <w:t>2022</w:t>
      </w:r>
      <w:r w:rsidRPr="00526F4D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年度第三批次土地征收</w:t>
      </w:r>
    </w:p>
    <w:p w:rsidR="003716E5" w:rsidRDefault="003716E5" w:rsidP="00526F4D">
      <w:pPr>
        <w:widowControl/>
        <w:spacing w:line="579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526F4D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成片开发方案（东海后埔片区改造项目）</w:t>
      </w:r>
    </w:p>
    <w:p w:rsidR="003716E5" w:rsidRPr="00646D84" w:rsidRDefault="003716E5" w:rsidP="00526F4D">
      <w:pPr>
        <w:widowControl/>
        <w:spacing w:line="579" w:lineRule="exact"/>
        <w:jc w:val="center"/>
        <w:rPr>
          <w:rFonts w:ascii="楷体_GB2312" w:eastAsia="楷体_GB2312" w:hAnsi="Times New Roman" w:hint="eastAsia"/>
          <w:bCs/>
          <w:color w:val="000000"/>
          <w:kern w:val="0"/>
          <w:sz w:val="44"/>
          <w:szCs w:val="44"/>
        </w:rPr>
      </w:pPr>
      <w:r w:rsidRPr="00646D84">
        <w:rPr>
          <w:rFonts w:ascii="楷体_GB2312" w:eastAsia="楷体_GB2312" w:hAnsi="Times New Roman" w:hint="eastAsia"/>
          <w:bCs/>
          <w:color w:val="000000"/>
          <w:kern w:val="0"/>
          <w:sz w:val="44"/>
          <w:szCs w:val="44"/>
        </w:rPr>
        <w:t>（征求意见稿）</w:t>
      </w:r>
    </w:p>
    <w:p w:rsidR="00EF60F3" w:rsidRPr="00526F4D" w:rsidRDefault="00EF60F3" w:rsidP="00526F4D">
      <w:pPr>
        <w:widowControl/>
        <w:spacing w:line="579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</w:p>
    <w:p w:rsidR="003716E5" w:rsidRPr="00526F4D" w:rsidRDefault="003716E5" w:rsidP="00526F4D">
      <w:pPr>
        <w:pStyle w:val="a4"/>
        <w:numPr>
          <w:ilvl w:val="0"/>
          <w:numId w:val="1"/>
        </w:numPr>
        <w:spacing w:line="579" w:lineRule="exact"/>
        <w:ind w:firstLineChars="0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编制依据</w:t>
      </w:r>
    </w:p>
    <w:p w:rsidR="003716E5" w:rsidRPr="00526F4D" w:rsidRDefault="003716E5" w:rsidP="00526F4D">
      <w:pPr>
        <w:topLinePunct/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依据《中华人民共和国土地管理法》（</w:t>
      </w:r>
      <w:r w:rsidRPr="00526F4D">
        <w:rPr>
          <w:rFonts w:ascii="仿宋_GB2312" w:eastAsia="仿宋_GB2312" w:hAnsi="Times New Roman"/>
          <w:sz w:val="32"/>
          <w:szCs w:val="32"/>
        </w:rPr>
        <w:t>2019</w:t>
      </w:r>
      <w:r w:rsidRPr="00526F4D">
        <w:rPr>
          <w:rFonts w:ascii="仿宋_GB2312" w:eastAsia="仿宋_GB2312" w:hAnsi="Times New Roman" w:hint="eastAsia"/>
          <w:sz w:val="32"/>
          <w:szCs w:val="32"/>
        </w:rPr>
        <w:t>年修正版）、《自然资源部关于印发</w:t>
      </w:r>
      <w:r w:rsidRPr="00526F4D">
        <w:rPr>
          <w:rFonts w:ascii="仿宋_GB2312" w:eastAsia="仿宋_GB2312" w:hAnsi="Times New Roman"/>
          <w:sz w:val="32"/>
          <w:szCs w:val="32"/>
        </w:rPr>
        <w:t>&lt;</w:t>
      </w:r>
      <w:r w:rsidRPr="00526F4D">
        <w:rPr>
          <w:rFonts w:ascii="仿宋_GB2312" w:eastAsia="仿宋_GB2312" w:hAnsi="Times New Roman" w:hint="eastAsia"/>
          <w:sz w:val="32"/>
          <w:szCs w:val="32"/>
        </w:rPr>
        <w:t>土地征收成片开发标准（试行）</w:t>
      </w:r>
      <w:r w:rsidRPr="00526F4D">
        <w:rPr>
          <w:rFonts w:ascii="仿宋_GB2312" w:eastAsia="仿宋_GB2312" w:hAnsi="Times New Roman"/>
          <w:sz w:val="32"/>
          <w:szCs w:val="32"/>
        </w:rPr>
        <w:t>&gt;</w:t>
      </w:r>
      <w:r w:rsidRPr="00526F4D">
        <w:rPr>
          <w:rFonts w:ascii="仿宋_GB2312" w:eastAsia="仿宋_GB2312" w:hAnsi="Times New Roman" w:hint="eastAsia"/>
          <w:sz w:val="32"/>
          <w:szCs w:val="32"/>
        </w:rPr>
        <w:t>的通知》（自然资规〔</w:t>
      </w:r>
      <w:r w:rsidRPr="00526F4D">
        <w:rPr>
          <w:rFonts w:ascii="仿宋_GB2312" w:eastAsia="仿宋_GB2312" w:hAnsi="Times New Roman"/>
          <w:sz w:val="32"/>
          <w:szCs w:val="32"/>
        </w:rPr>
        <w:t>2020</w:t>
      </w:r>
      <w:r w:rsidRPr="00526F4D">
        <w:rPr>
          <w:rFonts w:ascii="仿宋_GB2312" w:eastAsia="仿宋_GB2312" w:hAnsi="Times New Roman" w:hint="eastAsia"/>
          <w:sz w:val="32"/>
          <w:szCs w:val="32"/>
        </w:rPr>
        <w:t>〕</w:t>
      </w:r>
      <w:r w:rsidRPr="00526F4D">
        <w:rPr>
          <w:rFonts w:ascii="仿宋_GB2312" w:eastAsia="仿宋_GB2312" w:hAnsi="Times New Roman"/>
          <w:sz w:val="32"/>
          <w:szCs w:val="32"/>
        </w:rPr>
        <w:t>5</w:t>
      </w:r>
      <w:r w:rsidRPr="00526F4D">
        <w:rPr>
          <w:rFonts w:ascii="仿宋_GB2312" w:eastAsia="仿宋_GB2312" w:hAnsi="Times New Roman" w:hint="eastAsia"/>
          <w:sz w:val="32"/>
          <w:szCs w:val="32"/>
        </w:rPr>
        <w:t>号）、《福建省自然资源厅关于印发</w:t>
      </w:r>
      <w:r w:rsidRPr="00526F4D">
        <w:rPr>
          <w:rFonts w:ascii="仿宋_GB2312" w:eastAsia="仿宋_GB2312" w:hAnsi="Times New Roman"/>
          <w:sz w:val="32"/>
          <w:szCs w:val="32"/>
        </w:rPr>
        <w:t>&lt;</w:t>
      </w:r>
      <w:r w:rsidRPr="00526F4D">
        <w:rPr>
          <w:rFonts w:ascii="仿宋_GB2312" w:eastAsia="仿宋_GB2312" w:hAnsi="Times New Roman" w:hint="eastAsia"/>
          <w:sz w:val="32"/>
          <w:szCs w:val="32"/>
        </w:rPr>
        <w:t>福建省土地征收成片开发方案报批实施细则（试行）的通知</w:t>
      </w:r>
      <w:r w:rsidRPr="00526F4D">
        <w:rPr>
          <w:rFonts w:ascii="仿宋_GB2312" w:eastAsia="仿宋_GB2312" w:hAnsi="Times New Roman"/>
          <w:sz w:val="32"/>
          <w:szCs w:val="32"/>
        </w:rPr>
        <w:t>&gt;</w:t>
      </w:r>
      <w:r w:rsidRPr="00526F4D">
        <w:rPr>
          <w:rFonts w:ascii="仿宋_GB2312" w:eastAsia="仿宋_GB2312" w:hAnsi="Times New Roman" w:hint="eastAsia"/>
          <w:sz w:val="32"/>
          <w:szCs w:val="32"/>
        </w:rPr>
        <w:t>》（闽自然资发〔</w:t>
      </w:r>
      <w:r w:rsidRPr="00526F4D">
        <w:rPr>
          <w:rFonts w:ascii="仿宋_GB2312" w:eastAsia="仿宋_GB2312" w:hAnsi="Times New Roman"/>
          <w:sz w:val="32"/>
          <w:szCs w:val="32"/>
        </w:rPr>
        <w:t>2021</w:t>
      </w:r>
      <w:r w:rsidRPr="00526F4D">
        <w:rPr>
          <w:rFonts w:ascii="仿宋_GB2312" w:eastAsia="仿宋_GB2312" w:hAnsi="Times New Roman" w:hint="eastAsia"/>
          <w:sz w:val="32"/>
          <w:szCs w:val="32"/>
        </w:rPr>
        <w:t>〕</w:t>
      </w:r>
      <w:r w:rsidRPr="00526F4D">
        <w:rPr>
          <w:rFonts w:ascii="仿宋_GB2312" w:eastAsia="仿宋_GB2312" w:hAnsi="Times New Roman"/>
          <w:sz w:val="32"/>
          <w:szCs w:val="32"/>
        </w:rPr>
        <w:t>3</w:t>
      </w:r>
      <w:r w:rsidRPr="00526F4D">
        <w:rPr>
          <w:rFonts w:ascii="仿宋_GB2312" w:eastAsia="仿宋_GB2312" w:hAnsi="Times New Roman" w:hint="eastAsia"/>
          <w:sz w:val="32"/>
          <w:szCs w:val="32"/>
        </w:rPr>
        <w:t>号）、《福建省自然资源厅关于印发</w:t>
      </w:r>
      <w:r w:rsidRPr="00526F4D">
        <w:rPr>
          <w:rFonts w:ascii="仿宋_GB2312" w:eastAsia="仿宋_GB2312" w:hAnsi="Times New Roman"/>
          <w:sz w:val="32"/>
          <w:szCs w:val="32"/>
        </w:rPr>
        <w:t>&lt;</w:t>
      </w:r>
      <w:r w:rsidRPr="00526F4D">
        <w:rPr>
          <w:rFonts w:ascii="仿宋_GB2312" w:eastAsia="仿宋_GB2312" w:hAnsi="Times New Roman" w:hint="eastAsia"/>
          <w:sz w:val="32"/>
          <w:szCs w:val="32"/>
        </w:rPr>
        <w:t>福建省土地征收成片开发方案编制参考指南（试行）的通知</w:t>
      </w:r>
      <w:r w:rsidRPr="00526F4D">
        <w:rPr>
          <w:rFonts w:ascii="仿宋_GB2312" w:eastAsia="仿宋_GB2312" w:hAnsi="Times New Roman"/>
          <w:sz w:val="32"/>
          <w:szCs w:val="32"/>
        </w:rPr>
        <w:t>&gt;</w:t>
      </w:r>
      <w:r w:rsidRPr="00526F4D">
        <w:rPr>
          <w:rFonts w:ascii="仿宋_GB2312" w:eastAsia="仿宋_GB2312" w:hAnsi="Times New Roman" w:hint="eastAsia"/>
          <w:sz w:val="32"/>
          <w:szCs w:val="32"/>
        </w:rPr>
        <w:t>》（闽自然资发〔</w:t>
      </w:r>
      <w:r w:rsidRPr="00526F4D">
        <w:rPr>
          <w:rFonts w:ascii="仿宋_GB2312" w:eastAsia="仿宋_GB2312" w:hAnsi="Times New Roman"/>
          <w:sz w:val="32"/>
          <w:szCs w:val="32"/>
        </w:rPr>
        <w:t>2021</w:t>
      </w:r>
      <w:r w:rsidRPr="00526F4D">
        <w:rPr>
          <w:rFonts w:ascii="仿宋_GB2312" w:eastAsia="仿宋_GB2312" w:hAnsi="Times New Roman" w:hint="eastAsia"/>
          <w:sz w:val="32"/>
          <w:szCs w:val="32"/>
        </w:rPr>
        <w:t>〕</w:t>
      </w:r>
      <w:r w:rsidRPr="00526F4D">
        <w:rPr>
          <w:rFonts w:ascii="仿宋_GB2312" w:eastAsia="仿宋_GB2312" w:hAnsi="Times New Roman"/>
          <w:sz w:val="32"/>
          <w:szCs w:val="32"/>
        </w:rPr>
        <w:t>6</w:t>
      </w:r>
      <w:r w:rsidRPr="00526F4D">
        <w:rPr>
          <w:rFonts w:ascii="仿宋_GB2312" w:eastAsia="仿宋_GB2312" w:hAnsi="Times New Roman" w:hint="eastAsia"/>
          <w:sz w:val="32"/>
          <w:szCs w:val="32"/>
        </w:rPr>
        <w:t>号）、《自然资源部办公厅关于印发</w:t>
      </w:r>
      <w:r w:rsidRPr="00526F4D">
        <w:rPr>
          <w:rFonts w:ascii="仿宋_GB2312" w:eastAsia="仿宋_GB2312" w:hAnsi="Times New Roman"/>
          <w:sz w:val="32"/>
          <w:szCs w:val="32"/>
        </w:rPr>
        <w:t>&lt;</w:t>
      </w:r>
      <w:r w:rsidRPr="00526F4D">
        <w:rPr>
          <w:rFonts w:ascii="仿宋_GB2312" w:eastAsia="仿宋_GB2312" w:hAnsi="Times New Roman" w:hint="eastAsia"/>
          <w:sz w:val="32"/>
          <w:szCs w:val="32"/>
        </w:rPr>
        <w:t>国土空间调查、规划、用途管制用地用海分类指南（试行）</w:t>
      </w:r>
      <w:r w:rsidRPr="00526F4D">
        <w:rPr>
          <w:rFonts w:ascii="仿宋_GB2312" w:eastAsia="仿宋_GB2312" w:hAnsi="Times New Roman"/>
          <w:sz w:val="32"/>
          <w:szCs w:val="32"/>
        </w:rPr>
        <w:t>&gt;</w:t>
      </w:r>
      <w:r w:rsidRPr="00526F4D">
        <w:rPr>
          <w:rFonts w:ascii="仿宋_GB2312" w:eastAsia="仿宋_GB2312" w:hAnsi="Times New Roman" w:hint="eastAsia"/>
          <w:sz w:val="32"/>
          <w:szCs w:val="32"/>
        </w:rPr>
        <w:t>》（自然资办发〔</w:t>
      </w:r>
      <w:r w:rsidRPr="00526F4D">
        <w:rPr>
          <w:rFonts w:ascii="仿宋_GB2312" w:eastAsia="仿宋_GB2312" w:hAnsi="Times New Roman"/>
          <w:sz w:val="32"/>
          <w:szCs w:val="32"/>
        </w:rPr>
        <w:t>2020</w:t>
      </w:r>
      <w:r w:rsidRPr="00526F4D">
        <w:rPr>
          <w:rFonts w:ascii="仿宋_GB2312" w:eastAsia="仿宋_GB2312" w:hAnsi="Times New Roman" w:hint="eastAsia"/>
          <w:sz w:val="32"/>
          <w:szCs w:val="32"/>
        </w:rPr>
        <w:t>〕</w:t>
      </w:r>
      <w:r w:rsidRPr="00526F4D">
        <w:rPr>
          <w:rFonts w:ascii="仿宋_GB2312" w:eastAsia="仿宋_GB2312" w:hAnsi="Times New Roman"/>
          <w:sz w:val="32"/>
          <w:szCs w:val="32"/>
        </w:rPr>
        <w:t>51</w:t>
      </w:r>
      <w:r w:rsidRPr="00526F4D">
        <w:rPr>
          <w:rFonts w:ascii="仿宋_GB2312" w:eastAsia="仿宋_GB2312" w:hAnsi="Times New Roman" w:hint="eastAsia"/>
          <w:sz w:val="32"/>
          <w:szCs w:val="32"/>
        </w:rPr>
        <w:t>号）、《泉州市城市总体规划（</w:t>
      </w:r>
      <w:r w:rsidRPr="00526F4D">
        <w:rPr>
          <w:rFonts w:ascii="仿宋_GB2312" w:eastAsia="仿宋_GB2312" w:hAnsi="Times New Roman"/>
          <w:sz w:val="32"/>
          <w:szCs w:val="32"/>
        </w:rPr>
        <w:t>2008-2030</w:t>
      </w:r>
      <w:r w:rsidRPr="00526F4D">
        <w:rPr>
          <w:rFonts w:ascii="仿宋_GB2312" w:eastAsia="仿宋_GB2312" w:hAnsi="Times New Roman" w:hint="eastAsia"/>
          <w:sz w:val="32"/>
          <w:szCs w:val="32"/>
        </w:rPr>
        <w:t>年）》、《泉州市东海组团单元控制性详细规划》、《泉州海丝新城东海中央活力区城市设计深化设计》等，编制了《泉州市丰泽区</w:t>
      </w:r>
      <w:r w:rsidRPr="00526F4D">
        <w:rPr>
          <w:rFonts w:ascii="仿宋_GB2312" w:eastAsia="仿宋_GB2312" w:hAnsi="Times New Roman"/>
          <w:sz w:val="32"/>
          <w:szCs w:val="32"/>
        </w:rPr>
        <w:t>2022</w:t>
      </w:r>
      <w:r w:rsidRPr="00526F4D">
        <w:rPr>
          <w:rFonts w:ascii="仿宋_GB2312" w:eastAsia="仿宋_GB2312" w:hAnsi="Times New Roman" w:hint="eastAsia"/>
          <w:sz w:val="32"/>
          <w:szCs w:val="32"/>
        </w:rPr>
        <w:t>年度第三批次土地征收成片开发方案（东海后埔片区改造项目）》。</w:t>
      </w:r>
    </w:p>
    <w:p w:rsidR="003716E5" w:rsidRPr="00526F4D" w:rsidRDefault="003716E5" w:rsidP="00526F4D">
      <w:pPr>
        <w:pStyle w:val="a4"/>
        <w:numPr>
          <w:ilvl w:val="0"/>
          <w:numId w:val="1"/>
        </w:numPr>
        <w:spacing w:line="579" w:lineRule="exact"/>
        <w:ind w:firstLineChars="0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基本情况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方案地块位于丰泽区东海街道，西侧、北侧紧邻博海路，东侧紧邻规划经八路，南侧到丰海路。（详见附图）。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本方案涉及丰泽区东海街道宝山社区、后厝社区、后埔社区、浔埔社区，共</w:t>
      </w:r>
      <w:r w:rsidRPr="00526F4D">
        <w:rPr>
          <w:rFonts w:ascii="仿宋_GB2312" w:eastAsia="仿宋_GB2312" w:hAnsi="Times New Roman"/>
          <w:sz w:val="32"/>
          <w:szCs w:val="32"/>
        </w:rPr>
        <w:t>1</w:t>
      </w:r>
      <w:r w:rsidRPr="00526F4D">
        <w:rPr>
          <w:rFonts w:ascii="仿宋_GB2312" w:eastAsia="仿宋_GB2312" w:hAnsi="Times New Roman" w:hint="eastAsia"/>
          <w:sz w:val="32"/>
          <w:szCs w:val="32"/>
        </w:rPr>
        <w:t>个街道</w:t>
      </w:r>
      <w:r w:rsidRPr="00526F4D">
        <w:rPr>
          <w:rFonts w:ascii="仿宋_GB2312" w:eastAsia="仿宋_GB2312" w:hAnsi="Times New Roman"/>
          <w:sz w:val="32"/>
          <w:szCs w:val="32"/>
        </w:rPr>
        <w:t>4</w:t>
      </w:r>
      <w:r w:rsidRPr="00526F4D">
        <w:rPr>
          <w:rFonts w:ascii="仿宋_GB2312" w:eastAsia="仿宋_GB2312" w:hAnsi="Times New Roman" w:hint="eastAsia"/>
          <w:sz w:val="32"/>
          <w:szCs w:val="32"/>
        </w:rPr>
        <w:t>个社区，不涉及省级（以上）开发区。</w:t>
      </w:r>
      <w:r w:rsidRPr="00526F4D">
        <w:rPr>
          <w:rFonts w:ascii="仿宋_GB2312" w:eastAsia="仿宋_GB2312" w:hAnsi="Times New Roman" w:hint="eastAsia"/>
          <w:sz w:val="32"/>
          <w:szCs w:val="32"/>
        </w:rPr>
        <w:lastRenderedPageBreak/>
        <w:t>根据实地勘测调查，本方案成片开发范围总面积</w:t>
      </w:r>
      <w:r w:rsidRPr="00526F4D">
        <w:rPr>
          <w:rFonts w:ascii="仿宋_GB2312" w:eastAsia="仿宋_GB2312" w:hAnsi="Times New Roman"/>
          <w:sz w:val="32"/>
          <w:szCs w:val="32"/>
        </w:rPr>
        <w:t>38.4754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公顷。其中，农用地</w:t>
      </w:r>
      <w:r w:rsidRPr="00526F4D">
        <w:rPr>
          <w:rFonts w:ascii="仿宋_GB2312" w:eastAsia="仿宋_GB2312" w:hAnsi="Times New Roman"/>
          <w:sz w:val="32"/>
          <w:szCs w:val="32"/>
        </w:rPr>
        <w:t xml:space="preserve"> 4.7188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</w:t>
      </w:r>
      <w:r w:rsidRPr="00526F4D">
        <w:rPr>
          <w:rFonts w:ascii="仿宋_GB2312" w:eastAsia="仿宋_GB2312" w:hAnsi="Times New Roman"/>
          <w:sz w:val="32"/>
          <w:szCs w:val="32"/>
        </w:rPr>
        <w:t>(</w:t>
      </w:r>
      <w:r w:rsidRPr="00526F4D">
        <w:rPr>
          <w:rFonts w:ascii="仿宋_GB2312" w:eastAsia="仿宋_GB2312" w:hAnsi="Times New Roman" w:hint="eastAsia"/>
          <w:sz w:val="32"/>
          <w:szCs w:val="32"/>
        </w:rPr>
        <w:t>耕地</w:t>
      </w:r>
      <w:r w:rsidRPr="00526F4D">
        <w:rPr>
          <w:rFonts w:ascii="仿宋_GB2312" w:eastAsia="仿宋_GB2312" w:hAnsi="Times New Roman"/>
          <w:sz w:val="32"/>
          <w:szCs w:val="32"/>
        </w:rPr>
        <w:t>0.1043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</w:t>
      </w:r>
      <w:r w:rsidRPr="00526F4D">
        <w:rPr>
          <w:rFonts w:ascii="仿宋_GB2312" w:eastAsia="仿宋_GB2312" w:hAnsi="Times New Roman"/>
          <w:sz w:val="32"/>
          <w:szCs w:val="32"/>
        </w:rPr>
        <w:t>)</w:t>
      </w:r>
      <w:r w:rsidRPr="00526F4D">
        <w:rPr>
          <w:rFonts w:ascii="仿宋_GB2312" w:eastAsia="仿宋_GB2312" w:hAnsi="Times New Roman" w:hint="eastAsia"/>
          <w:sz w:val="32"/>
          <w:szCs w:val="32"/>
        </w:rPr>
        <w:t>，建设用地</w:t>
      </w:r>
      <w:r w:rsidRPr="00526F4D">
        <w:rPr>
          <w:rFonts w:ascii="仿宋_GB2312" w:eastAsia="仿宋_GB2312" w:hAnsi="Times New Roman"/>
          <w:sz w:val="32"/>
          <w:szCs w:val="32"/>
        </w:rPr>
        <w:t>33.5394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公顷，未利用地</w:t>
      </w:r>
      <w:r w:rsidRPr="00526F4D">
        <w:rPr>
          <w:rFonts w:ascii="仿宋_GB2312" w:eastAsia="仿宋_GB2312" w:hAnsi="Times New Roman"/>
          <w:sz w:val="32"/>
          <w:szCs w:val="32"/>
        </w:rPr>
        <w:t>0.2172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公顷。</w:t>
      </w:r>
    </w:p>
    <w:p w:rsidR="003716E5" w:rsidRPr="00526F4D" w:rsidRDefault="003716E5" w:rsidP="00526F4D">
      <w:pPr>
        <w:pStyle w:val="a4"/>
        <w:numPr>
          <w:ilvl w:val="0"/>
          <w:numId w:val="1"/>
        </w:numPr>
        <w:spacing w:line="579" w:lineRule="exact"/>
        <w:ind w:firstLineChars="0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必要性分析</w:t>
      </w:r>
    </w:p>
    <w:p w:rsidR="003716E5" w:rsidRPr="00526F4D" w:rsidRDefault="003716E5" w:rsidP="00526F4D">
      <w:pPr>
        <w:pStyle w:val="a4"/>
        <w:numPr>
          <w:ilvl w:val="1"/>
          <w:numId w:val="1"/>
        </w:numPr>
        <w:spacing w:line="579" w:lineRule="exact"/>
        <w:ind w:firstLineChars="0"/>
        <w:rPr>
          <w:rFonts w:ascii="楷体_GB2312" w:eastAsia="楷体_GB2312" w:hAnsi="Times New Roman"/>
          <w:sz w:val="32"/>
          <w:szCs w:val="32"/>
        </w:rPr>
      </w:pPr>
      <w:r w:rsidRPr="00526F4D">
        <w:rPr>
          <w:rFonts w:ascii="楷体_GB2312" w:eastAsia="楷体_GB2312" w:hAnsi="Times New Roman" w:hint="eastAsia"/>
          <w:sz w:val="32"/>
          <w:szCs w:val="32"/>
        </w:rPr>
        <w:t>优化沿江天际线及片区功能布局的需要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方案所在的丰泽区地处泉州市区中心区域，是泉州环湾城市群的重要板块之一。方案优化丰泽区东部的发展，建设完备的基础设施，提供高品质、高质量的公共服务，布局生态宜居的东海新城，并用以承接泉州古城的人口疏解，引领城市的发展。方案西南侧为晋江大桥可通往晋江市，南侧为晋江流域，处于沿江片区，地理条件优越，但现状多为低矮的民宅和厂房，基础配套设施不足。本方案的实施有利于优化沿江片区及产业布局和周围配套设施，将该片区打造成集住宅、商业、教育、生态于一体的新商业格局，有利于提高土地综合利用效率，营造良好的创业环境，吸引青年返乡就业。</w:t>
      </w:r>
    </w:p>
    <w:p w:rsidR="003716E5" w:rsidRPr="00526F4D" w:rsidRDefault="003716E5" w:rsidP="00526F4D">
      <w:pPr>
        <w:pStyle w:val="a4"/>
        <w:numPr>
          <w:ilvl w:val="1"/>
          <w:numId w:val="1"/>
        </w:numPr>
        <w:spacing w:line="579" w:lineRule="exact"/>
        <w:ind w:firstLineChars="0"/>
        <w:rPr>
          <w:rFonts w:ascii="楷体_GB2312" w:eastAsia="楷体_GB2312" w:hAnsi="Times New Roman"/>
          <w:sz w:val="32"/>
          <w:szCs w:val="32"/>
        </w:rPr>
      </w:pPr>
      <w:r w:rsidRPr="00526F4D">
        <w:rPr>
          <w:rFonts w:ascii="楷体_GB2312" w:eastAsia="楷体_GB2312" w:hAnsi="Times New Roman" w:hint="eastAsia"/>
          <w:sz w:val="32"/>
          <w:szCs w:val="32"/>
        </w:rPr>
        <w:t>把握发展机遇，探索基于城市运营主导更新模式的需要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目前泉州市古城基础设施完备，人口数量过于拥挤，而泉州市政府在工作报告中提出要加快东海后埔片区的改造工作，这为项目的落地和实施提供了保障。方案所属位置现状城市路网体系不健全，现状建筑风貌陈旧，绿地斑驳散乱，方案的实施将建设完备的基础设施，完善城市路网体系，将东海后埔打造成现代化片区。方案现状产业规模较大，但发展阶段较为初级，产业结构</w:t>
      </w:r>
      <w:r w:rsidRPr="00526F4D">
        <w:rPr>
          <w:rFonts w:ascii="仿宋_GB2312" w:eastAsia="仿宋_GB2312" w:hAnsi="Times New Roman" w:hint="eastAsia"/>
          <w:sz w:val="32"/>
          <w:szCs w:val="32"/>
        </w:rPr>
        <w:lastRenderedPageBreak/>
        <w:t>以服装纺织产业、机械产业为主。纺织鞋服产业转型升级面临的突出问题集中表现为：产业资金链紧绷、生产成本上升较快、同质化竞争严重、创新驱动力明显不足等问题。方案的落地将吸引外来投资，有利于东海探索适合其本身的运营模式，打破传统运营模式的壁垒，打造丰泽区经济新增长极，促进泉州第二、三产业发展，发展上下游产业链形成全产业链布局，提供更多就业机会和创业机遇，有利于人才落户泉州，弥补人才缺失的缺口。</w:t>
      </w:r>
    </w:p>
    <w:p w:rsidR="003716E5" w:rsidRPr="00526F4D" w:rsidRDefault="003716E5" w:rsidP="00526F4D">
      <w:pPr>
        <w:pStyle w:val="a4"/>
        <w:numPr>
          <w:ilvl w:val="1"/>
          <w:numId w:val="1"/>
        </w:numPr>
        <w:spacing w:line="579" w:lineRule="exact"/>
        <w:ind w:firstLineChars="0"/>
        <w:rPr>
          <w:rFonts w:ascii="楷体_GB2312" w:eastAsia="楷体_GB2312" w:hAnsi="Times New Roman"/>
          <w:sz w:val="32"/>
          <w:szCs w:val="32"/>
        </w:rPr>
      </w:pPr>
      <w:r w:rsidRPr="00526F4D">
        <w:rPr>
          <w:rFonts w:ascii="楷体_GB2312" w:eastAsia="楷体_GB2312" w:hAnsi="Times New Roman" w:hint="eastAsia"/>
          <w:sz w:val="32"/>
          <w:szCs w:val="32"/>
        </w:rPr>
        <w:t>聚焦产业特色，打造凸显泉州海丝魅力的城市名片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泉州位于海上丝绸之路的起点，依托于独特的地理优势，可以构建陆海联动，东西互济的开放性经济体系。规划过程中强调功能复合化、组团协同化，致力打造海丝文化交流窗口、创新活力共享平台，从历史文化底蕴的角度进行切入，落实东海片区建设，利用周边环境资源，将城市建设与历史文化相融合。本方案的实施，将解决青年本地就业，升级跨境数字商港建设以贸易物流、信息技术为核心的青年起航港，拓展淘宝村开展跨境电商业务，导入新一代信息技术带动升级，拓展海洋经济、智慧物流、“海丝”投融资产业，构建新的线上海丝之路。泉州作为著名的侨乡，方案的落地将吸引海外侨乡回乡投资，推动企业全球化布局，培育根在泉州的跨国企业，大力发展“归雁经济”。本方案的实施，有利于培育新兴经济，推动产业提级，将产品面向全球推广，辐射海丝国家，打造独属泉州海丝魅力的城市名片。</w:t>
      </w:r>
    </w:p>
    <w:p w:rsidR="003716E5" w:rsidRPr="00526F4D" w:rsidRDefault="003716E5" w:rsidP="00526F4D">
      <w:pPr>
        <w:pStyle w:val="a4"/>
        <w:numPr>
          <w:ilvl w:val="0"/>
          <w:numId w:val="1"/>
        </w:numPr>
        <w:spacing w:line="579" w:lineRule="exact"/>
        <w:ind w:firstLineChars="0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主要用途、实现功能及公益性用地比例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lastRenderedPageBreak/>
        <w:t>本方案用地总面积</w:t>
      </w:r>
      <w:r w:rsidRPr="00526F4D">
        <w:rPr>
          <w:rFonts w:ascii="仿宋_GB2312" w:eastAsia="仿宋_GB2312" w:hAnsi="Times New Roman"/>
          <w:sz w:val="32"/>
          <w:szCs w:val="32"/>
        </w:rPr>
        <w:t>38.4754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主要用途为商业项目，方案结合宝山社区、后厝社区、后埔社区、浔埔社区的发展，满足附近居民居住的同时，配套商业、教育等用地，完善公园休憩、绿地防护等基础设施，吸引更多人口与人才进驻，打造青年人才商务中心。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公益性用地包含教育用地、城镇道路用地、水工设施用地、供电用地、防护绿地和公园绿地，合计</w:t>
      </w:r>
      <w:r w:rsidRPr="00526F4D">
        <w:rPr>
          <w:rFonts w:ascii="仿宋_GB2312" w:eastAsia="仿宋_GB2312" w:hAnsi="Times New Roman"/>
          <w:sz w:val="32"/>
          <w:szCs w:val="32"/>
        </w:rPr>
        <w:t>16.6827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公顷，占用地总面积的</w:t>
      </w:r>
      <w:r w:rsidRPr="00526F4D">
        <w:rPr>
          <w:rFonts w:ascii="仿宋_GB2312" w:eastAsia="仿宋_GB2312" w:hAnsi="Times New Roman"/>
          <w:sz w:val="32"/>
          <w:szCs w:val="32"/>
        </w:rPr>
        <w:t>43.36%</w:t>
      </w:r>
      <w:r w:rsidRPr="00526F4D">
        <w:rPr>
          <w:rFonts w:ascii="仿宋_GB2312" w:eastAsia="仿宋_GB2312" w:hAnsi="Times New Roman" w:hint="eastAsia"/>
          <w:sz w:val="32"/>
          <w:szCs w:val="32"/>
        </w:rPr>
        <w:t>，符合</w:t>
      </w:r>
      <w:r w:rsidR="00646D84" w:rsidRPr="00646D84">
        <w:rPr>
          <w:rFonts w:ascii="仿宋_GB2312" w:eastAsia="仿宋_GB2312" w:hAnsi="Times New Roman" w:hint="eastAsia"/>
          <w:sz w:val="32"/>
          <w:szCs w:val="32"/>
        </w:rPr>
        <w:t>《自然资源部关于印发〈土地征收成片开发标准（试行）〉的通知》（自然资规〔</w:t>
      </w:r>
      <w:r w:rsidR="00646D84" w:rsidRPr="00646D84">
        <w:rPr>
          <w:rFonts w:ascii="仿宋_GB2312" w:eastAsia="仿宋_GB2312" w:hAnsi="Times New Roman"/>
          <w:sz w:val="32"/>
          <w:szCs w:val="32"/>
        </w:rPr>
        <w:t>2020〕5号）</w:t>
      </w:r>
      <w:r w:rsidRPr="00526F4D">
        <w:rPr>
          <w:rFonts w:ascii="仿宋_GB2312" w:eastAsia="仿宋_GB2312" w:hAnsi="Times New Roman" w:hint="eastAsia"/>
          <w:sz w:val="32"/>
          <w:szCs w:val="32"/>
        </w:rPr>
        <w:t>规定。</w:t>
      </w:r>
    </w:p>
    <w:p w:rsidR="003716E5" w:rsidRPr="00526F4D" w:rsidRDefault="003716E5" w:rsidP="00526F4D">
      <w:pPr>
        <w:pStyle w:val="a4"/>
        <w:numPr>
          <w:ilvl w:val="0"/>
          <w:numId w:val="1"/>
        </w:numPr>
        <w:spacing w:line="579" w:lineRule="exact"/>
        <w:ind w:firstLineChars="0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拟建项目与实施计划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本方案用地总面积</w:t>
      </w:r>
      <w:r w:rsidRPr="00526F4D">
        <w:rPr>
          <w:rFonts w:ascii="仿宋_GB2312" w:eastAsia="仿宋_GB2312" w:hAnsi="Times New Roman"/>
          <w:sz w:val="32"/>
          <w:szCs w:val="32"/>
        </w:rPr>
        <w:t>38.4754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公顷，其中涉及已完成实施（已建成）的面积为</w:t>
      </w:r>
      <w:r w:rsidRPr="00526F4D">
        <w:rPr>
          <w:rFonts w:ascii="仿宋_GB2312" w:eastAsia="仿宋_GB2312" w:hAnsi="Times New Roman"/>
          <w:sz w:val="32"/>
          <w:szCs w:val="32"/>
        </w:rPr>
        <w:t>0.0609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公顷，拟安排实施项目面积</w:t>
      </w:r>
      <w:r w:rsidRPr="00526F4D">
        <w:rPr>
          <w:rFonts w:ascii="仿宋_GB2312" w:eastAsia="仿宋_GB2312" w:hAnsi="Times New Roman"/>
          <w:sz w:val="32"/>
          <w:szCs w:val="32"/>
        </w:rPr>
        <w:t>38.4145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公顷，计划实施周期为</w:t>
      </w:r>
      <w:r w:rsidRPr="00526F4D">
        <w:rPr>
          <w:rFonts w:ascii="仿宋_GB2312" w:eastAsia="仿宋_GB2312" w:hAnsi="Times New Roman"/>
          <w:sz w:val="32"/>
          <w:szCs w:val="32"/>
        </w:rPr>
        <w:t>2022</w:t>
      </w:r>
      <w:r w:rsidRPr="00526F4D">
        <w:rPr>
          <w:rFonts w:ascii="仿宋_GB2312" w:eastAsia="仿宋_GB2312" w:hAnsi="Times New Roman" w:hint="eastAsia"/>
          <w:sz w:val="32"/>
          <w:szCs w:val="32"/>
        </w:rPr>
        <w:t>年</w:t>
      </w:r>
      <w:r w:rsidR="00646D84">
        <w:rPr>
          <w:rFonts w:ascii="仿宋_GB2312" w:eastAsia="仿宋_GB2312" w:hAnsi="Times New Roman" w:hint="eastAsia"/>
          <w:sz w:val="32"/>
          <w:szCs w:val="32"/>
        </w:rPr>
        <w:t>—</w:t>
      </w:r>
      <w:r w:rsidRPr="00526F4D">
        <w:rPr>
          <w:rFonts w:ascii="仿宋_GB2312" w:eastAsia="仿宋_GB2312" w:hAnsi="Times New Roman"/>
          <w:sz w:val="32"/>
          <w:szCs w:val="32"/>
        </w:rPr>
        <w:t>2024</w:t>
      </w:r>
      <w:r w:rsidRPr="00526F4D">
        <w:rPr>
          <w:rFonts w:ascii="仿宋_GB2312" w:eastAsia="仿宋_GB2312" w:hAnsi="Times New Roman" w:hint="eastAsia"/>
          <w:sz w:val="32"/>
          <w:szCs w:val="32"/>
        </w:rPr>
        <w:t>年，</w:t>
      </w:r>
      <w:r w:rsidRPr="00526F4D">
        <w:rPr>
          <w:rFonts w:ascii="仿宋_GB2312" w:eastAsia="仿宋_GB2312" w:hAnsi="Times New Roman"/>
          <w:sz w:val="32"/>
          <w:szCs w:val="32"/>
        </w:rPr>
        <w:t>3</w:t>
      </w:r>
      <w:r w:rsidRPr="00526F4D">
        <w:rPr>
          <w:rFonts w:ascii="仿宋_GB2312" w:eastAsia="仿宋_GB2312" w:hAnsi="Times New Roman" w:hint="eastAsia"/>
          <w:sz w:val="32"/>
          <w:szCs w:val="32"/>
        </w:rPr>
        <w:t>年内实施完毕</w:t>
      </w:r>
    </w:p>
    <w:p w:rsidR="003716E5" w:rsidRPr="00526F4D" w:rsidRDefault="003716E5" w:rsidP="00526F4D">
      <w:pPr>
        <w:pStyle w:val="a4"/>
        <w:numPr>
          <w:ilvl w:val="0"/>
          <w:numId w:val="1"/>
        </w:numPr>
        <w:spacing w:line="579" w:lineRule="exact"/>
        <w:ind w:firstLineChars="0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合规性分析</w:t>
      </w:r>
    </w:p>
    <w:p w:rsidR="003716E5" w:rsidRPr="00526F4D" w:rsidRDefault="003716E5" w:rsidP="00AE2869">
      <w:pPr>
        <w:pStyle w:val="a4"/>
        <w:numPr>
          <w:ilvl w:val="1"/>
          <w:numId w:val="1"/>
        </w:numPr>
        <w:spacing w:line="579" w:lineRule="exact"/>
        <w:ind w:left="1242" w:firstLineChars="0" w:hanging="675"/>
        <w:rPr>
          <w:rFonts w:ascii="楷体_GB2312" w:eastAsia="楷体_GB2312" w:hAnsi="Times New Roman"/>
          <w:sz w:val="32"/>
          <w:szCs w:val="32"/>
        </w:rPr>
      </w:pPr>
      <w:r w:rsidRPr="00526F4D">
        <w:rPr>
          <w:rFonts w:ascii="楷体_GB2312" w:eastAsia="楷体_GB2312" w:hAnsi="Times New Roman" w:hint="eastAsia"/>
          <w:sz w:val="32"/>
          <w:szCs w:val="32"/>
        </w:rPr>
        <w:t>国土空间规划符合性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该成片开发范围位于城镇开发边界的集中建设区内，泉州市丰泽区人民政府承诺方案获批后，将该成片开发方案统筹纳入正在编制的国土空间规划及“一张图”，并符合规划管控规则。</w:t>
      </w:r>
    </w:p>
    <w:p w:rsidR="003716E5" w:rsidRPr="00526F4D" w:rsidRDefault="003716E5" w:rsidP="00AE2869">
      <w:pPr>
        <w:pStyle w:val="a4"/>
        <w:numPr>
          <w:ilvl w:val="1"/>
          <w:numId w:val="1"/>
        </w:numPr>
        <w:spacing w:line="579" w:lineRule="exact"/>
        <w:ind w:firstLineChars="0" w:hanging="678"/>
        <w:rPr>
          <w:rFonts w:ascii="楷体_GB2312" w:eastAsia="楷体_GB2312" w:hAnsi="Times New Roman"/>
          <w:sz w:val="32"/>
          <w:szCs w:val="32"/>
        </w:rPr>
      </w:pPr>
      <w:r w:rsidRPr="00526F4D">
        <w:rPr>
          <w:rFonts w:ascii="楷体_GB2312" w:eastAsia="楷体_GB2312" w:hAnsi="Times New Roman" w:hint="eastAsia"/>
          <w:sz w:val="32"/>
          <w:szCs w:val="32"/>
        </w:rPr>
        <w:t>国民经济和社会发展规划、年度计划符合性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本方案与现行国民经济和社会发展规划相符，已纳入国民经济和社会发展年度计划。</w:t>
      </w:r>
    </w:p>
    <w:p w:rsidR="003716E5" w:rsidRPr="00526F4D" w:rsidRDefault="003716E5" w:rsidP="00AE2869">
      <w:pPr>
        <w:pStyle w:val="a4"/>
        <w:numPr>
          <w:ilvl w:val="1"/>
          <w:numId w:val="1"/>
        </w:numPr>
        <w:spacing w:line="579" w:lineRule="exact"/>
        <w:ind w:firstLineChars="0" w:hanging="678"/>
        <w:rPr>
          <w:rFonts w:ascii="楷体_GB2312" w:eastAsia="楷体_GB2312" w:hAnsi="Times New Roman"/>
          <w:sz w:val="32"/>
          <w:szCs w:val="32"/>
        </w:rPr>
      </w:pPr>
      <w:r w:rsidRPr="00526F4D">
        <w:rPr>
          <w:rFonts w:ascii="楷体_GB2312" w:eastAsia="楷体_GB2312" w:hAnsi="Times New Roman" w:hint="eastAsia"/>
          <w:sz w:val="32"/>
          <w:szCs w:val="32"/>
        </w:rPr>
        <w:t>占用永久基本农田和其他法律法规不允许占用或开发</w:t>
      </w:r>
      <w:r w:rsidRPr="00526F4D">
        <w:rPr>
          <w:rFonts w:ascii="楷体_GB2312" w:eastAsia="楷体_GB2312" w:hAnsi="Times New Roman" w:hint="eastAsia"/>
          <w:sz w:val="32"/>
          <w:szCs w:val="32"/>
        </w:rPr>
        <w:lastRenderedPageBreak/>
        <w:t>的区域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本方案范围内未涉及占用永久基本农田、生态保护红线、各级（国家级、省级、市级、县级等）各类（生态系统类、野生生物类、自然遗迹类等）自然保护区等区域。</w:t>
      </w:r>
    </w:p>
    <w:p w:rsidR="003716E5" w:rsidRPr="00526F4D" w:rsidRDefault="003716E5" w:rsidP="00526F4D">
      <w:pPr>
        <w:pStyle w:val="a4"/>
        <w:numPr>
          <w:ilvl w:val="0"/>
          <w:numId w:val="1"/>
        </w:numPr>
        <w:spacing w:line="579" w:lineRule="exact"/>
        <w:ind w:firstLineChars="0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土地征收成片开发效益评估</w:t>
      </w:r>
    </w:p>
    <w:p w:rsidR="003716E5" w:rsidRPr="00526F4D" w:rsidRDefault="00646D84" w:rsidP="00646D84">
      <w:pPr>
        <w:pStyle w:val="a4"/>
        <w:spacing w:line="579" w:lineRule="exact"/>
        <w:ind w:left="560" w:firstLineChars="0" w:firstLine="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</w:t>
      </w:r>
      <w:r w:rsidR="003716E5" w:rsidRPr="00526F4D">
        <w:rPr>
          <w:rFonts w:ascii="楷体_GB2312" w:eastAsia="楷体_GB2312" w:hAnsi="Times New Roman" w:hint="eastAsia"/>
          <w:sz w:val="32"/>
          <w:szCs w:val="32"/>
        </w:rPr>
        <w:t>土地利用效益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本方案通过土地利用开发，合理安排建设用地规模、结构和布局，将方案地块建设成为居住用地、商业用地及其他附属配套设施等，在用地紧张的中心城区中释放出新的发展空间，有效提升了现有土地使用效益。方案地块建设满足片区发展定位，采用土地复合利用方式，实施范围的城镇住宅用地用地容积率控制在</w:t>
      </w:r>
      <w:r w:rsidRPr="00526F4D">
        <w:rPr>
          <w:rFonts w:ascii="仿宋_GB2312" w:eastAsia="仿宋_GB2312" w:hAnsi="Times New Roman"/>
          <w:sz w:val="32"/>
          <w:szCs w:val="32"/>
        </w:rPr>
        <w:t>2.0</w:t>
      </w:r>
      <w:r w:rsidRPr="00526F4D">
        <w:rPr>
          <w:rFonts w:ascii="仿宋_GB2312" w:eastAsia="仿宋_GB2312" w:hAnsi="Times New Roman" w:hint="eastAsia"/>
          <w:sz w:val="32"/>
          <w:szCs w:val="32"/>
        </w:rPr>
        <w:t>以上，商业用地容积率控制在</w:t>
      </w:r>
      <w:r w:rsidRPr="00526F4D">
        <w:rPr>
          <w:rFonts w:ascii="仿宋_GB2312" w:eastAsia="仿宋_GB2312" w:hAnsi="Times New Roman"/>
          <w:sz w:val="32"/>
          <w:szCs w:val="32"/>
        </w:rPr>
        <w:t>2.5</w:t>
      </w:r>
      <w:r w:rsidRPr="00526F4D">
        <w:rPr>
          <w:rFonts w:ascii="仿宋_GB2312" w:eastAsia="仿宋_GB2312" w:hAnsi="Times New Roman" w:hint="eastAsia"/>
          <w:sz w:val="32"/>
          <w:szCs w:val="32"/>
        </w:rPr>
        <w:t>以上，有利于优化片区建设用地空间布局，提高城市建设紧凑度，提升建设用地集约利用水平。</w:t>
      </w:r>
    </w:p>
    <w:p w:rsidR="003716E5" w:rsidRPr="00526F4D" w:rsidRDefault="00646D84" w:rsidP="00646D84">
      <w:pPr>
        <w:pStyle w:val="a4"/>
        <w:spacing w:line="579" w:lineRule="exact"/>
        <w:ind w:left="560" w:firstLineChars="0" w:firstLine="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</w:t>
      </w:r>
      <w:r w:rsidR="003716E5" w:rsidRPr="00526F4D">
        <w:rPr>
          <w:rFonts w:ascii="楷体_GB2312" w:eastAsia="楷体_GB2312" w:hAnsi="Times New Roman" w:hint="eastAsia"/>
          <w:sz w:val="32"/>
          <w:szCs w:val="32"/>
        </w:rPr>
        <w:t>经济效益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此次成片开发可带动房地产等固定资产投资外，可实现一次性税收及其他房地产相关费用等收入，带来新的税收增长点，有利于政府通过预算支出形式，用于经济建设、文教卫生、福利设施、行政管理等各方面进行财政再分配，加快片区的融合发展，实现以城聚人促产战略目标，推动区域经济的增长。</w:t>
      </w:r>
    </w:p>
    <w:p w:rsidR="003716E5" w:rsidRPr="00526F4D" w:rsidRDefault="00646D84" w:rsidP="00646D84">
      <w:pPr>
        <w:pStyle w:val="a4"/>
        <w:spacing w:line="579" w:lineRule="exact"/>
        <w:ind w:left="560" w:firstLineChars="0" w:firstLine="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（三）</w:t>
      </w:r>
      <w:r w:rsidR="003716E5" w:rsidRPr="00526F4D">
        <w:rPr>
          <w:rFonts w:ascii="楷体_GB2312" w:eastAsia="楷体_GB2312" w:hAnsi="Times New Roman" w:hint="eastAsia"/>
          <w:sz w:val="32"/>
          <w:szCs w:val="32"/>
        </w:rPr>
        <w:t>社会效益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F4D">
        <w:rPr>
          <w:rFonts w:ascii="仿宋" w:eastAsia="仿宋" w:hAnsi="仿宋"/>
          <w:sz w:val="32"/>
          <w:szCs w:val="32"/>
        </w:rPr>
        <w:t>1</w:t>
      </w:r>
      <w:r w:rsidR="00646D84">
        <w:rPr>
          <w:rFonts w:ascii="仿宋" w:eastAsia="仿宋" w:hAnsi="仿宋" w:hint="eastAsia"/>
          <w:sz w:val="32"/>
          <w:szCs w:val="32"/>
        </w:rPr>
        <w:t>.</w:t>
      </w:r>
      <w:r w:rsidRPr="00526F4D">
        <w:rPr>
          <w:rFonts w:ascii="仿宋" w:eastAsia="仿宋" w:hAnsi="仿宋" w:hint="eastAsia"/>
          <w:sz w:val="32"/>
          <w:szCs w:val="32"/>
        </w:rPr>
        <w:t>增加就业机会，提高当地居民收入水平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lastRenderedPageBreak/>
        <w:t>本方案通过商住混合和商业综合用地的建设丰富业态，集聚人气，促进片区商业与服务业发展的同时，将商业发展与缓解当地民众就业压力紧密结合起来，商业综合用地的发展可以招商引资，进一步解决本地居民就业问题，提高本地居民收入水平。本方案新增城镇住宅用地</w:t>
      </w:r>
      <w:r w:rsidRPr="00526F4D">
        <w:rPr>
          <w:rFonts w:ascii="仿宋_GB2312" w:eastAsia="仿宋_GB2312" w:hAnsi="Times New Roman"/>
          <w:sz w:val="32"/>
          <w:szCs w:val="32"/>
        </w:rPr>
        <w:t>4.9473</w:t>
      </w:r>
      <w:r w:rsidRPr="00526F4D">
        <w:rPr>
          <w:rFonts w:ascii="仿宋_GB2312" w:eastAsia="仿宋_GB2312" w:hAnsi="Times New Roman" w:hint="eastAsia"/>
          <w:sz w:val="32"/>
          <w:szCs w:val="32"/>
        </w:rPr>
        <w:t>公</w:t>
      </w:r>
      <w:bookmarkStart w:id="0" w:name="_GoBack"/>
      <w:bookmarkEnd w:id="0"/>
      <w:r w:rsidRPr="00526F4D">
        <w:rPr>
          <w:rFonts w:ascii="仿宋_GB2312" w:eastAsia="仿宋_GB2312" w:hAnsi="Times New Roman" w:hint="eastAsia"/>
          <w:sz w:val="32"/>
          <w:szCs w:val="32"/>
        </w:rPr>
        <w:t>顷，商业用地</w:t>
      </w:r>
      <w:r w:rsidRPr="00526F4D">
        <w:rPr>
          <w:rFonts w:ascii="仿宋_GB2312" w:eastAsia="仿宋_GB2312" w:hAnsi="Times New Roman"/>
          <w:sz w:val="32"/>
          <w:szCs w:val="32"/>
        </w:rPr>
        <w:t>16.8454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公顷，预计可产生</w:t>
      </w:r>
      <w:r w:rsidRPr="00526F4D">
        <w:rPr>
          <w:rFonts w:ascii="仿宋_GB2312" w:eastAsia="仿宋_GB2312" w:hAnsi="Times New Roman"/>
          <w:sz w:val="32"/>
          <w:szCs w:val="32"/>
        </w:rPr>
        <w:t>2000</w:t>
      </w:r>
      <w:r w:rsidRPr="00526F4D">
        <w:rPr>
          <w:rFonts w:ascii="仿宋_GB2312" w:eastAsia="仿宋_GB2312" w:hAnsi="Times New Roman" w:hint="eastAsia"/>
          <w:sz w:val="32"/>
          <w:szCs w:val="32"/>
        </w:rPr>
        <w:t>个就业机会。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F4D">
        <w:rPr>
          <w:rFonts w:ascii="仿宋" w:eastAsia="仿宋" w:hAnsi="仿宋"/>
          <w:sz w:val="32"/>
          <w:szCs w:val="32"/>
        </w:rPr>
        <w:t>2</w:t>
      </w:r>
      <w:r w:rsidR="00646D84">
        <w:rPr>
          <w:rFonts w:ascii="仿宋" w:eastAsia="仿宋" w:hAnsi="仿宋" w:hint="eastAsia"/>
          <w:sz w:val="32"/>
          <w:szCs w:val="32"/>
        </w:rPr>
        <w:t>.</w:t>
      </w:r>
      <w:r w:rsidRPr="00526F4D">
        <w:rPr>
          <w:rFonts w:ascii="仿宋" w:eastAsia="仿宋" w:hAnsi="仿宋" w:hint="eastAsia"/>
          <w:sz w:val="32"/>
          <w:szCs w:val="32"/>
        </w:rPr>
        <w:t>完善城市综合功能，提升周边居民的生活便利度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方案通过对城市土地综合提升改造，优化完善了城市功能。方案规划新增教育用地</w:t>
      </w:r>
      <w:r w:rsidRPr="00526F4D">
        <w:rPr>
          <w:rFonts w:ascii="仿宋_GB2312" w:eastAsia="仿宋_GB2312" w:hAnsi="Times New Roman"/>
          <w:sz w:val="32"/>
          <w:szCs w:val="32"/>
        </w:rPr>
        <w:t>6.8193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公顷，含规划建设</w:t>
      </w:r>
      <w:r w:rsidRPr="00526F4D">
        <w:rPr>
          <w:rFonts w:ascii="仿宋_GB2312" w:eastAsia="仿宋_GB2312" w:hAnsi="Times New Roman"/>
          <w:sz w:val="32"/>
          <w:szCs w:val="32"/>
        </w:rPr>
        <w:t>60</w:t>
      </w:r>
      <w:r w:rsidRPr="00526F4D">
        <w:rPr>
          <w:rFonts w:ascii="仿宋_GB2312" w:eastAsia="仿宋_GB2312" w:hAnsi="Times New Roman" w:hint="eastAsia"/>
          <w:sz w:val="32"/>
          <w:szCs w:val="32"/>
        </w:rPr>
        <w:t>班完中一座，提供约</w:t>
      </w:r>
      <w:r w:rsidRPr="00526F4D">
        <w:rPr>
          <w:rFonts w:ascii="仿宋_GB2312" w:eastAsia="仿宋_GB2312" w:hAnsi="Times New Roman"/>
          <w:sz w:val="32"/>
          <w:szCs w:val="32"/>
        </w:rPr>
        <w:t>3000</w:t>
      </w:r>
      <w:r w:rsidRPr="00526F4D">
        <w:rPr>
          <w:rFonts w:ascii="仿宋_GB2312" w:eastAsia="仿宋_GB2312" w:hAnsi="Times New Roman" w:hint="eastAsia"/>
          <w:sz w:val="32"/>
          <w:szCs w:val="32"/>
        </w:rPr>
        <w:t>个学位，可做应急避灾点，另规划设置幼儿园一所，可满足周边适龄孩子上学需求。通过住宅、商业商务与服务配套设施建设，使区域具备教育、购物、观光、休闲、娱乐等多种功能，满足周边居民就近消费需求，提升生活便利度与满意度，提高居民的人居水平，改善群众的生活条件，促进和谐社会的构建。</w:t>
      </w:r>
    </w:p>
    <w:p w:rsidR="003716E5" w:rsidRPr="00526F4D" w:rsidRDefault="003716E5" w:rsidP="00526F4D">
      <w:pPr>
        <w:pStyle w:val="a4"/>
        <w:spacing w:line="579" w:lineRule="exact"/>
        <w:ind w:left="560" w:firstLineChars="0" w:firstLine="0"/>
        <w:rPr>
          <w:rFonts w:ascii="楷体_GB2312" w:eastAsia="楷体_GB2312" w:hAnsi="Times New Roman"/>
          <w:sz w:val="32"/>
          <w:szCs w:val="32"/>
        </w:rPr>
      </w:pPr>
      <w:r w:rsidRPr="00526F4D">
        <w:rPr>
          <w:rFonts w:ascii="楷体_GB2312" w:eastAsia="楷体_GB2312" w:hAnsi="Times New Roman"/>
          <w:sz w:val="32"/>
          <w:szCs w:val="32"/>
        </w:rPr>
        <w:t xml:space="preserve"> (</w:t>
      </w:r>
      <w:r w:rsidRPr="00526F4D">
        <w:rPr>
          <w:rFonts w:ascii="楷体_GB2312" w:eastAsia="楷体_GB2312" w:hAnsi="Times New Roman" w:hint="eastAsia"/>
          <w:sz w:val="32"/>
          <w:szCs w:val="32"/>
        </w:rPr>
        <w:t>四</w:t>
      </w:r>
      <w:r w:rsidRPr="00526F4D">
        <w:rPr>
          <w:rFonts w:ascii="楷体_GB2312" w:eastAsia="楷体_GB2312" w:hAnsi="Times New Roman"/>
          <w:sz w:val="32"/>
          <w:szCs w:val="32"/>
        </w:rPr>
        <w:t>)</w:t>
      </w:r>
      <w:r w:rsidRPr="00526F4D">
        <w:rPr>
          <w:rFonts w:ascii="楷体_GB2312" w:eastAsia="楷体_GB2312" w:hAnsi="Times New Roman" w:hint="eastAsia"/>
          <w:sz w:val="32"/>
          <w:szCs w:val="32"/>
        </w:rPr>
        <w:t>生态效益</w:t>
      </w:r>
    </w:p>
    <w:p w:rsidR="003716E5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方案地块规划防护绿地</w:t>
      </w:r>
      <w:r w:rsidRPr="00526F4D">
        <w:rPr>
          <w:rFonts w:ascii="仿宋_GB2312" w:eastAsia="仿宋_GB2312" w:hAnsi="Times New Roman"/>
          <w:sz w:val="32"/>
          <w:szCs w:val="32"/>
        </w:rPr>
        <w:t>1.0083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公顷，公园绿地</w:t>
      </w:r>
      <w:r w:rsidRPr="00526F4D">
        <w:rPr>
          <w:rFonts w:ascii="仿宋_GB2312" w:eastAsia="仿宋_GB2312" w:hAnsi="Times New Roman"/>
          <w:sz w:val="32"/>
          <w:szCs w:val="32"/>
        </w:rPr>
        <w:t>1.2455</w:t>
      </w:r>
      <w:r w:rsidRPr="00526F4D">
        <w:rPr>
          <w:rFonts w:ascii="仿宋_GB2312" w:eastAsia="仿宋_GB2312" w:hAnsi="Times New Roman" w:hint="eastAsia"/>
          <w:sz w:val="32"/>
          <w:szCs w:val="32"/>
        </w:rPr>
        <w:t>公顷，有效提升了周边区域的生活品质。在开发建设过程中，坚决杜绝将重金属或者其他有毒有害物质含量超标的工业固体废物、生活垃圾或者污染土壤用于土地复垦。此外，方案深入践行绿色发展理念。在水环境方面：严禁污水直接排入自然水体，保护现有植被，减少水土流失及地面径流，采用雨污分流制，污水集中排入污水处理厂；在声环境方面：居住区执行</w:t>
      </w:r>
      <w:r w:rsidRPr="00526F4D">
        <w:rPr>
          <w:rFonts w:ascii="仿宋_GB2312" w:eastAsia="仿宋_GB2312" w:hAnsi="Times New Roman"/>
          <w:sz w:val="32"/>
          <w:szCs w:val="32"/>
        </w:rPr>
        <w:t>GB3096-2008</w:t>
      </w:r>
      <w:r w:rsidRPr="00526F4D">
        <w:rPr>
          <w:rFonts w:ascii="仿宋_GB2312" w:eastAsia="仿宋_GB2312" w:hAnsi="Times New Roman" w:hint="eastAsia"/>
          <w:sz w:val="32"/>
          <w:szCs w:val="32"/>
        </w:rPr>
        <w:t>《声环境</w:t>
      </w:r>
      <w:r w:rsidRPr="00526F4D">
        <w:rPr>
          <w:rFonts w:ascii="仿宋_GB2312" w:eastAsia="仿宋_GB2312" w:hAnsi="Times New Roman" w:hint="eastAsia"/>
          <w:sz w:val="32"/>
          <w:szCs w:val="32"/>
        </w:rPr>
        <w:lastRenderedPageBreak/>
        <w:t>质量标准》二类标准要求进行管理。</w:t>
      </w:r>
    </w:p>
    <w:p w:rsidR="003716E5" w:rsidRPr="00526F4D" w:rsidRDefault="003716E5" w:rsidP="00AE2869">
      <w:pPr>
        <w:pStyle w:val="a4"/>
        <w:numPr>
          <w:ilvl w:val="0"/>
          <w:numId w:val="1"/>
        </w:numPr>
        <w:spacing w:line="579" w:lineRule="exact"/>
        <w:ind w:firstLineChars="0" w:hanging="721"/>
        <w:rPr>
          <w:rFonts w:ascii="黑体" w:eastAsia="黑体" w:hAnsi="黑体"/>
          <w:sz w:val="32"/>
          <w:szCs w:val="32"/>
        </w:rPr>
      </w:pPr>
      <w:r w:rsidRPr="00526F4D">
        <w:rPr>
          <w:rFonts w:ascii="黑体" w:eastAsia="黑体" w:hAnsi="黑体" w:hint="eastAsia"/>
          <w:sz w:val="32"/>
          <w:szCs w:val="32"/>
        </w:rPr>
        <w:t>结论</w:t>
      </w:r>
    </w:p>
    <w:p w:rsidR="003716E5" w:rsidRPr="00526F4D" w:rsidRDefault="003716E5" w:rsidP="00526F4D">
      <w:pPr>
        <w:spacing w:line="579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26F4D">
        <w:rPr>
          <w:rFonts w:ascii="仿宋_GB2312" w:eastAsia="仿宋_GB2312" w:hAnsi="Times New Roman" w:hint="eastAsia"/>
          <w:sz w:val="32"/>
          <w:szCs w:val="32"/>
        </w:rPr>
        <w:t>本土地征收成片开发方案符合国民经济和社会发展规划、专项规划，在上报系统的城镇开发边界的集中建设区范围内，已纳入国民经济和社会发展年度计划，符合部省规定的标准，做到了保护耕地、维护农民合法权益、节约集约用地、保护生态环境，能够促进经济社会可持续发展。</w:t>
      </w:r>
    </w:p>
    <w:p w:rsidR="003716E5" w:rsidRDefault="003716E5" w:rsidP="00526F4D">
      <w:pPr>
        <w:widowControl/>
        <w:spacing w:line="579" w:lineRule="exact"/>
        <w:jc w:val="left"/>
        <w:rPr>
          <w:rFonts w:ascii="Times New Roman" w:eastAsia="宋体" w:hAnsi="Times New Roman"/>
          <w:sz w:val="28"/>
          <w:szCs w:val="28"/>
        </w:rPr>
        <w:sectPr w:rsidR="003716E5" w:rsidSect="00EF60F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pgNumType w:fmt="decimalFullWidth"/>
          <w:cols w:space="425"/>
          <w:docGrid w:type="lines" w:linePitch="312"/>
        </w:sectPr>
      </w:pPr>
    </w:p>
    <w:p w:rsidR="003716E5" w:rsidRPr="00526F4D" w:rsidRDefault="00B81B62" w:rsidP="00327A3F">
      <w:pPr>
        <w:rPr>
          <w:rFonts w:ascii="仿宋_GB2312" w:eastAsia="仿宋_GB2312" w:hAnsi="Times New Roman"/>
          <w:sz w:val="32"/>
          <w:szCs w:val="32"/>
        </w:rPr>
      </w:pPr>
      <w:r w:rsidRPr="00B81B6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54.3pt;margin-top:25.3pt;width:602pt;height:425.7pt;z-index:1;visibility:visible">
            <v:imagedata r:id="rId12" o:title=""/>
          </v:shape>
        </w:pict>
      </w:r>
      <w:r w:rsidR="003716E5" w:rsidRPr="00526F4D">
        <w:rPr>
          <w:rFonts w:ascii="仿宋_GB2312" w:eastAsia="仿宋_GB2312" w:hAnsi="Times New Roman" w:hint="eastAsia"/>
          <w:sz w:val="32"/>
          <w:szCs w:val="32"/>
        </w:rPr>
        <w:t>附图</w:t>
      </w:r>
      <w:r w:rsidR="003716E5" w:rsidRPr="00526F4D">
        <w:rPr>
          <w:rFonts w:ascii="仿宋_GB2312" w:eastAsia="仿宋_GB2312" w:hAnsi="Times New Roman"/>
          <w:sz w:val="32"/>
          <w:szCs w:val="32"/>
        </w:rPr>
        <w:t>1</w:t>
      </w:r>
      <w:r w:rsidR="003716E5" w:rsidRPr="00526F4D">
        <w:rPr>
          <w:rFonts w:ascii="仿宋_GB2312" w:eastAsia="仿宋_GB2312" w:hAnsi="Times New Roman" w:hint="eastAsia"/>
          <w:sz w:val="32"/>
          <w:szCs w:val="32"/>
        </w:rPr>
        <w:t>：位置示意图</w:t>
      </w:r>
    </w:p>
    <w:p w:rsidR="003716E5" w:rsidRDefault="003716E5" w:rsidP="00875730">
      <w:pPr>
        <w:rPr>
          <w:rFonts w:ascii="Times New Roman" w:eastAsia="宋体" w:hAnsi="Times New Roman"/>
          <w:sz w:val="28"/>
          <w:szCs w:val="28"/>
        </w:rPr>
      </w:pPr>
    </w:p>
    <w:sectPr w:rsidR="003716E5" w:rsidSect="00B86AC2">
      <w:pgSz w:w="16838" w:h="11906" w:orient="landscape"/>
      <w:pgMar w:top="1134" w:right="1134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FD" w:rsidRDefault="007B12FD" w:rsidP="003464A5">
      <w:r>
        <w:separator/>
      </w:r>
    </w:p>
  </w:endnote>
  <w:endnote w:type="continuationSeparator" w:id="1">
    <w:p w:rsidR="007B12FD" w:rsidRDefault="007B12FD" w:rsidP="0034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JQY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E5" w:rsidRPr="00EF60F3" w:rsidRDefault="00EF60F3" w:rsidP="00AE2869">
    <w:pPr>
      <w:pStyle w:val="a7"/>
      <w:ind w:firstLineChars="50" w:firstLine="140"/>
      <w:rPr>
        <w:rFonts w:ascii="仿宋_GB2312" w:eastAsia="仿宋_GB2312" w:hAnsi="宋体" w:cs="宋体"/>
        <w:sz w:val="28"/>
        <w:szCs w:val="28"/>
      </w:rPr>
    </w:pPr>
    <w:r w:rsidRPr="00EF60F3">
      <w:rPr>
        <w:rFonts w:ascii="仿宋_GB2312" w:eastAsia="仿宋_GB2312" w:hAnsi="宋体" w:cs="宋体" w:hint="eastAsia"/>
        <w:sz w:val="28"/>
        <w:szCs w:val="28"/>
      </w:rPr>
      <w:t xml:space="preserve">— </w:t>
    </w:r>
    <w:r w:rsidR="00B81B62" w:rsidRPr="00EF60F3">
      <w:rPr>
        <w:rFonts w:ascii="仿宋_GB2312" w:eastAsia="仿宋_GB2312" w:hint="eastAsia"/>
        <w:sz w:val="28"/>
        <w:szCs w:val="28"/>
      </w:rPr>
      <w:fldChar w:fldCharType="begin"/>
    </w:r>
    <w:r w:rsidRPr="00EF60F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B81B62" w:rsidRPr="00EF60F3">
      <w:rPr>
        <w:rFonts w:ascii="仿宋_GB2312" w:eastAsia="仿宋_GB2312" w:hint="eastAsia"/>
        <w:sz w:val="28"/>
        <w:szCs w:val="28"/>
      </w:rPr>
      <w:fldChar w:fldCharType="separate"/>
    </w:r>
    <w:r w:rsidR="00646D84" w:rsidRPr="00646D84">
      <w:rPr>
        <w:rFonts w:ascii="仿宋_GB2312" w:eastAsia="仿宋_GB2312" w:hAnsi="宋体" w:cs="宋体" w:hint="eastAsia"/>
        <w:noProof/>
        <w:sz w:val="28"/>
        <w:szCs w:val="28"/>
        <w:lang w:val="zh-CN"/>
      </w:rPr>
      <w:t>４</w:t>
    </w:r>
    <w:r w:rsidR="00B81B62" w:rsidRPr="00EF60F3">
      <w:rPr>
        <w:rFonts w:ascii="仿宋_GB2312" w:eastAsia="仿宋_GB2312" w:hint="eastAsia"/>
        <w:sz w:val="28"/>
        <w:szCs w:val="28"/>
      </w:rPr>
      <w:fldChar w:fldCharType="end"/>
    </w:r>
    <w:r w:rsidRPr="00EF60F3">
      <w:rPr>
        <w:rFonts w:ascii="仿宋_GB2312" w:eastAsia="仿宋_GB2312" w:hAnsi="宋体" w:cs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F3" w:rsidRPr="00EF60F3" w:rsidRDefault="00EF60F3" w:rsidP="00EF60F3">
    <w:pPr>
      <w:pStyle w:val="a7"/>
      <w:ind w:firstLineChars="2500" w:firstLine="7000"/>
      <w:rPr>
        <w:rFonts w:ascii="仿宋_GB2312" w:eastAsia="仿宋_GB2312" w:hAnsi="宋体" w:cs="宋体"/>
        <w:sz w:val="28"/>
        <w:szCs w:val="28"/>
      </w:rPr>
    </w:pPr>
    <w:r w:rsidRPr="00EF60F3">
      <w:rPr>
        <w:rFonts w:ascii="仿宋_GB2312" w:eastAsia="仿宋_GB2312" w:hAnsi="宋体" w:cs="宋体" w:hint="eastAsia"/>
        <w:sz w:val="28"/>
        <w:szCs w:val="28"/>
      </w:rPr>
      <w:t xml:space="preserve">—  </w:t>
    </w:r>
    <w:r w:rsidR="00B81B62" w:rsidRPr="00EF60F3">
      <w:rPr>
        <w:rFonts w:ascii="仿宋_GB2312" w:eastAsia="仿宋_GB2312" w:hint="eastAsia"/>
        <w:sz w:val="28"/>
        <w:szCs w:val="28"/>
      </w:rPr>
      <w:fldChar w:fldCharType="begin"/>
    </w:r>
    <w:r w:rsidRPr="00EF60F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B81B62" w:rsidRPr="00EF60F3">
      <w:rPr>
        <w:rFonts w:ascii="仿宋_GB2312" w:eastAsia="仿宋_GB2312" w:hint="eastAsia"/>
        <w:sz w:val="28"/>
        <w:szCs w:val="28"/>
      </w:rPr>
      <w:fldChar w:fldCharType="separate"/>
    </w:r>
    <w:r w:rsidR="00646D84" w:rsidRPr="00646D84">
      <w:rPr>
        <w:rFonts w:ascii="仿宋_GB2312" w:eastAsia="仿宋_GB2312" w:hAnsi="宋体" w:cs="宋体" w:hint="eastAsia"/>
        <w:noProof/>
        <w:sz w:val="28"/>
        <w:szCs w:val="28"/>
        <w:lang w:val="zh-CN"/>
      </w:rPr>
      <w:t>７</w:t>
    </w:r>
    <w:r w:rsidR="00B81B62" w:rsidRPr="00EF60F3">
      <w:rPr>
        <w:rFonts w:ascii="仿宋_GB2312" w:eastAsia="仿宋_GB2312" w:hint="eastAsia"/>
        <w:sz w:val="28"/>
        <w:szCs w:val="28"/>
      </w:rPr>
      <w:fldChar w:fldCharType="end"/>
    </w:r>
    <w:r w:rsidRPr="00EF60F3">
      <w:rPr>
        <w:rFonts w:ascii="仿宋_GB2312" w:eastAsia="仿宋_GB2312" w:hAnsi="宋体" w:cs="宋体" w:hint="eastAsia"/>
        <w:sz w:val="28"/>
        <w:szCs w:val="28"/>
      </w:rPr>
      <w:t xml:space="preserve"> 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FD" w:rsidRDefault="007B12FD" w:rsidP="003464A5">
      <w:r>
        <w:separator/>
      </w:r>
    </w:p>
  </w:footnote>
  <w:footnote w:type="continuationSeparator" w:id="1">
    <w:p w:rsidR="007B12FD" w:rsidRDefault="007B12FD" w:rsidP="00346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F3" w:rsidRDefault="00EF60F3" w:rsidP="00EF60F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F3" w:rsidRDefault="00EF60F3" w:rsidP="00EF60F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CDC"/>
    <w:multiLevelType w:val="hybridMultilevel"/>
    <w:tmpl w:val="E012C3F4"/>
    <w:lvl w:ilvl="0" w:tplc="00E22922">
      <w:start w:val="1"/>
      <w:numFmt w:val="japaneseCounting"/>
      <w:lvlText w:val="%1、"/>
      <w:lvlJc w:val="left"/>
      <w:pPr>
        <w:ind w:left="1430" w:hanging="720"/>
      </w:pPr>
      <w:rPr>
        <w:rFonts w:cs="Times New Roman" w:hint="default"/>
        <w:kern w:val="0"/>
      </w:rPr>
    </w:lvl>
    <w:lvl w:ilvl="1" w:tplc="04090017">
      <w:start w:val="1"/>
      <w:numFmt w:val="chineseCountingThousand"/>
      <w:lvlText w:val="(%2)"/>
      <w:lvlJc w:val="left"/>
      <w:pPr>
        <w:ind w:left="1245" w:hanging="8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B335D8A"/>
    <w:multiLevelType w:val="hybridMultilevel"/>
    <w:tmpl w:val="B4582D9A"/>
    <w:lvl w:ilvl="0" w:tplc="B37633F2">
      <w:start w:val="1"/>
      <w:numFmt w:val="japaneseCounting"/>
      <w:lvlText w:val="(%1)"/>
      <w:lvlJc w:val="left"/>
      <w:pPr>
        <w:ind w:left="1265" w:hanging="705"/>
      </w:pPr>
      <w:rPr>
        <w:rFonts w:cs="Times New Roman" w:hint="default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FE"/>
    <w:rsid w:val="0001728A"/>
    <w:rsid w:val="00021F44"/>
    <w:rsid w:val="00025259"/>
    <w:rsid w:val="00076886"/>
    <w:rsid w:val="00086D4B"/>
    <w:rsid w:val="000A74F1"/>
    <w:rsid w:val="000C30AE"/>
    <w:rsid w:val="000C4748"/>
    <w:rsid w:val="000D6770"/>
    <w:rsid w:val="000F4133"/>
    <w:rsid w:val="0011232E"/>
    <w:rsid w:val="001140E1"/>
    <w:rsid w:val="00116803"/>
    <w:rsid w:val="00116AF4"/>
    <w:rsid w:val="0012154C"/>
    <w:rsid w:val="00140C28"/>
    <w:rsid w:val="00164835"/>
    <w:rsid w:val="00164B85"/>
    <w:rsid w:val="001B15D6"/>
    <w:rsid w:val="001C205A"/>
    <w:rsid w:val="001E2A49"/>
    <w:rsid w:val="001E2E4D"/>
    <w:rsid w:val="001E574F"/>
    <w:rsid w:val="001E6DDF"/>
    <w:rsid w:val="001F092D"/>
    <w:rsid w:val="001F1B09"/>
    <w:rsid w:val="00261C3F"/>
    <w:rsid w:val="00271ADB"/>
    <w:rsid w:val="002734B4"/>
    <w:rsid w:val="002779AC"/>
    <w:rsid w:val="00280D77"/>
    <w:rsid w:val="00290AF7"/>
    <w:rsid w:val="002B60DE"/>
    <w:rsid w:val="002B6B3E"/>
    <w:rsid w:val="002C1388"/>
    <w:rsid w:val="002C5257"/>
    <w:rsid w:val="002E3F15"/>
    <w:rsid w:val="00302FD5"/>
    <w:rsid w:val="00314052"/>
    <w:rsid w:val="00325C10"/>
    <w:rsid w:val="00327A3F"/>
    <w:rsid w:val="0034032A"/>
    <w:rsid w:val="003464A5"/>
    <w:rsid w:val="003716E5"/>
    <w:rsid w:val="003A2795"/>
    <w:rsid w:val="003B0916"/>
    <w:rsid w:val="003D2E9F"/>
    <w:rsid w:val="003D5A78"/>
    <w:rsid w:val="003F67A8"/>
    <w:rsid w:val="00427F35"/>
    <w:rsid w:val="00434B4F"/>
    <w:rsid w:val="004411AB"/>
    <w:rsid w:val="00477D99"/>
    <w:rsid w:val="004A6E72"/>
    <w:rsid w:val="004B07AF"/>
    <w:rsid w:val="004C291E"/>
    <w:rsid w:val="004D6CF5"/>
    <w:rsid w:val="005038B1"/>
    <w:rsid w:val="00526F4D"/>
    <w:rsid w:val="00540FB6"/>
    <w:rsid w:val="0057133C"/>
    <w:rsid w:val="00585D5D"/>
    <w:rsid w:val="005A3D51"/>
    <w:rsid w:val="005E171A"/>
    <w:rsid w:val="005E2963"/>
    <w:rsid w:val="00646D84"/>
    <w:rsid w:val="00686E0A"/>
    <w:rsid w:val="006B0DF4"/>
    <w:rsid w:val="006C6BD9"/>
    <w:rsid w:val="006F7C60"/>
    <w:rsid w:val="007243CB"/>
    <w:rsid w:val="00732CD5"/>
    <w:rsid w:val="00786CC0"/>
    <w:rsid w:val="00790A17"/>
    <w:rsid w:val="007B12FD"/>
    <w:rsid w:val="007C3811"/>
    <w:rsid w:val="007D2320"/>
    <w:rsid w:val="007F6083"/>
    <w:rsid w:val="007F7796"/>
    <w:rsid w:val="00830B29"/>
    <w:rsid w:val="00874806"/>
    <w:rsid w:val="00875730"/>
    <w:rsid w:val="008825F9"/>
    <w:rsid w:val="00937053"/>
    <w:rsid w:val="00953B40"/>
    <w:rsid w:val="00974BB6"/>
    <w:rsid w:val="00991CEB"/>
    <w:rsid w:val="009A4AA9"/>
    <w:rsid w:val="009B4336"/>
    <w:rsid w:val="009C4C63"/>
    <w:rsid w:val="009D4F8C"/>
    <w:rsid w:val="009E1B0F"/>
    <w:rsid w:val="00A620F5"/>
    <w:rsid w:val="00A709E7"/>
    <w:rsid w:val="00AD06BA"/>
    <w:rsid w:val="00AE2869"/>
    <w:rsid w:val="00AF77D0"/>
    <w:rsid w:val="00B17A04"/>
    <w:rsid w:val="00B2715D"/>
    <w:rsid w:val="00B56E4A"/>
    <w:rsid w:val="00B701BC"/>
    <w:rsid w:val="00B81B62"/>
    <w:rsid w:val="00B86AC2"/>
    <w:rsid w:val="00B93A17"/>
    <w:rsid w:val="00BA3CEF"/>
    <w:rsid w:val="00BB4A90"/>
    <w:rsid w:val="00BC62CE"/>
    <w:rsid w:val="00BD3937"/>
    <w:rsid w:val="00BE669C"/>
    <w:rsid w:val="00C01D02"/>
    <w:rsid w:val="00CB457A"/>
    <w:rsid w:val="00D104B1"/>
    <w:rsid w:val="00D12040"/>
    <w:rsid w:val="00D1518C"/>
    <w:rsid w:val="00D35701"/>
    <w:rsid w:val="00D567ED"/>
    <w:rsid w:val="00D86A6B"/>
    <w:rsid w:val="00D94EFE"/>
    <w:rsid w:val="00DD346F"/>
    <w:rsid w:val="00E70AD3"/>
    <w:rsid w:val="00E8049A"/>
    <w:rsid w:val="00EA3B62"/>
    <w:rsid w:val="00EC3CF2"/>
    <w:rsid w:val="00ED1E00"/>
    <w:rsid w:val="00EE6354"/>
    <w:rsid w:val="00EF60F3"/>
    <w:rsid w:val="00F2614A"/>
    <w:rsid w:val="00F54419"/>
    <w:rsid w:val="00F60B5B"/>
    <w:rsid w:val="00F82CBB"/>
    <w:rsid w:val="00FD4BA1"/>
    <w:rsid w:val="00F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C20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C205A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1C205A"/>
    <w:pPr>
      <w:ind w:firstLineChars="200" w:firstLine="420"/>
    </w:pPr>
  </w:style>
  <w:style w:type="paragraph" w:styleId="a5">
    <w:name w:val="Document Map"/>
    <w:basedOn w:val="a"/>
    <w:link w:val="Char0"/>
    <w:uiPriority w:val="99"/>
    <w:semiHidden/>
    <w:rsid w:val="000C30A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locked/>
    <w:rsid w:val="000C30AE"/>
    <w:rPr>
      <w:rFonts w:ascii="宋体" w:eastAsia="宋体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34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3464A5"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EF60F3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EF60F3"/>
    <w:rPr>
      <w:sz w:val="18"/>
      <w:szCs w:val="18"/>
    </w:rPr>
  </w:style>
  <w:style w:type="table" w:styleId="a8">
    <w:name w:val="Table Grid"/>
    <w:basedOn w:val="a1"/>
    <w:uiPriority w:val="99"/>
    <w:rsid w:val="00280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252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4F9475-ADE2-46B1-9B07-58A9C560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8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118</cp:revision>
  <dcterms:created xsi:type="dcterms:W3CDTF">2021-03-04T01:09:00Z</dcterms:created>
  <dcterms:modified xsi:type="dcterms:W3CDTF">2022-11-21T03:56:00Z</dcterms:modified>
</cp:coreProperties>
</file>