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DB865">
      <w:pPr>
        <w:overflowPunct w:val="0"/>
        <w:spacing w:line="579" w:lineRule="exact"/>
        <w:jc w:val="left"/>
        <w:rPr>
          <w:rFonts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w:t>
      </w:r>
    </w:p>
    <w:p w14:paraId="754B979B">
      <w:pPr>
        <w:overflowPunct w:val="0"/>
        <w:spacing w:line="579" w:lineRule="exact"/>
        <w:jc w:val="center"/>
        <w:rPr>
          <w:rFonts w:ascii="方正小标宋简体" w:eastAsia="方正小标宋简体"/>
          <w:color w:val="000000" w:themeColor="text1"/>
          <w:sz w:val="44"/>
          <w:szCs w:val="44"/>
          <w14:textFill>
            <w14:solidFill>
              <w14:schemeClr w14:val="tx1"/>
            </w14:solidFill>
          </w14:textFill>
        </w:rPr>
      </w:pPr>
    </w:p>
    <w:p w14:paraId="33E186CF">
      <w:pPr>
        <w:overflowPunct w:val="0"/>
        <w:spacing w:line="579"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华润雪花啤酒（中国）有限公司福建分公司</w:t>
      </w:r>
    </w:p>
    <w:p w14:paraId="6DFD8B76">
      <w:pPr>
        <w:overflowPunct w:val="0"/>
        <w:spacing w:line="579" w:lineRule="exact"/>
        <w:jc w:val="center"/>
        <w:rPr>
          <w:rStyle w:val="10"/>
          <w:rFonts w:ascii="方正小标宋简体" w:eastAsia="方正小标宋简体"/>
          <w:color w:val="000000" w:themeColor="text1"/>
          <w:sz w:val="44"/>
          <w:szCs w:val="44"/>
          <w14:textFill>
            <w14:solidFill>
              <w14:schemeClr w14:val="tx1"/>
            </w14:solidFill>
          </w14:textFill>
        </w:rPr>
      </w:pPr>
      <w:r>
        <w:rPr>
          <w:rStyle w:val="10"/>
          <w:rFonts w:hint="eastAsia" w:eastAsia="方正小标宋简体"/>
          <w:color w:val="000000" w:themeColor="text1"/>
          <w:sz w:val="44"/>
          <w:szCs w:val="44"/>
          <w14:textFill>
            <w14:solidFill>
              <w14:schemeClr w14:val="tx1"/>
            </w14:solidFill>
          </w14:textFill>
        </w:rPr>
        <w:t>房屋</w:t>
      </w:r>
      <w:r>
        <w:rPr>
          <w:rFonts w:hint="eastAsia" w:ascii="方正小标宋简体" w:eastAsia="方正小标宋简体"/>
          <w:color w:val="000000" w:themeColor="text1"/>
          <w:sz w:val="44"/>
          <w:szCs w:val="44"/>
          <w14:textFill>
            <w14:solidFill>
              <w14:schemeClr w14:val="tx1"/>
            </w14:solidFill>
          </w14:textFill>
        </w:rPr>
        <w:t>征收项目</w:t>
      </w:r>
      <w:r>
        <w:rPr>
          <w:rStyle w:val="10"/>
          <w:rFonts w:hint="eastAsia" w:eastAsia="方正小标宋简体"/>
          <w:color w:val="000000" w:themeColor="text1"/>
          <w:sz w:val="44"/>
          <w:szCs w:val="44"/>
          <w14:textFill>
            <w14:solidFill>
              <w14:schemeClr w14:val="tx1"/>
            </w14:solidFill>
          </w14:textFill>
        </w:rPr>
        <w:t>征收补偿安置实施方案</w:t>
      </w:r>
    </w:p>
    <w:p w14:paraId="43B7FC19">
      <w:pPr>
        <w:overflowPunct w:val="0"/>
        <w:spacing w:line="579" w:lineRule="exact"/>
        <w:rPr>
          <w:rStyle w:val="10"/>
          <w:rFonts w:eastAsia="仿宋_GB2312"/>
          <w:color w:val="000000" w:themeColor="text1"/>
          <w:sz w:val="32"/>
          <w:szCs w:val="32"/>
          <w14:textFill>
            <w14:solidFill>
              <w14:schemeClr w14:val="tx1"/>
            </w14:solidFill>
          </w14:textFill>
        </w:rPr>
      </w:pPr>
    </w:p>
    <w:p w14:paraId="044F1869">
      <w:pPr>
        <w:overflowPunct w:val="0"/>
        <w:spacing w:line="579" w:lineRule="exact"/>
        <w:ind w:firstLine="630"/>
        <w:rPr>
          <w:rStyle w:val="10"/>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w:t>
      </w:r>
      <w:r>
        <w:rPr>
          <w:rStyle w:val="10"/>
          <w:rFonts w:hint="eastAsia" w:ascii="仿宋_GB2312" w:hAnsi="仿宋_GB2312" w:eastAsia="仿宋_GB2312" w:cs="仿宋_GB2312"/>
          <w:color w:val="000000" w:themeColor="text1"/>
          <w:sz w:val="32"/>
          <w:szCs w:val="32"/>
          <w14:textFill>
            <w14:solidFill>
              <w14:schemeClr w14:val="tx1"/>
            </w14:solidFill>
          </w14:textFill>
        </w:rPr>
        <w:t>积极稳妥推进房屋征收补偿安置工作，保障被征收房屋所有权人的合法权益</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0"/>
          <w:rFonts w:hint="eastAsia" w:ascii="仿宋_GB2312" w:hAnsi="仿宋_GB2312" w:eastAsia="仿宋_GB2312" w:cs="仿宋_GB2312"/>
          <w:color w:val="000000" w:themeColor="text1"/>
          <w:sz w:val="32"/>
          <w:szCs w:val="32"/>
          <w14:textFill>
            <w14:solidFill>
              <w14:schemeClr w14:val="tx1"/>
            </w14:solidFill>
          </w14:textFill>
        </w:rPr>
        <w:t>根据《国有土地上房屋征收与补偿条例》（国务院令第590号）、《福建省实施&lt;国有土地上房屋征收与补偿条例&gt;办法》（福建省人民政府令第138号）、《泉州市国有土地上房屋征收与补偿规定》（泉政规〔2024〕6号）等相关法律、法规及配套政策，结合本区域实际情况，制定本实施方案。</w:t>
      </w:r>
    </w:p>
    <w:p w14:paraId="69683900">
      <w:pPr>
        <w:overflowPunct w:val="0"/>
        <w:spacing w:line="579" w:lineRule="exact"/>
        <w:ind w:firstLine="627" w:firstLineChars="196"/>
        <w:rPr>
          <w:rStyle w:val="10"/>
          <w:rFonts w:ascii="黑体" w:hAnsi="黑体" w:eastAsia="黑体"/>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一、</w:t>
      </w:r>
      <w:r>
        <w:rPr>
          <w:rStyle w:val="10"/>
          <w:rFonts w:hint="eastAsia" w:ascii="黑体" w:hAnsi="黑体" w:eastAsia="黑体"/>
          <w:color w:val="000000" w:themeColor="text1"/>
          <w:sz w:val="32"/>
          <w:szCs w:val="32"/>
          <w14:textFill>
            <w14:solidFill>
              <w14:schemeClr w14:val="tx1"/>
            </w14:solidFill>
          </w14:textFill>
        </w:rPr>
        <w:t>征收补偿对象及补偿方式</w:t>
      </w:r>
    </w:p>
    <w:p w14:paraId="5E5FB26E">
      <w:pPr>
        <w:overflowPunct w:val="0"/>
        <w:spacing w:line="579" w:lineRule="exact"/>
        <w:ind w:firstLine="643" w:firstLineChars="200"/>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b/>
          <w:bCs/>
          <w:color w:val="000000" w:themeColor="text1"/>
          <w:sz w:val="32"/>
          <w:szCs w:val="32"/>
          <w14:textFill>
            <w14:solidFill>
              <w14:schemeClr w14:val="tx1"/>
            </w14:solidFill>
          </w14:textFill>
        </w:rPr>
        <w:t>1.征收范围：</w:t>
      </w:r>
      <w:r>
        <w:rPr>
          <w:rStyle w:val="10"/>
          <w:rFonts w:hint="eastAsia" w:ascii="仿宋_GB2312" w:hAnsi="仿宋_GB2312" w:eastAsia="仿宋_GB2312" w:cs="仿宋_GB2312"/>
          <w:color w:val="000000" w:themeColor="text1"/>
          <w:sz w:val="32"/>
          <w:szCs w:val="32"/>
          <w14:textFill>
            <w14:solidFill>
              <w14:schemeClr w14:val="tx1"/>
            </w14:solidFill>
          </w14:textFill>
        </w:rPr>
        <w:t>东至啤酒公司东墙，西至霞新路，南至东星社区刘墩交界处，北至霞新路，征收面积约129.628亩。详见《泉州市丰泽区人民政府关于确定华润雪花啤酒（中国）有限公司福建分公司征收范围的通告》(泉丰政综〔2025〕85号)。</w:t>
      </w:r>
    </w:p>
    <w:p w14:paraId="184D025A">
      <w:pPr>
        <w:tabs>
          <w:tab w:val="left" w:pos="4252"/>
          <w:tab w:val="center" w:leader="middleDot" w:pos="8504"/>
        </w:tabs>
        <w:overflowPunct w:val="0"/>
        <w:spacing w:line="579" w:lineRule="exact"/>
        <w:ind w:firstLine="643" w:firstLineChars="200"/>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b/>
          <w:bCs/>
          <w:color w:val="000000" w:themeColor="text1"/>
          <w:sz w:val="32"/>
          <w:szCs w:val="32"/>
          <w14:textFill>
            <w14:solidFill>
              <w14:schemeClr w14:val="tx1"/>
            </w14:solidFill>
          </w14:textFill>
        </w:rPr>
        <w:t>2.征收补偿对象：</w:t>
      </w:r>
      <w:r>
        <w:rPr>
          <w:rStyle w:val="10"/>
          <w:rFonts w:hint="eastAsia" w:ascii="仿宋_GB2312" w:hAnsi="仿宋_GB2312" w:eastAsia="仿宋_GB2312" w:cs="仿宋_GB2312"/>
          <w:color w:val="000000" w:themeColor="text1"/>
          <w:sz w:val="32"/>
          <w:szCs w:val="32"/>
          <w14:textFill>
            <w14:solidFill>
              <w14:schemeClr w14:val="tx1"/>
            </w14:solidFill>
          </w14:textFill>
        </w:rPr>
        <w:t>凡在本征收范围内被征收房屋的所有权人为被征收人。房屋征收部门应与被征收人签订征收补偿安置协议。</w:t>
      </w:r>
    </w:p>
    <w:p w14:paraId="5D5FE8BF">
      <w:pPr>
        <w:tabs>
          <w:tab w:val="center" w:pos="4252"/>
          <w:tab w:val="right" w:pos="8504"/>
        </w:tabs>
        <w:overflowPunct w:val="0"/>
        <w:spacing w:line="579"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b/>
          <w:bCs/>
          <w:color w:val="000000" w:themeColor="text1"/>
          <w:sz w:val="32"/>
          <w:szCs w:val="32"/>
          <w14:textFill>
            <w14:solidFill>
              <w14:schemeClr w14:val="tx1"/>
            </w14:solidFill>
          </w14:textFill>
        </w:rPr>
        <w:t>3.补偿方式：</w:t>
      </w:r>
      <w:r>
        <w:rPr>
          <w:rFonts w:hint="eastAsia" w:ascii="仿宋_GB2312" w:hAnsi="仿宋_GB2312" w:eastAsia="仿宋_GB2312" w:cs="仿宋_GB2312"/>
          <w:color w:val="000000" w:themeColor="text1"/>
          <w:sz w:val="32"/>
          <w:szCs w:val="32"/>
          <w14:textFill>
            <w14:solidFill>
              <w14:schemeClr w14:val="tx1"/>
            </w14:solidFill>
          </w14:textFill>
        </w:rPr>
        <w:t>实行货币补偿。</w:t>
      </w:r>
    </w:p>
    <w:p w14:paraId="4370CE1D">
      <w:pPr>
        <w:tabs>
          <w:tab w:val="left" w:pos="4252"/>
          <w:tab w:val="center" w:leader="middleDot" w:pos="8504"/>
        </w:tabs>
        <w:overflowPunct w:val="0"/>
        <w:spacing w:line="579" w:lineRule="exact"/>
        <w:ind w:firstLine="643" w:firstLineChars="200"/>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b/>
          <w:bCs/>
          <w:color w:val="000000" w:themeColor="text1"/>
          <w:sz w:val="32"/>
          <w:szCs w:val="32"/>
          <w14:textFill>
            <w14:solidFill>
              <w14:schemeClr w14:val="tx1"/>
            </w14:solidFill>
          </w14:textFill>
        </w:rPr>
        <w:t>4.性质、用途认定依据：</w:t>
      </w:r>
      <w:r>
        <w:rPr>
          <w:rStyle w:val="10"/>
          <w:rFonts w:hint="eastAsia" w:ascii="仿宋_GB2312" w:hAnsi="仿宋_GB2312" w:eastAsia="仿宋_GB2312" w:cs="仿宋_GB2312"/>
          <w:color w:val="000000" w:themeColor="text1"/>
          <w:sz w:val="32"/>
          <w:szCs w:val="32"/>
          <w14:textFill>
            <w14:solidFill>
              <w14:schemeClr w14:val="tx1"/>
            </w14:solidFill>
          </w14:textFill>
        </w:rPr>
        <w:t>以《土地使用证》《房屋所有权证》登记的用途或规划、土地管理等部门颁发的合法有效文件为依据。</w:t>
      </w:r>
    </w:p>
    <w:p w14:paraId="59A0097F">
      <w:pPr>
        <w:overflowPunct w:val="0"/>
        <w:spacing w:line="579" w:lineRule="exact"/>
        <w:ind w:firstLine="627" w:firstLineChars="196"/>
        <w:rPr>
          <w:rStyle w:val="10"/>
          <w:rFonts w:ascii="黑体" w:hAnsi="黑体" w:eastAsia="黑体" w:cs="楷体"/>
          <w:bCs/>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二、征收组织实施机构</w:t>
      </w:r>
    </w:p>
    <w:p w14:paraId="6B993A9B">
      <w:pPr>
        <w:overflowPunct w:val="0"/>
        <w:spacing w:line="579" w:lineRule="exact"/>
        <w:ind w:firstLine="643" w:firstLineChars="200"/>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b/>
          <w:bCs/>
          <w:color w:val="000000" w:themeColor="text1"/>
          <w:sz w:val="32"/>
          <w:szCs w:val="32"/>
          <w14:textFill>
            <w14:solidFill>
              <w14:schemeClr w14:val="tx1"/>
            </w14:solidFill>
          </w14:textFill>
        </w:rPr>
        <w:t>1.房屋征收部门：</w:t>
      </w:r>
      <w:r>
        <w:rPr>
          <w:rStyle w:val="10"/>
          <w:rFonts w:hint="eastAsia" w:ascii="仿宋_GB2312" w:hAnsi="仿宋_GB2312" w:eastAsia="仿宋_GB2312" w:cs="仿宋_GB2312"/>
          <w:color w:val="000000" w:themeColor="text1"/>
          <w:sz w:val="32"/>
          <w:szCs w:val="32"/>
          <w14:textFill>
            <w14:solidFill>
              <w14:schemeClr w14:val="tx1"/>
            </w14:solidFill>
          </w14:textFill>
        </w:rPr>
        <w:t>泉州市丰泽区住房和城乡建设局。</w:t>
      </w:r>
    </w:p>
    <w:p w14:paraId="706A349B">
      <w:pPr>
        <w:overflowPunct w:val="0"/>
        <w:spacing w:line="579" w:lineRule="exact"/>
        <w:ind w:firstLine="630" w:firstLineChars="196"/>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b/>
          <w:bCs/>
          <w:color w:val="000000" w:themeColor="text1"/>
          <w:sz w:val="32"/>
          <w:szCs w:val="32"/>
          <w14:textFill>
            <w14:solidFill>
              <w14:schemeClr w14:val="tx1"/>
            </w14:solidFill>
          </w14:textFill>
        </w:rPr>
        <w:t>2.征收实施单位：</w:t>
      </w:r>
      <w:r>
        <w:rPr>
          <w:rStyle w:val="10"/>
          <w:rFonts w:hint="eastAsia" w:ascii="仿宋_GB2312" w:hAnsi="仿宋_GB2312" w:eastAsia="仿宋_GB2312" w:cs="仿宋_GB2312"/>
          <w:color w:val="000000" w:themeColor="text1"/>
          <w:sz w:val="32"/>
          <w:szCs w:val="32"/>
          <w14:textFill>
            <w14:solidFill>
              <w14:schemeClr w14:val="tx1"/>
            </w14:solidFill>
          </w14:textFill>
        </w:rPr>
        <w:t>按属地原则，委托项目所在地泉州市丰泽区人民政府城东街道办事处为征收实施单位，承担房屋征收与补偿的具体工作。</w:t>
      </w:r>
    </w:p>
    <w:p w14:paraId="35711885">
      <w:pPr>
        <w:overflowPunct w:val="0"/>
        <w:spacing w:line="579" w:lineRule="exact"/>
        <w:ind w:firstLine="627" w:firstLineChars="196"/>
        <w:rPr>
          <w:rStyle w:val="10"/>
          <w:rFonts w:ascii="黑体" w:hAnsi="黑体" w:eastAsia="黑体" w:cs="楷体"/>
          <w:bCs/>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三、签约期限</w:t>
      </w:r>
    </w:p>
    <w:p w14:paraId="4EC663AF">
      <w:pPr>
        <w:overflowPunct w:val="0"/>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以泉州市丰泽区人民政府发布的征收决定公告规定的时间为准。</w:t>
      </w:r>
    </w:p>
    <w:p w14:paraId="2BEB0159">
      <w:pPr>
        <w:overflowPunct w:val="0"/>
        <w:spacing w:line="579" w:lineRule="exact"/>
        <w:ind w:firstLine="627" w:firstLineChars="196"/>
        <w:rPr>
          <w:rStyle w:val="10"/>
          <w:rFonts w:ascii="黑体" w:hAnsi="黑体" w:eastAsia="黑体" w:cs="楷体"/>
          <w:bCs/>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四、补偿标准</w:t>
      </w:r>
    </w:p>
    <w:p w14:paraId="719F85D3">
      <w:pPr>
        <w:overflowPunct w:val="0"/>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被征收房屋在泉州市丰泽区人民政府发布关于确定华润雪花啤酒（中国）有限公司福建分公司征收范围的通告前已是空置未使用及基本腾空状态。房屋征收的货币补偿包括被征收房屋（不含土地使用权）的补偿、土地使用权补偿和地上附属物补偿等。</w:t>
      </w:r>
    </w:p>
    <w:p w14:paraId="0FDDEF55">
      <w:pPr>
        <w:overflowPunct w:val="0"/>
        <w:spacing w:line="579" w:lineRule="exact"/>
        <w:ind w:firstLine="640" w:firstLineChars="200"/>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被征收房屋、国有土地使用权、地上物的价值由依法选定的价格评估机构进行评估，评估结果作为补偿依据</w:t>
      </w:r>
      <w:r>
        <w:rPr>
          <w:rFonts w:hint="eastAsia" w:ascii="仿宋_GB2312" w:hAnsi="仿宋_GB2312" w:eastAsia="仿宋_GB2312" w:cs="仿宋_GB2312"/>
          <w:color w:val="000000" w:themeColor="text1"/>
          <w:sz w:val="32"/>
          <w:szCs w:val="32"/>
          <w14:textFill>
            <w14:solidFill>
              <w14:schemeClr w14:val="tx1"/>
            </w14:solidFill>
          </w14:textFill>
        </w:rPr>
        <w:t>。</w:t>
      </w:r>
    </w:p>
    <w:p w14:paraId="50335723">
      <w:pPr>
        <w:overflowPunct w:val="0"/>
        <w:spacing w:line="579" w:lineRule="exact"/>
        <w:ind w:firstLine="640" w:firstLineChars="200"/>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被征收人或者房屋征收部门对评估价值有异议的，可以自收到评估报告之日起10日内向原价格评估机构申请复核。对复核结果仍有异议的，可以自收到复核结果10日内向市房地产价格评估专家委员会申请鉴定。</w:t>
      </w:r>
    </w:p>
    <w:p w14:paraId="5CA2A996">
      <w:pPr>
        <w:overflowPunct w:val="0"/>
        <w:spacing w:line="579" w:lineRule="exact"/>
        <w:ind w:firstLine="627" w:firstLineChars="196"/>
        <w:rPr>
          <w:rStyle w:val="10"/>
          <w:rFonts w:ascii="黑体" w:hAnsi="黑体" w:eastAsia="黑体" w:cs="楷体"/>
          <w:bCs/>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五、货币补偿安置结算办法</w:t>
      </w:r>
    </w:p>
    <w:p w14:paraId="6750D175">
      <w:pPr>
        <w:overflowPunct w:val="0"/>
        <w:spacing w:line="579" w:lineRule="exact"/>
        <w:ind w:firstLine="652" w:firstLineChars="204"/>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货币补偿款自被征收人签订补偿协议并按规定的时间移交经腾空验收的房屋、土地及地上物后一次性发放。</w:t>
      </w:r>
    </w:p>
    <w:p w14:paraId="228059E9">
      <w:pPr>
        <w:overflowPunct w:val="0"/>
        <w:spacing w:line="579" w:lineRule="exact"/>
        <w:ind w:firstLine="627" w:firstLineChars="196"/>
        <w:rPr>
          <w:rStyle w:val="10"/>
          <w:rFonts w:ascii="黑体" w:hAnsi="黑体" w:eastAsia="黑体" w:cs="楷体"/>
          <w:bCs/>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六、补偿决定</w:t>
      </w:r>
    </w:p>
    <w:p w14:paraId="31060268">
      <w:pPr>
        <w:overflowPunct w:val="0"/>
        <w:spacing w:line="579"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房屋征收部门与被征收人在规定的签约期限达不成协议的，或被征收房屋所有权人不明确的，由房屋征收部门报请作出房屋征收决定的泉州市丰泽区人民政府作出补偿决定，并在房屋征收范围内予以公告。</w:t>
      </w:r>
    </w:p>
    <w:p w14:paraId="4E97238D">
      <w:pPr>
        <w:overflowPunct w:val="0"/>
        <w:spacing w:line="579"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被征收人对补偿决定不服的，可以依法申请行政复议，也可以依法提起行政诉讼。被征收人在法定期限内不申请行政复议或者不提起行政诉讼，在补偿决定规定的期限内又不搬迁的，由作出房屋征收决定的丰泽区人民政府依法申请人民法院强制执行。</w:t>
      </w:r>
    </w:p>
    <w:p w14:paraId="173BB4E9">
      <w:pPr>
        <w:overflowPunct w:val="0"/>
        <w:spacing w:line="579" w:lineRule="exact"/>
        <w:ind w:firstLine="627" w:firstLineChars="196"/>
        <w:rPr>
          <w:rStyle w:val="10"/>
          <w:rFonts w:ascii="黑体" w:hAnsi="黑体" w:eastAsia="黑体" w:cs="楷体"/>
          <w:bCs/>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七、适用范围</w:t>
      </w:r>
    </w:p>
    <w:p w14:paraId="68981C91">
      <w:pPr>
        <w:overflowPunct w:val="0"/>
        <w:spacing w:line="579"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本方案自征收决定公告发布之日起实施，未尽事宜按相关法律、法规的规定执行。</w:t>
      </w:r>
    </w:p>
    <w:p w14:paraId="2E8CE348">
      <w:pPr>
        <w:overflowPunct w:val="0"/>
        <w:spacing w:line="579"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本方案只适用华润雪花啤酒（中国）有限公司福建分公司房屋征收补偿安置，不作为其它项目征收补偿安置的依据。</w:t>
      </w:r>
    </w:p>
    <w:p w14:paraId="6DF81D9E">
      <w:pPr>
        <w:overflowPunct w:val="0"/>
        <w:spacing w:line="579"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鉴于片区房屋征收工作的延续性、可操作性，本方案与原城东开发建设指挥部以往片区房屋征收惯例不一致的，由丰泽区城东片区拆迁工作指挥部研究确定。</w:t>
      </w:r>
    </w:p>
    <w:p w14:paraId="629515C8">
      <w:pPr>
        <w:overflowPunct w:val="0"/>
        <w:spacing w:line="579" w:lineRule="exact"/>
        <w:ind w:firstLine="627" w:firstLineChars="196"/>
        <w:rPr>
          <w:rStyle w:val="10"/>
          <w:rFonts w:ascii="黑体" w:hAnsi="黑体" w:eastAsia="黑体" w:cs="楷体"/>
          <w:bCs/>
          <w:color w:val="000000" w:themeColor="text1"/>
          <w:sz w:val="32"/>
          <w:szCs w:val="32"/>
          <w14:textFill>
            <w14:solidFill>
              <w14:schemeClr w14:val="tx1"/>
            </w14:solidFill>
          </w14:textFill>
        </w:rPr>
      </w:pPr>
      <w:r>
        <w:rPr>
          <w:rStyle w:val="10"/>
          <w:rFonts w:hint="eastAsia" w:ascii="黑体" w:hAnsi="黑体" w:eastAsia="黑体" w:cs="楷体"/>
          <w:bCs/>
          <w:color w:val="000000" w:themeColor="text1"/>
          <w:sz w:val="32"/>
          <w:szCs w:val="32"/>
          <w14:textFill>
            <w14:solidFill>
              <w14:schemeClr w14:val="tx1"/>
            </w14:solidFill>
          </w14:textFill>
        </w:rPr>
        <w:t>八、本方案解释权归丰泽区住房和城乡建设局</w:t>
      </w:r>
    </w:p>
    <w:p w14:paraId="0C717C57">
      <w:pPr>
        <w:spacing w:line="560" w:lineRule="exact"/>
        <w:ind w:firstLine="422" w:firstLineChars="200"/>
        <w:rPr>
          <w:rFonts w:ascii="楷体" w:hAnsi="楷体" w:eastAsia="楷体" w:cs="楷体"/>
          <w:b/>
          <w:bCs/>
          <w:color w:val="000000" w:themeColor="text1"/>
          <w14:textFill>
            <w14:solidFill>
              <w14:schemeClr w14:val="tx1"/>
            </w14:solidFill>
          </w14:textFill>
        </w:rPr>
      </w:pPr>
    </w:p>
    <w:p w14:paraId="7FC2A8F7">
      <w:pPr>
        <w:pStyle w:val="2"/>
        <w:rPr>
          <w:rFonts w:ascii="楷体" w:hAnsi="楷体" w:eastAsia="楷体" w:cs="楷体"/>
          <w:b/>
          <w:bCs/>
          <w:color w:val="000000" w:themeColor="text1"/>
          <w14:textFill>
            <w14:solidFill>
              <w14:schemeClr w14:val="tx1"/>
            </w14:solidFill>
          </w14:textFill>
        </w:rPr>
      </w:pPr>
    </w:p>
    <w:p w14:paraId="3BDCB7D9">
      <w:pPr>
        <w:pStyle w:val="2"/>
        <w:rPr>
          <w:rFonts w:ascii="楷体" w:hAnsi="楷体" w:eastAsia="楷体" w:cs="楷体"/>
          <w:b/>
          <w:bCs/>
          <w:color w:val="000000" w:themeColor="text1"/>
          <w14:textFill>
            <w14:solidFill>
              <w14:schemeClr w14:val="tx1"/>
            </w14:solidFill>
          </w14:textFill>
        </w:rPr>
      </w:pPr>
    </w:p>
    <w:p w14:paraId="1D1BCDDC">
      <w:pPr>
        <w:pStyle w:val="2"/>
        <w:rPr>
          <w:rFonts w:ascii="楷体" w:hAnsi="楷体" w:eastAsia="楷体" w:cs="楷体"/>
          <w:b/>
          <w:bCs/>
          <w:color w:val="000000" w:themeColor="text1"/>
          <w14:textFill>
            <w14:solidFill>
              <w14:schemeClr w14:val="tx1"/>
            </w14:solidFill>
          </w14:textFill>
        </w:rPr>
      </w:pPr>
    </w:p>
    <w:p w14:paraId="630BF84F">
      <w:pPr>
        <w:pStyle w:val="2"/>
        <w:rPr>
          <w:rFonts w:ascii="楷体" w:hAnsi="楷体" w:eastAsia="楷体" w:cs="楷体"/>
          <w:b/>
          <w:bCs/>
          <w:color w:val="000000" w:themeColor="text1"/>
          <w14:textFill>
            <w14:solidFill>
              <w14:schemeClr w14:val="tx1"/>
            </w14:solidFill>
          </w14:textFill>
        </w:rPr>
      </w:pPr>
    </w:p>
    <w:p w14:paraId="7D88C007">
      <w:pPr>
        <w:pStyle w:val="2"/>
        <w:rPr>
          <w:rFonts w:ascii="楷体" w:hAnsi="楷体" w:eastAsia="楷体" w:cs="楷体"/>
          <w:b/>
          <w:bCs/>
          <w:color w:val="000000" w:themeColor="text1"/>
          <w14:textFill>
            <w14:solidFill>
              <w14:schemeClr w14:val="tx1"/>
            </w14:solidFill>
          </w14:textFill>
        </w:rPr>
      </w:pPr>
    </w:p>
    <w:p w14:paraId="78BBD18C">
      <w:pPr>
        <w:pStyle w:val="2"/>
        <w:rPr>
          <w:rFonts w:ascii="黑体" w:hAnsi="黑体" w:eastAsia="黑体" w:cs="黑体"/>
          <w:color w:val="000000" w:themeColor="text1"/>
          <w:sz w:val="32"/>
          <w:szCs w:val="32"/>
          <w14:textFill>
            <w14:solidFill>
              <w14:schemeClr w14:val="tx1"/>
            </w14:solidFill>
          </w14:textFill>
        </w:rPr>
      </w:pPr>
    </w:p>
    <w:p w14:paraId="5862CDB0">
      <w:pPr>
        <w:pStyle w:val="2"/>
        <w:rPr>
          <w:rFonts w:ascii="黑体" w:hAnsi="黑体" w:eastAsia="黑体" w:cs="黑体"/>
          <w:color w:val="000000" w:themeColor="text1"/>
          <w:sz w:val="32"/>
          <w:szCs w:val="32"/>
          <w14:textFill>
            <w14:solidFill>
              <w14:schemeClr w14:val="tx1"/>
            </w14:solidFill>
          </w14:textFill>
        </w:rPr>
      </w:pPr>
    </w:p>
    <w:p w14:paraId="3BB3691A">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62F99B1D">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0D4D13DD">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5124D6FF">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3578C8F6">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7C71CCB5">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5A82C589">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6743E843">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3BFB5863">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766C2998">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70EE3D09">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675A6B83">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7B24F116">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58A6C5F8">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6E3A5E97">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3FF0A183">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5DC90E3D">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429508E6">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2A4C9728">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6FD3EB95">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401C7B0A">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3B9ADCE0">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14EEDD2A">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63BBAB28">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53C8515A">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41B79748">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4116B41B">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115D66C7">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0D21A972">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57932F0E">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02B208B7">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p w14:paraId="58784AF1">
      <w:pPr>
        <w:pStyle w:val="2"/>
        <w:spacing w:line="20" w:lineRule="exact"/>
        <w:rPr>
          <w:rFonts w:ascii="仿宋_GB2312" w:hAnsi="仿宋_GB2312" w:eastAsia="仿宋_GB2312" w:cs="仿宋_GB2312"/>
          <w:color w:val="000000" w:themeColor="text1"/>
          <w:sz w:val="32"/>
          <w:szCs w:val="32"/>
          <w14:textFill>
            <w14:solidFill>
              <w14:schemeClr w14:val="tx1"/>
            </w14:solidFill>
          </w14:textFill>
        </w:rPr>
      </w:pPr>
    </w:p>
    <w:tbl>
      <w:tblPr>
        <w:tblStyle w:val="7"/>
        <w:tblpPr w:leftFromText="180" w:rightFromText="180" w:vertAnchor="text" w:horzAnchor="margin" w:tblpXSpec="center" w:tblpY="9908"/>
        <w:tblOverlap w:val="never"/>
        <w:tblW w:w="884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4"/>
      </w:tblGrid>
      <w:tr w14:paraId="6122C0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44" w:type="dxa"/>
            <w:tcBorders>
              <w:top w:val="single" w:color="auto" w:sz="4" w:space="0"/>
              <w:left w:val="nil"/>
              <w:bottom w:val="single" w:color="auto" w:sz="4" w:space="0"/>
              <w:right w:val="nil"/>
            </w:tcBorders>
            <w:vAlign w:val="center"/>
          </w:tcPr>
          <w:p w14:paraId="3C854E89">
            <w:pPr>
              <w:snapToGrid w:val="0"/>
              <w:ind w:left="210" w:leftChars="100"/>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泉州市丰泽区人民政府办公室</w:t>
            </w:r>
            <w:r>
              <w:rPr>
                <w:rFonts w:hint="eastAsia" w:ascii="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2025年7月14日印发</w:t>
            </w:r>
            <w:r>
              <w:rPr>
                <w:rFonts w:hint="eastAsia" w:ascii="仿宋_GB2312"/>
                <w:color w:val="000000" w:themeColor="text1"/>
                <w:sz w:val="28"/>
                <w:szCs w:val="28"/>
                <w14:textFill>
                  <w14:solidFill>
                    <w14:schemeClr w14:val="tx1"/>
                  </w14:solidFill>
                </w14:textFill>
              </w:rPr>
              <w:t xml:space="preserve">     </w:t>
            </w:r>
          </w:p>
        </w:tc>
      </w:tr>
    </w:tbl>
    <w:p w14:paraId="3E72A95A">
      <w:pPr>
        <w:pStyle w:val="2"/>
        <w:spacing w:line="14" w:lineRule="exact"/>
        <w:rPr>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327370"/>
    </w:sdtPr>
    <w:sdtEndPr>
      <w:rPr>
        <w:rFonts w:asciiTheme="minorEastAsia" w:hAnsiTheme="minorEastAsia" w:eastAsiaTheme="minorEastAsia"/>
        <w:sz w:val="28"/>
        <w:szCs w:val="28"/>
      </w:rPr>
    </w:sdtEndPr>
    <w:sdtContent>
      <w:p w14:paraId="35CBE4BC">
        <w:pPr>
          <w:pStyle w:val="4"/>
          <w:ind w:left="315" w:leftChars="150" w:right="315" w:rightChars="15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827733"/>
    </w:sdtPr>
    <w:sdtEndPr>
      <w:rPr>
        <w:rFonts w:asciiTheme="minorEastAsia" w:hAnsiTheme="minorEastAsia" w:eastAsiaTheme="minorEastAsia"/>
        <w:sz w:val="28"/>
        <w:szCs w:val="28"/>
      </w:rPr>
    </w:sdtEndPr>
    <w:sdtContent>
      <w:p w14:paraId="2AF5EB30">
        <w:pPr>
          <w:pStyle w:val="4"/>
          <w:ind w:left="315" w:leftChars="150" w:right="315" w:rightChars="1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OGZkMTcyOWRkNjU0OTdiNTI2OGIyYjJkMzUwOTAifQ=="/>
  </w:docVars>
  <w:rsids>
    <w:rsidRoot w:val="09860272"/>
    <w:rsid w:val="00055663"/>
    <w:rsid w:val="000B3B8B"/>
    <w:rsid w:val="000D5CBF"/>
    <w:rsid w:val="000E09E6"/>
    <w:rsid w:val="000E112E"/>
    <w:rsid w:val="000E7A5F"/>
    <w:rsid w:val="001165C4"/>
    <w:rsid w:val="001D1A50"/>
    <w:rsid w:val="001F544B"/>
    <w:rsid w:val="00203000"/>
    <w:rsid w:val="00213608"/>
    <w:rsid w:val="002679E1"/>
    <w:rsid w:val="00285628"/>
    <w:rsid w:val="003355DD"/>
    <w:rsid w:val="003D0214"/>
    <w:rsid w:val="003F4F89"/>
    <w:rsid w:val="00410BD3"/>
    <w:rsid w:val="0045404D"/>
    <w:rsid w:val="00484B2A"/>
    <w:rsid w:val="004E2D54"/>
    <w:rsid w:val="00540E08"/>
    <w:rsid w:val="00622352"/>
    <w:rsid w:val="00633C46"/>
    <w:rsid w:val="00644EDD"/>
    <w:rsid w:val="00651169"/>
    <w:rsid w:val="00663037"/>
    <w:rsid w:val="00686F42"/>
    <w:rsid w:val="00840586"/>
    <w:rsid w:val="008427F4"/>
    <w:rsid w:val="008A15BE"/>
    <w:rsid w:val="00937EF6"/>
    <w:rsid w:val="00982944"/>
    <w:rsid w:val="009A4C09"/>
    <w:rsid w:val="00A21BD0"/>
    <w:rsid w:val="00A25C8A"/>
    <w:rsid w:val="00A41627"/>
    <w:rsid w:val="00AB10ED"/>
    <w:rsid w:val="00BE38F2"/>
    <w:rsid w:val="00C73CEB"/>
    <w:rsid w:val="00C948A5"/>
    <w:rsid w:val="00CC6DDF"/>
    <w:rsid w:val="00D748EE"/>
    <w:rsid w:val="00EB284C"/>
    <w:rsid w:val="00F50156"/>
    <w:rsid w:val="00F7068B"/>
    <w:rsid w:val="00FA7FD4"/>
    <w:rsid w:val="09860272"/>
    <w:rsid w:val="20F6226D"/>
    <w:rsid w:val="21672D33"/>
    <w:rsid w:val="281200CA"/>
    <w:rsid w:val="2A7825FD"/>
    <w:rsid w:val="2A862669"/>
    <w:rsid w:val="32B92835"/>
    <w:rsid w:val="334836D6"/>
    <w:rsid w:val="3B937CFE"/>
    <w:rsid w:val="3D0637B4"/>
    <w:rsid w:val="45C60114"/>
    <w:rsid w:val="4D167C27"/>
    <w:rsid w:val="4FAB1C62"/>
    <w:rsid w:val="5EF04A2E"/>
    <w:rsid w:val="60415AA8"/>
    <w:rsid w:val="67676279"/>
    <w:rsid w:val="69510277"/>
    <w:rsid w:val="7C93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Body Text Indent"/>
    <w:basedOn w:val="1"/>
    <w:link w:val="14"/>
    <w:unhideWhenUsed/>
    <w:qFormat/>
    <w:uiPriority w:val="0"/>
    <w:pPr>
      <w:spacing w:after="120"/>
      <w:ind w:left="420" w:leftChars="200"/>
    </w:pPr>
    <w:rPr>
      <w:rFonts w:asciiTheme="minorHAnsi" w:hAnsiTheme="minorHAnsi" w:eastAsiaTheme="minorEastAsia" w:cstheme="minorBidi"/>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next w:val="1"/>
    <w:link w:val="15"/>
    <w:unhideWhenUsed/>
    <w:qFormat/>
    <w:uiPriority w:val="0"/>
    <w:pPr>
      <w:ind w:left="200" w:firstLine="200" w:firstLineChars="200"/>
    </w:pPr>
    <w:rPr>
      <w:rFonts w:ascii="Calibri" w:hAnsi="Calibri" w:cs="Calibri"/>
    </w:rPr>
  </w:style>
  <w:style w:type="character" w:styleId="9">
    <w:name w:val="Strong"/>
    <w:qFormat/>
    <w:uiPriority w:val="0"/>
    <w:rPr>
      <w:b/>
    </w:rPr>
  </w:style>
  <w:style w:type="character" w:customStyle="1" w:styleId="10">
    <w:name w:val="NormalCharacter"/>
    <w:qFormat/>
    <w:uiPriority w:val="0"/>
  </w:style>
  <w:style w:type="character" w:customStyle="1" w:styleId="11">
    <w:name w:val="页脚 Char"/>
    <w:basedOn w:val="8"/>
    <w:link w:val="4"/>
    <w:qFormat/>
    <w:uiPriority w:val="99"/>
    <w:rPr>
      <w:rFonts w:ascii="Calibri" w:hAnsi="Calibri" w:eastAsia="宋体" w:cs="Times New Roman"/>
      <w:kern w:val="2"/>
      <w:sz w:val="18"/>
      <w:szCs w:val="24"/>
    </w:r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 w:type="character" w:customStyle="1" w:styleId="13">
    <w:name w:val="页眉 Char"/>
    <w:basedOn w:val="8"/>
    <w:link w:val="5"/>
    <w:qFormat/>
    <w:uiPriority w:val="0"/>
    <w:rPr>
      <w:rFonts w:ascii="Calibri" w:hAnsi="Calibri" w:eastAsia="宋体" w:cs="Times New Roman"/>
      <w:kern w:val="2"/>
      <w:sz w:val="18"/>
      <w:szCs w:val="24"/>
    </w:rPr>
  </w:style>
  <w:style w:type="character" w:customStyle="1" w:styleId="14">
    <w:name w:val="正文文本缩进 Char"/>
    <w:basedOn w:val="8"/>
    <w:link w:val="3"/>
    <w:qFormat/>
    <w:uiPriority w:val="0"/>
    <w:rPr>
      <w:kern w:val="2"/>
      <w:sz w:val="21"/>
      <w:szCs w:val="24"/>
    </w:rPr>
  </w:style>
  <w:style w:type="character" w:customStyle="1" w:styleId="15">
    <w:name w:val="正文首行缩进 2 Char"/>
    <w:basedOn w:val="14"/>
    <w:link w:val="6"/>
    <w:qFormat/>
    <w:uiPriority w:val="0"/>
    <w:rPr>
      <w:rFonts w:ascii="Calibri" w:hAnsi="Calibri" w:cs="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1962</Words>
  <Characters>2025</Characters>
  <Lines>2</Lines>
  <Paragraphs>4</Paragraphs>
  <TotalTime>50</TotalTime>
  <ScaleCrop>false</ScaleCrop>
  <LinksUpToDate>false</LinksUpToDate>
  <CharactersWithSpaces>2103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2023-06-01T08:12:00Z</dcterms:created>
  <dc:creator>Administrator</dc:creator>
  <cp:lastModifiedBy>-Uyang</cp:lastModifiedBy>
  <cp:lastPrinted>2025-07-15T02:52:00Z</cp:lastPrinted>
  <dcterms:modified xsi:type="dcterms:W3CDTF">2025-07-15T03:44:19Z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EF03C7ACCAD544CBACFC4D2A163CF846_13</vt:lpwstr>
  </property>
  <property fmtid="{D5CDD505-2E9C-101B-9397-08002B2CF9AE}" pid="4" name="KSOTemplateDocerSaveRecord">
    <vt:lpwstr>eyJoZGlkIjoiZjU4N2IxODE5YjFkOTZmYjY1YzExYmNhYWNlN2Y5MTYiLCJ1c2VySWQiOiIzNTI0NTc3OTAifQ==</vt:lpwstr>
  </property>
</Properties>
</file>