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620" w:leftChars="2200" w:firstLine="0" w:firstLineChars="0"/>
        <w:rPr>
          <w:rFonts w:hint="eastAsia" w:ascii="仿宋_GB2312" w:hAnsi="仿宋_GB2312" w:eastAsia="仿宋_GB2312" w:cs="仿宋_GB2312"/>
          <w:color w:val="000000"/>
          <w:sz w:val="30"/>
          <w:szCs w:val="30"/>
          <w:lang w:eastAsia="zh-CN"/>
        </w:rPr>
      </w:pPr>
    </w:p>
    <w:p>
      <w:pPr>
        <w:ind w:left="4620" w:leftChars="2200" w:firstLine="0" w:firstLineChars="0"/>
        <w:rPr>
          <w:rFonts w:hint="eastAsia" w:ascii="仿宋_GB2312" w:hAnsi="仿宋_GB2312" w:eastAsia="仿宋_GB2312" w:cs="仿宋_GB2312"/>
          <w:color w:val="000000"/>
          <w:sz w:val="30"/>
          <w:szCs w:val="30"/>
          <w:lang w:eastAsia="zh-CN"/>
        </w:rPr>
      </w:pPr>
    </w:p>
    <w:p>
      <w:pPr>
        <w:ind w:firstLine="4500" w:firstLineChars="1500"/>
        <w:rPr>
          <w:rFonts w:hint="eastAsia" w:ascii="仿宋_GB2312" w:hAnsi="仿宋_GB2312" w:eastAsia="仿宋_GB2312" w:cs="仿宋_GB2312"/>
          <w:color w:val="000000"/>
          <w:sz w:val="30"/>
          <w:szCs w:val="30"/>
          <w:lang w:eastAsia="zh-CN"/>
        </w:rPr>
      </w:pPr>
    </w:p>
    <w:p>
      <w:pPr>
        <w:ind w:firstLine="4500" w:firstLineChars="1500"/>
        <w:rPr>
          <w:rFonts w:hint="eastAsia" w:ascii="仿宋_GB2312" w:hAnsi="仿宋_GB2312" w:eastAsia="仿宋_GB2312" w:cs="仿宋_GB2312"/>
          <w:color w:val="000000"/>
          <w:sz w:val="30"/>
          <w:szCs w:val="30"/>
          <w:lang w:eastAsia="zh-CN"/>
        </w:rPr>
      </w:pPr>
    </w:p>
    <w:p>
      <w:pPr>
        <w:ind w:firstLine="4500" w:firstLineChars="1500"/>
        <w:rPr>
          <w:rFonts w:hint="eastAsia" w:ascii="仿宋_GB2312" w:hAnsi="仿宋_GB2312" w:eastAsia="仿宋_GB2312" w:cs="仿宋_GB2312"/>
          <w:color w:val="000000"/>
          <w:sz w:val="30"/>
          <w:szCs w:val="30"/>
          <w:lang w:eastAsia="zh-CN"/>
        </w:rPr>
      </w:pPr>
    </w:p>
    <w:p>
      <w:pPr>
        <w:ind w:firstLine="4200" w:firstLineChars="14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eastAsia="zh-CN"/>
        </w:rPr>
        <w:t>泉丰东办</w:t>
      </w:r>
      <w:r>
        <w:rPr>
          <w:rFonts w:hint="eastAsia" w:ascii="仿宋_GB2312" w:hAnsi="仿宋_GB2312" w:eastAsia="仿宋_GB2312" w:cs="仿宋_GB2312"/>
          <w:color w:val="000000"/>
          <w:sz w:val="30"/>
          <w:szCs w:val="30"/>
        </w:rPr>
        <w:t>函〔202</w:t>
      </w:r>
      <w:r>
        <w:rPr>
          <w:rFonts w:hint="eastAsia" w:ascii="仿宋_GB2312" w:hAnsi="仿宋_GB2312" w:eastAsia="仿宋_GB2312" w:cs="仿宋_GB2312"/>
          <w:color w:val="000000"/>
          <w:sz w:val="30"/>
          <w:szCs w:val="30"/>
          <w:lang w:val="en-US" w:eastAsia="zh-CN"/>
        </w:rPr>
        <w:t>2</w:t>
      </w:r>
      <w:r>
        <w:rPr>
          <w:rFonts w:hint="eastAsia" w:ascii="仿宋_GB2312" w:hAnsi="仿宋_GB2312" w:eastAsia="仿宋_GB2312" w:cs="仿宋_GB2312"/>
          <w:color w:val="000000"/>
          <w:sz w:val="30"/>
          <w:szCs w:val="30"/>
        </w:rPr>
        <w:t>〕</w:t>
      </w:r>
      <w:r>
        <w:rPr>
          <w:rFonts w:hint="eastAsia" w:ascii="仿宋_GB2312" w:hAnsi="仿宋_GB2312" w:eastAsia="仿宋_GB2312" w:cs="仿宋_GB2312"/>
          <w:color w:val="000000"/>
          <w:sz w:val="30"/>
          <w:szCs w:val="30"/>
          <w:lang w:val="en-US" w:eastAsia="zh-CN"/>
        </w:rPr>
        <w:t xml:space="preserve">18 </w:t>
      </w:r>
      <w:r>
        <w:rPr>
          <w:rFonts w:hint="eastAsia" w:ascii="仿宋_GB2312" w:hAnsi="仿宋_GB2312" w:eastAsia="仿宋_GB2312" w:cs="仿宋_GB2312"/>
          <w:color w:val="000000"/>
          <w:sz w:val="30"/>
          <w:szCs w:val="30"/>
        </w:rPr>
        <w:t>号</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                           </w:t>
      </w:r>
      <w:r>
        <w:rPr>
          <w:rFonts w:hint="eastAsia" w:ascii="仿宋_GB2312" w:hAnsi="仿宋_GB2312" w:eastAsia="仿宋_GB2312" w:cs="仿宋_GB2312"/>
          <w:color w:val="000000"/>
          <w:sz w:val="30"/>
          <w:szCs w:val="30"/>
          <w:lang w:val="en-US" w:eastAsia="zh-CN"/>
        </w:rPr>
        <w:t xml:space="preserve">          </w:t>
      </w:r>
      <w:r>
        <w:rPr>
          <w:rFonts w:hint="eastAsia" w:ascii="仿宋_GB2312" w:hAnsi="仿宋_GB2312" w:eastAsia="仿宋_GB2312" w:cs="仿宋_GB2312"/>
          <w:color w:val="000000"/>
          <w:sz w:val="30"/>
          <w:szCs w:val="30"/>
        </w:rPr>
        <w:t>答复类型：B类</w:t>
      </w:r>
    </w:p>
    <w:p>
      <w:pPr>
        <w:pStyle w:val="2"/>
        <w:rPr>
          <w:rFonts w:hint="eastAsia"/>
        </w:rPr>
      </w:pPr>
    </w:p>
    <w:p>
      <w:pPr>
        <w:spacing w:line="540" w:lineRule="exact"/>
        <w:jc w:val="center"/>
        <w:rPr>
          <w:rFonts w:hint="eastAsia" w:ascii="方正小标宋简体" w:hAnsi="宋体" w:eastAsia="方正小标宋简体"/>
          <w:bCs/>
          <w:color w:val="000000"/>
          <w:sz w:val="44"/>
          <w:szCs w:val="44"/>
        </w:rPr>
      </w:pPr>
      <w:r>
        <w:rPr>
          <w:rFonts w:hint="eastAsia" w:ascii="方正小标宋简体" w:hAnsi="宋体" w:eastAsia="方正小标宋简体"/>
          <w:bCs/>
          <w:color w:val="000000"/>
          <w:sz w:val="44"/>
          <w:szCs w:val="44"/>
        </w:rPr>
        <w:t>关于丰泽区政协</w:t>
      </w:r>
      <w:r>
        <w:rPr>
          <w:rFonts w:hint="eastAsia" w:ascii="方正小标宋简体" w:hAnsi="宋体" w:eastAsia="方正小标宋简体"/>
          <w:bCs/>
          <w:color w:val="000000"/>
          <w:sz w:val="44"/>
          <w:szCs w:val="44"/>
          <w:lang w:val="en-US" w:eastAsia="zh-CN"/>
        </w:rPr>
        <w:t>六</w:t>
      </w:r>
      <w:r>
        <w:rPr>
          <w:rFonts w:hint="eastAsia" w:ascii="方正小标宋简体" w:hAnsi="宋体" w:eastAsia="方正小标宋简体"/>
          <w:bCs/>
          <w:color w:val="000000"/>
          <w:sz w:val="44"/>
          <w:szCs w:val="44"/>
        </w:rPr>
        <w:t>届</w:t>
      </w:r>
      <w:r>
        <w:rPr>
          <w:rFonts w:hint="eastAsia" w:ascii="方正小标宋简体" w:hAnsi="宋体" w:eastAsia="方正小标宋简体"/>
          <w:bCs/>
          <w:color w:val="000000"/>
          <w:sz w:val="44"/>
          <w:szCs w:val="44"/>
          <w:lang w:eastAsia="zh-CN"/>
        </w:rPr>
        <w:t>一</w:t>
      </w:r>
      <w:r>
        <w:rPr>
          <w:rFonts w:hint="eastAsia" w:ascii="方正小标宋简体" w:hAnsi="宋体" w:eastAsia="方正小标宋简体"/>
          <w:bCs/>
          <w:color w:val="000000"/>
          <w:sz w:val="44"/>
          <w:szCs w:val="44"/>
        </w:rPr>
        <w:t>次会议</w:t>
      </w:r>
    </w:p>
    <w:p>
      <w:pPr>
        <w:spacing w:line="540" w:lineRule="exact"/>
        <w:jc w:val="center"/>
        <w:rPr>
          <w:rFonts w:hint="eastAsia" w:ascii="方正小标宋简体" w:hAnsi="宋体" w:eastAsia="方正小标宋简体"/>
          <w:color w:val="000000"/>
          <w:sz w:val="44"/>
          <w:szCs w:val="44"/>
        </w:rPr>
      </w:pPr>
      <w:r>
        <w:rPr>
          <w:rFonts w:hint="eastAsia" w:ascii="方正小标宋简体" w:hAnsi="宋体" w:eastAsia="方正小标宋简体"/>
          <w:bCs/>
          <w:color w:val="000000"/>
          <w:sz w:val="44"/>
          <w:szCs w:val="44"/>
        </w:rPr>
        <w:t>第</w:t>
      </w:r>
      <w:r>
        <w:rPr>
          <w:rFonts w:hint="eastAsia" w:ascii="方正小标宋简体" w:hAnsi="宋体" w:eastAsia="方正小标宋简体"/>
          <w:bCs/>
          <w:color w:val="000000"/>
          <w:sz w:val="44"/>
          <w:szCs w:val="44"/>
          <w:lang w:val="en-US" w:eastAsia="zh-CN"/>
        </w:rPr>
        <w:t>05</w:t>
      </w:r>
      <w:r>
        <w:rPr>
          <w:rFonts w:hint="eastAsia" w:ascii="方正小标宋简体" w:hAnsi="宋体" w:eastAsia="方正小标宋简体"/>
          <w:bCs/>
          <w:color w:val="000000"/>
          <w:sz w:val="44"/>
          <w:szCs w:val="44"/>
        </w:rPr>
        <w:t>号提案</w:t>
      </w:r>
      <w:r>
        <w:rPr>
          <w:rFonts w:hint="eastAsia" w:ascii="方正小标宋简体" w:hAnsi="宋体" w:eastAsia="方正小标宋简体"/>
          <w:bCs/>
          <w:color w:val="000000"/>
          <w:sz w:val="44"/>
          <w:szCs w:val="44"/>
          <w:lang w:eastAsia="zh-CN"/>
        </w:rPr>
        <w:t>办理情况</w:t>
      </w:r>
      <w:r>
        <w:rPr>
          <w:rFonts w:hint="eastAsia" w:ascii="方正小标宋简体" w:hAnsi="宋体" w:eastAsia="方正小标宋简体"/>
          <w:bCs/>
          <w:color w:val="000000"/>
          <w:sz w:val="44"/>
          <w:szCs w:val="44"/>
        </w:rPr>
        <w:t>的答复函</w:t>
      </w:r>
    </w:p>
    <w:p>
      <w:pPr>
        <w:spacing w:line="480" w:lineRule="exact"/>
        <w:rPr>
          <w:rFonts w:hint="eastAsia"/>
          <w:color w:val="000000"/>
          <w:sz w:val="30"/>
        </w:rPr>
      </w:pP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民革丰泽</w:t>
      </w:r>
      <w:r>
        <w:rPr>
          <w:rFonts w:hint="eastAsia" w:ascii="仿宋_GB2312" w:hAnsi="仿宋_GB2312" w:eastAsia="仿宋_GB2312" w:cs="仿宋_GB2312"/>
          <w:color w:val="000000"/>
          <w:sz w:val="32"/>
          <w:szCs w:val="32"/>
          <w:lang w:eastAsia="zh-CN"/>
        </w:rPr>
        <w:t>工委：</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民革丰泽工委</w:t>
      </w:r>
      <w:r>
        <w:rPr>
          <w:rFonts w:hint="eastAsia" w:ascii="仿宋_GB2312" w:hAnsi="仿宋_GB2312" w:eastAsia="仿宋_GB2312" w:cs="仿宋_GB2312"/>
          <w:color w:val="000000"/>
          <w:sz w:val="32"/>
          <w:szCs w:val="32"/>
        </w:rPr>
        <w:t>委员提出的《关于</w:t>
      </w:r>
      <w:r>
        <w:rPr>
          <w:rFonts w:hint="eastAsia" w:ascii="仿宋_GB2312" w:hAnsi="仿宋_GB2312" w:eastAsia="仿宋_GB2312" w:cs="仿宋_GB2312"/>
          <w:color w:val="000000"/>
          <w:sz w:val="32"/>
          <w:szCs w:val="32"/>
          <w:lang w:eastAsia="zh-CN"/>
        </w:rPr>
        <w:t>构建基层政府与社会之间的良性沟通机制的建议</w:t>
      </w: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lang w:val="en-US" w:eastAsia="zh-CN"/>
        </w:rPr>
        <w:t>05</w:t>
      </w:r>
      <w:r>
        <w:rPr>
          <w:rFonts w:hint="eastAsia" w:ascii="仿宋_GB2312" w:hAnsi="仿宋_GB2312" w:eastAsia="仿宋_GB2312" w:cs="仿宋_GB2312"/>
          <w:color w:val="000000"/>
          <w:sz w:val="32"/>
          <w:szCs w:val="32"/>
        </w:rPr>
        <w:t>号）收悉</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现将办理情况答复如下：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黑体" w:hAnsi="黑体" w:eastAsia="黑体" w:cs="黑体"/>
          <w:color w:val="000000"/>
          <w:sz w:val="32"/>
          <w:szCs w:val="32"/>
          <w:lang w:eastAsia="zh-CN"/>
        </w:rPr>
        <w:t>一、积极实施街道主导，市场和社区居委会积极参与的管理模式。</w:t>
      </w:r>
      <w:r>
        <w:rPr>
          <w:rFonts w:hint="eastAsia" w:ascii="仿宋_GB2312" w:hAnsi="仿宋_GB2312" w:eastAsia="仿宋_GB2312" w:cs="仿宋_GB2312"/>
          <w:color w:val="000000"/>
          <w:sz w:val="32"/>
          <w:szCs w:val="32"/>
          <w:lang w:eastAsia="zh-CN"/>
        </w:rPr>
        <w:t>全力扶持</w:t>
      </w:r>
      <w:r>
        <w:rPr>
          <w:rFonts w:hint="eastAsia" w:ascii="仿宋_GB2312" w:hAnsi="仿宋_GB2312" w:eastAsia="仿宋_GB2312" w:cs="仿宋_GB2312"/>
          <w:color w:val="000000"/>
          <w:sz w:val="32"/>
          <w:szCs w:val="32"/>
          <w:lang w:val="en-US" w:eastAsia="zh-CN"/>
        </w:rPr>
        <w:t>“共建共享”社区治理项目</w:t>
      </w:r>
      <w:r>
        <w:rPr>
          <w:rFonts w:hint="eastAsia" w:ascii="仿宋_GB2312" w:hAnsi="仿宋_GB2312" w:eastAsia="仿宋_GB2312" w:cs="仿宋_GB2312"/>
          <w:color w:val="000000"/>
          <w:sz w:val="32"/>
          <w:szCs w:val="32"/>
          <w:lang w:eastAsia="zh-CN"/>
        </w:rPr>
        <w:t>试点社区（圣湖社区</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开展创建工作。（</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以党建为引领，激活社区治理“微细胞”。在社区党委牵头组织下，小区业委会、物业、支部党员、业主代表、网格员各方常态化良性互动。逐步建立完善</w:t>
      </w:r>
      <w:r>
        <w:rPr>
          <w:rFonts w:hint="eastAsia" w:ascii="仿宋_GB2312" w:hAnsi="仿宋_GB2312" w:eastAsia="仿宋_GB2312" w:cs="仿宋_GB2312"/>
          <w:color w:val="000000"/>
          <w:sz w:val="32"/>
          <w:szCs w:val="32"/>
          <w:lang w:eastAsia="zh-CN"/>
        </w:rPr>
        <w:t>“邻里党支部+网格楼栋长+党员中心户”三级网格体系，大力开展“邻里事、邻里提、邻里议”，</w:t>
      </w:r>
      <w:r>
        <w:rPr>
          <w:rFonts w:hint="eastAsia" w:ascii="仿宋_GB2312" w:hAnsi="仿宋_GB2312" w:eastAsia="仿宋_GB2312" w:cs="仿宋_GB2312"/>
          <w:color w:val="000000"/>
          <w:sz w:val="32"/>
          <w:szCs w:val="32"/>
          <w:lang w:val="en-US" w:eastAsia="zh-CN"/>
        </w:rPr>
        <w:t>将解决居民群众文化生活、物业服务需求、小区环境提升、车辆停放等“急难愁盼”做为头等大事，</w:t>
      </w:r>
      <w:r>
        <w:rPr>
          <w:rFonts w:hint="eastAsia" w:ascii="仿宋_GB2312" w:hAnsi="仿宋_GB2312" w:eastAsia="仿宋_GB2312" w:cs="仿宋_GB2312"/>
          <w:color w:val="000000"/>
          <w:sz w:val="32"/>
          <w:szCs w:val="32"/>
          <w:lang w:eastAsia="zh-CN"/>
        </w:rPr>
        <w:t>达到了“1+1&gt;2”的聚合效应。</w:t>
      </w:r>
      <w:r>
        <w:rPr>
          <w:rFonts w:hint="eastAsia" w:ascii="仿宋_GB2312" w:hAnsi="仿宋_GB2312" w:eastAsia="仿宋_GB2312" w:cs="仿宋_GB2312"/>
          <w:color w:val="000000"/>
          <w:sz w:val="32"/>
          <w:szCs w:val="32"/>
          <w:lang w:val="en-US" w:eastAsia="zh-CN"/>
        </w:rPr>
        <w:t>借助专业的力量为社区老年人、妇女、青少年群体开展针对性服务，满足社区居民实际需求，促进社区家庭温馨和谐的营造、推动社会和平稳定的发展。（2）发挥自治优势，推进居民小区“微治理”。</w:t>
      </w:r>
      <w:r>
        <w:rPr>
          <w:rFonts w:hint="eastAsia" w:ascii="仿宋_GB2312" w:hAnsi="仿宋_GB2312" w:eastAsia="仿宋_GB2312" w:cs="仿宋_GB2312"/>
          <w:color w:val="000000"/>
          <w:sz w:val="32"/>
          <w:szCs w:val="32"/>
          <w:lang w:eastAsia="zh-CN"/>
        </w:rPr>
        <w:t>进一步理顺小区业委会、物业服务企业、业主各方关系，</w:t>
      </w:r>
      <w:r>
        <w:rPr>
          <w:rFonts w:hint="eastAsia" w:ascii="仿宋_GB2312" w:hAnsi="仿宋_GB2312" w:eastAsia="仿宋_GB2312" w:cs="仿宋_GB2312"/>
          <w:color w:val="000000"/>
          <w:sz w:val="32"/>
          <w:szCs w:val="32"/>
          <w:lang w:val="en-US" w:eastAsia="zh-CN"/>
        </w:rPr>
        <w:t>成功协调并促成圣湖小区电梯</w:t>
      </w:r>
      <w:r>
        <w:rPr>
          <w:rFonts w:hint="eastAsia" w:ascii="仿宋_GB2312" w:hAnsi="仿宋_GB2312" w:eastAsia="仿宋_GB2312" w:cs="仿宋_GB2312"/>
          <w:color w:val="000000"/>
          <w:sz w:val="32"/>
          <w:szCs w:val="32"/>
          <w:lang w:eastAsia="zh-CN"/>
        </w:rPr>
        <w:t>加装</w:t>
      </w:r>
      <w:r>
        <w:rPr>
          <w:rFonts w:hint="eastAsia" w:ascii="仿宋_GB2312" w:hAnsi="仿宋_GB2312" w:eastAsia="仿宋_GB2312" w:cs="仿宋_GB2312"/>
          <w:color w:val="000000"/>
          <w:sz w:val="32"/>
          <w:szCs w:val="32"/>
          <w:lang w:val="en-US" w:eastAsia="zh-CN"/>
        </w:rPr>
        <w:t>3部，调解邻里纠纷、物业与业主矛盾等5起；</w:t>
      </w:r>
      <w:r>
        <w:rPr>
          <w:rFonts w:hint="eastAsia" w:ascii="仿宋_GB2312" w:hAnsi="仿宋_GB2312" w:eastAsia="仿宋_GB2312" w:cs="仿宋_GB2312"/>
          <w:color w:val="000000"/>
          <w:sz w:val="32"/>
          <w:szCs w:val="32"/>
          <w:lang w:eastAsia="zh-CN"/>
        </w:rPr>
        <w:t>指导各物业小区引进规范化物业管理模式，解决小区多年积存问题，提升群众的满意度。创新推行睦邻家园“1+N”物业小区积分管理模式，建立“社区党委+三方联系+三所联动”的小区物业积分管理考评办法，根据物业小区的整体治安状况、环境卫生、综合治理及群众满意率等多方面情况，评选出上一年度“最佳保安”、“最佳物业经理”、“最佳物业小区”</w:t>
      </w:r>
      <w:r>
        <w:rPr>
          <w:rFonts w:hint="eastAsia" w:ascii="仿宋_GB2312" w:hAnsi="仿宋_GB2312" w:eastAsia="仿宋_GB2312" w:cs="仿宋_GB2312"/>
          <w:color w:val="000000"/>
          <w:sz w:val="32"/>
          <w:szCs w:val="32"/>
          <w:lang w:val="en-US" w:eastAsia="zh-CN"/>
        </w:rPr>
        <w:t>6名，激励各物业小区为建设平安圣湖再接再厉</w:t>
      </w:r>
      <w:r>
        <w:rPr>
          <w:rFonts w:hint="eastAsia" w:ascii="仿宋_GB2312" w:hAnsi="仿宋_GB2312" w:eastAsia="仿宋_GB2312" w:cs="仿宋_GB2312"/>
          <w:color w:val="000000"/>
          <w:sz w:val="32"/>
          <w:szCs w:val="32"/>
          <w:lang w:eastAsia="zh-CN"/>
        </w:rPr>
        <w:t>。定期召开联席会议，小区业委会代表、物业公司经理、居民代表成为会议主角，为平安小区建设献计献策，营造</w:t>
      </w:r>
      <w:bookmarkStart w:id="0" w:name="_GoBack"/>
      <w:bookmarkEnd w:id="0"/>
      <w:r>
        <w:rPr>
          <w:rFonts w:hint="eastAsia" w:ascii="仿宋_GB2312" w:hAnsi="仿宋_GB2312" w:eastAsia="仿宋_GB2312" w:cs="仿宋_GB2312"/>
          <w:color w:val="000000"/>
          <w:sz w:val="32"/>
          <w:szCs w:val="32"/>
          <w:lang w:eastAsia="zh-CN"/>
        </w:rPr>
        <w:t>睦邻氛围，改善小区的“生活环境”。</w:t>
      </w:r>
      <w:r>
        <w:rPr>
          <w:rFonts w:hint="eastAsia" w:ascii="仿宋_GB2312" w:hAnsi="仿宋_GB2312" w:eastAsia="仿宋_GB2312" w:cs="仿宋_GB2312"/>
          <w:color w:val="000000"/>
          <w:sz w:val="32"/>
          <w:szCs w:val="32"/>
          <w:lang w:val="en-US" w:eastAsia="zh-CN"/>
        </w:rPr>
        <w:t>（3）激活文化亮点，提升公共文化服务。结合国企党建惠民行动——“五‘服’临门”项目契机，拓展近邻党建服务项目，与国资委下属五大集团联合，策划实施五大惠民服务项目：城建·小区智能共享“信包箱”、文旅·“润物无声”古城文化空间、金控·邻里置业顾问、交发·泉城通“慧生活”、水务·“放心水”进万家等，让居民在家门口就近享受到国企优质服务。携手国资委五大集团，将社区旁边的杂草地打造适合亲子活动且融入党史学习文化内涵的邻里活动空间，提升小区中心公园整体形象。依托小区地理优势和资源优势，强化文化浸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黑体" w:hAnsi="黑体" w:eastAsia="黑体" w:cs="黑体"/>
          <w:color w:val="000000"/>
          <w:sz w:val="32"/>
          <w:szCs w:val="32"/>
          <w:lang w:val="en-US" w:eastAsia="zh-CN"/>
        </w:rPr>
        <w:t>二、认真落实“智慧社区”项目推进工作。</w:t>
      </w:r>
      <w:r>
        <w:rPr>
          <w:rFonts w:hint="eastAsia" w:ascii="仿宋_GB2312" w:hAnsi="仿宋_GB2312" w:eastAsia="仿宋_GB2312" w:cs="仿宋_GB2312"/>
          <w:color w:val="000000"/>
          <w:sz w:val="32"/>
          <w:szCs w:val="32"/>
          <w:lang w:val="en-US" w:eastAsia="zh-CN"/>
        </w:rPr>
        <w:t>组织八个社区</w:t>
      </w:r>
      <w:r>
        <w:rPr>
          <w:rFonts w:hint="eastAsia" w:ascii="仿宋_GB2312" w:hAnsi="仿宋_GB2312" w:eastAsia="仿宋_GB2312" w:cs="仿宋_GB2312"/>
          <w:color w:val="000000"/>
          <w:sz w:val="32"/>
          <w:szCs w:val="32"/>
          <w:lang w:eastAsia="zh-CN"/>
        </w:rPr>
        <w:t>积极参加“智慧丰泽”PPP项目培训，推广“智慧丰泽”PPP项目的知晓率、使用率。疫情防控期间，辖区</w:t>
      </w:r>
      <w:r>
        <w:rPr>
          <w:rFonts w:hint="eastAsia" w:ascii="仿宋_GB2312" w:hAnsi="仿宋_GB2312" w:eastAsia="仿宋_GB2312" w:cs="仿宋_GB2312"/>
          <w:color w:val="000000"/>
          <w:sz w:val="32"/>
          <w:szCs w:val="32"/>
          <w:lang w:val="en-US" w:eastAsia="zh-CN"/>
        </w:rPr>
        <w:t>22台政务一体全部对辖区居民开放，提供免费打印服务，得到居民的一致好评。</w:t>
      </w:r>
      <w:r>
        <w:rPr>
          <w:rFonts w:hint="eastAsia" w:ascii="仿宋_GB2312" w:hAnsi="仿宋_GB2312" w:eastAsia="仿宋_GB2312" w:cs="仿宋_GB2312"/>
          <w:color w:val="000000"/>
          <w:sz w:val="32"/>
          <w:szCs w:val="32"/>
          <w:lang w:eastAsia="zh-CN"/>
        </w:rPr>
        <w:t>通过信息化平台，实现区、街道、社区三级网络平台的信息共享，互相交流。工作由被动转向主动，使问题和矛盾发现和处理的端口前移，实现了由单一向协同的转变，提高服务群众的能力。</w:t>
      </w:r>
      <w:r>
        <w:rPr>
          <w:rFonts w:hint="eastAsia" w:ascii="仿宋_GB2312" w:hAnsi="仿宋_GB2312" w:eastAsia="仿宋_GB2312" w:cs="仿宋_GB2312"/>
          <w:color w:val="000000"/>
          <w:sz w:val="32"/>
          <w:szCs w:val="32"/>
          <w:lang w:val="en-US" w:eastAsia="zh-CN"/>
        </w:rPr>
        <w:t>试点小区（松林社区亿龙小区），建成了智慧社区标杆示范基地——亿龙花园。小区建立了“智慧社区平台”系统，平台里有社区营盘、方楼盘、蜻蜓停车、智能人脸识别门禁、人车轨迹监控、通道违维停预警、电动车安全充电、垃圾载量监测、井盖动态监测、高空抛物监测、智能烟杆报警器等项目。同时，联动消防、应急、综治等相关部门，打造社区协同服务机制，数据由下而上、时间由上而下，实现高效协调管理，提升社区幸福感</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分管领导：</w:t>
      </w:r>
      <w:r>
        <w:rPr>
          <w:rFonts w:hint="eastAsia" w:ascii="仿宋_GB2312" w:hAnsi="仿宋_GB2312" w:eastAsia="仿宋_GB2312" w:cs="仿宋_GB2312"/>
          <w:color w:val="000000"/>
          <w:sz w:val="32"/>
          <w:szCs w:val="32"/>
          <w:lang w:eastAsia="zh-CN"/>
        </w:rPr>
        <w:t>荣向阳</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经办人员：</w:t>
      </w:r>
      <w:r>
        <w:rPr>
          <w:rFonts w:hint="eastAsia" w:ascii="仿宋_GB2312" w:hAnsi="仿宋_GB2312" w:eastAsia="仿宋_GB2312" w:cs="仿宋_GB2312"/>
          <w:color w:val="000000"/>
          <w:sz w:val="32"/>
          <w:szCs w:val="32"/>
          <w:lang w:eastAsia="zh-CN"/>
        </w:rPr>
        <w:t>吴耿盛</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联系电话：</w:t>
      </w:r>
      <w:r>
        <w:rPr>
          <w:rFonts w:hint="eastAsia" w:ascii="仿宋_GB2312" w:hAnsi="仿宋_GB2312" w:eastAsia="仿宋_GB2312" w:cs="仿宋_GB2312"/>
          <w:color w:val="000000"/>
          <w:sz w:val="32"/>
          <w:szCs w:val="32"/>
          <w:lang w:val="en-US" w:eastAsia="zh-CN"/>
        </w:rPr>
        <w:t>0595-22985969</w:t>
      </w:r>
    </w:p>
    <w:p>
      <w:pPr>
        <w:keepNext w:val="0"/>
        <w:keepLines w:val="0"/>
        <w:pageBreakBefore w:val="0"/>
        <w:widowControl w:val="0"/>
        <w:kinsoku/>
        <w:wordWrap/>
        <w:overflowPunct/>
        <w:topLinePunct w:val="0"/>
        <w:autoSpaceDE/>
        <w:autoSpaceDN/>
        <w:bidi w:val="0"/>
        <w:adjustRightInd/>
        <w:snapToGrid/>
        <w:spacing w:line="578" w:lineRule="exact"/>
        <w:ind w:firstLine="4800" w:firstLineChars="15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丰泽区东湖街道办事处</w:t>
      </w:r>
      <w:r>
        <w:rPr>
          <w:rFonts w:hint="eastAsia" w:ascii="仿宋_GB2312" w:hAnsi="仿宋_GB2312" w:eastAsia="仿宋_GB2312" w:cs="仿宋_GB2312"/>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righ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2022</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27</w:t>
      </w:r>
      <w:r>
        <w:rPr>
          <w:rFonts w:hint="eastAsia" w:ascii="仿宋_GB2312" w:hAnsi="仿宋_GB2312" w:eastAsia="仿宋_GB2312" w:cs="仿宋_GB2312"/>
          <w:color w:val="000000"/>
          <w:sz w:val="32"/>
          <w:szCs w:val="32"/>
        </w:rPr>
        <w:t xml:space="preserve">日   </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（公开）</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抄送：区政府督查室，</w:t>
      </w:r>
      <w:r>
        <w:rPr>
          <w:rFonts w:hint="eastAsia" w:ascii="仿宋_GB2312" w:hAnsi="仿宋_GB2312" w:eastAsia="仿宋_GB2312" w:cs="仿宋_GB2312"/>
          <w:color w:val="000000"/>
          <w:sz w:val="32"/>
          <w:szCs w:val="32"/>
        </w:rPr>
        <w:t>区</w:t>
      </w:r>
      <w:r>
        <w:rPr>
          <w:rFonts w:hint="eastAsia" w:ascii="仿宋_GB2312" w:hAnsi="仿宋_GB2312" w:eastAsia="仿宋_GB2312" w:cs="仿宋_GB2312"/>
          <w:color w:val="000000"/>
          <w:sz w:val="32"/>
          <w:szCs w:val="32"/>
          <w:lang w:eastAsia="zh-CN"/>
        </w:rPr>
        <w:t>政协提案委</w:t>
      </w:r>
    </w:p>
    <w:p>
      <w:pPr>
        <w:pStyle w:val="2"/>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xZDk2MjM1OWQ1MTU0Y2EyZDJkZGJiZWQ3MzYxZjMifQ=="/>
  </w:docVars>
  <w:rsids>
    <w:rsidRoot w:val="4E860C4A"/>
    <w:rsid w:val="47AB27DE"/>
    <w:rsid w:val="4E860C4A"/>
    <w:rsid w:val="64D14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next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1422</Words>
  <Characters>1454</Characters>
  <Lines>0</Lines>
  <Paragraphs>0</Paragraphs>
  <TotalTime>21</TotalTime>
  <ScaleCrop>false</ScaleCrop>
  <LinksUpToDate>false</LinksUpToDate>
  <CharactersWithSpaces>1497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2022-06-24T03:08:00Z</dcterms:created>
  <dc:creator>Administrator</dc:creator>
  <cp:lastModifiedBy>Administrator</cp:lastModifiedBy>
  <cp:lastPrinted>2022-07-07T03:35:19Z</cp:lastPrinted>
  <dcterms:modified xsi:type="dcterms:W3CDTF">2022-07-07T11:02:03Z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AC84033C646148FEB8D57A2BA9DF78E8</vt:lpwstr>
  </property>
</Properties>
</file>