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Ansi="宋体" w:cs="宋体"/>
        </w:rPr>
      </w:pPr>
    </w:p>
    <w:p>
      <w:pPr>
        <w:pStyle w:val="4"/>
        <w:rPr>
          <w:rFonts w:hAnsi="宋体" w:cs="宋体"/>
        </w:rPr>
      </w:pPr>
    </w:p>
    <w:p>
      <w:pPr>
        <w:pStyle w:val="4"/>
        <w:rPr>
          <w:rFonts w:hAnsi="宋体" w:cs="宋体"/>
        </w:rPr>
      </w:pPr>
    </w:p>
    <w:p>
      <w:pPr>
        <w:pStyle w:val="4"/>
        <w:jc w:val="center"/>
        <w:rPr>
          <w:rFonts w:ascii="黑体" w:hAnsi="黑体" w:eastAsia="黑体" w:cs="宋体"/>
          <w:sz w:val="44"/>
          <w:szCs w:val="44"/>
        </w:rPr>
      </w:pPr>
    </w:p>
    <w:p>
      <w:pPr>
        <w:pStyle w:val="4"/>
        <w:jc w:val="center"/>
        <w:rPr>
          <w:rFonts w:ascii="黑体" w:hAnsi="黑体" w:eastAsia="黑体" w:cs="宋体"/>
          <w:sz w:val="44"/>
          <w:szCs w:val="44"/>
        </w:rPr>
      </w:pPr>
    </w:p>
    <w:p>
      <w:pPr>
        <w:pStyle w:val="4"/>
        <w:jc w:val="center"/>
        <w:rPr>
          <w:rFonts w:ascii="黑体" w:hAnsi="黑体" w:eastAsia="黑体" w:cs="黑体"/>
          <w:sz w:val="44"/>
          <w:szCs w:val="44"/>
        </w:rPr>
      </w:pPr>
      <w:r>
        <w:rPr>
          <w:rFonts w:hint="eastAsia" w:ascii="黑体" w:hAnsi="黑体" w:eastAsia="黑体" w:cs="黑体"/>
          <w:sz w:val="44"/>
          <w:szCs w:val="44"/>
        </w:rPr>
        <w:t>泉州市丰泽区2019年度禁毒工作专项经费</w:t>
      </w:r>
    </w:p>
    <w:p>
      <w:pPr>
        <w:pStyle w:val="4"/>
        <w:jc w:val="center"/>
        <w:rPr>
          <w:rFonts w:ascii="黑体" w:hAnsi="黑体" w:eastAsia="黑体" w:cs="黑体"/>
          <w:sz w:val="44"/>
          <w:szCs w:val="44"/>
        </w:rPr>
      </w:pPr>
      <w:r>
        <w:rPr>
          <w:rFonts w:hint="eastAsia" w:ascii="黑体" w:hAnsi="黑体" w:eastAsia="黑体" w:cs="黑体"/>
          <w:sz w:val="44"/>
          <w:szCs w:val="44"/>
        </w:rPr>
        <w:t>绩效评价报告</w:t>
      </w:r>
    </w:p>
    <w:p>
      <w:pPr>
        <w:pStyle w:val="4"/>
        <w:jc w:val="center"/>
        <w:rPr>
          <w:rFonts w:ascii="黑体" w:hAnsi="黑体" w:eastAsia="黑体" w:cs="宋体"/>
          <w:sz w:val="44"/>
          <w:szCs w:val="44"/>
        </w:rPr>
      </w:pPr>
    </w:p>
    <w:p>
      <w:pPr>
        <w:pStyle w:val="4"/>
        <w:jc w:val="center"/>
        <w:rPr>
          <w:rFonts w:ascii="黑体" w:hAnsi="黑体" w:eastAsia="黑体" w:cs="宋体"/>
          <w:sz w:val="44"/>
          <w:szCs w:val="44"/>
        </w:rPr>
      </w:pPr>
    </w:p>
    <w:p>
      <w:pPr>
        <w:pStyle w:val="4"/>
        <w:rPr>
          <w:rFonts w:hAnsi="宋体" w:cs="宋体"/>
        </w:rPr>
      </w:pPr>
    </w:p>
    <w:p>
      <w:pPr>
        <w:pStyle w:val="4"/>
        <w:rPr>
          <w:rFonts w:hAnsi="宋体" w:cs="宋体"/>
        </w:rPr>
      </w:pPr>
    </w:p>
    <w:p>
      <w:pPr>
        <w:pStyle w:val="4"/>
        <w:rPr>
          <w:rFonts w:hAnsi="宋体" w:cs="宋体"/>
        </w:rPr>
      </w:pPr>
    </w:p>
    <w:p>
      <w:pPr>
        <w:pStyle w:val="4"/>
        <w:rPr>
          <w:rFonts w:hAnsi="宋体" w:cs="宋体"/>
        </w:rPr>
      </w:pPr>
    </w:p>
    <w:p>
      <w:pPr>
        <w:pStyle w:val="4"/>
        <w:rPr>
          <w:rFonts w:hAnsi="宋体" w:cs="宋体"/>
        </w:rPr>
      </w:pPr>
    </w:p>
    <w:p>
      <w:pPr>
        <w:adjustRightInd w:val="0"/>
        <w:snapToGrid w:val="0"/>
        <w:spacing w:line="480" w:lineRule="auto"/>
        <w:rPr>
          <w:rFonts w:hint="default" w:ascii="宋体" w:hAnsi="宋体" w:cs="宋体" w:eastAsiaTheme="minorEastAsia"/>
          <w:bCs/>
          <w:sz w:val="32"/>
          <w:szCs w:val="32"/>
          <w:u w:val="single"/>
          <w:lang w:val="en-US" w:eastAsia="zh-CN"/>
        </w:rPr>
      </w:pPr>
      <w:r>
        <w:rPr>
          <w:rFonts w:hint="eastAsia" w:ascii="宋体" w:hAnsi="宋体" w:cs="宋体"/>
          <w:bCs/>
          <w:sz w:val="32"/>
          <w:szCs w:val="32"/>
        </w:rPr>
        <w:t>项 目 名 称 ：</w:t>
      </w:r>
      <w:r>
        <w:rPr>
          <w:rFonts w:hint="eastAsia" w:ascii="宋体" w:hAnsi="宋体" w:cs="宋体"/>
          <w:bCs/>
          <w:sz w:val="32"/>
          <w:szCs w:val="32"/>
          <w:u w:val="single"/>
          <w:lang w:val="en-US" w:eastAsia="zh-CN"/>
        </w:rPr>
        <w:t xml:space="preserve">      </w:t>
      </w:r>
      <w:r>
        <w:rPr>
          <w:rFonts w:hint="eastAsia" w:ascii="宋体" w:hAnsi="宋体" w:cs="宋体"/>
          <w:bCs/>
          <w:sz w:val="32"/>
          <w:szCs w:val="32"/>
          <w:u w:val="single"/>
        </w:rPr>
        <w:t>2019年度禁毒工作专项经费项目</w:t>
      </w:r>
      <w:r>
        <w:rPr>
          <w:rFonts w:hint="eastAsia" w:ascii="宋体" w:hAnsi="宋体" w:cs="宋体"/>
          <w:bCs/>
          <w:sz w:val="32"/>
          <w:szCs w:val="32"/>
          <w:u w:val="single"/>
          <w:lang w:val="en-US" w:eastAsia="zh-CN"/>
        </w:rPr>
        <w:t xml:space="preserve">    </w:t>
      </w:r>
    </w:p>
    <w:p>
      <w:pPr>
        <w:adjustRightInd w:val="0"/>
        <w:snapToGrid w:val="0"/>
        <w:spacing w:line="480" w:lineRule="auto"/>
        <w:rPr>
          <w:rFonts w:hint="default" w:ascii="宋体" w:hAnsi="宋体" w:cs="宋体" w:eastAsiaTheme="minorEastAsia"/>
          <w:bCs/>
          <w:sz w:val="32"/>
          <w:szCs w:val="32"/>
          <w:u w:val="single"/>
          <w:lang w:val="en-US" w:eastAsia="zh-CN"/>
        </w:rPr>
      </w:pPr>
      <w:r>
        <w:rPr>
          <w:rFonts w:hint="eastAsia" w:ascii="宋体" w:hAnsi="宋体" w:cs="宋体"/>
          <w:bCs/>
          <w:sz w:val="32"/>
          <w:szCs w:val="32"/>
        </w:rPr>
        <w:t>项目实施单位：</w:t>
      </w:r>
      <w:r>
        <w:rPr>
          <w:rFonts w:hint="eastAsia" w:ascii="宋体" w:hAnsi="宋体" w:cs="宋体"/>
          <w:bCs/>
          <w:sz w:val="32"/>
          <w:szCs w:val="32"/>
          <w:u w:val="single"/>
          <w:lang w:val="en-US" w:eastAsia="zh-CN"/>
        </w:rPr>
        <w:t xml:space="preserve">      </w:t>
      </w:r>
      <w:r>
        <w:rPr>
          <w:rFonts w:hint="eastAsia" w:ascii="宋体" w:hAnsi="宋体" w:cs="宋体"/>
          <w:bCs/>
          <w:sz w:val="32"/>
          <w:szCs w:val="32"/>
          <w:u w:val="single"/>
        </w:rPr>
        <w:t>泉州市丰泽区禁毒</w:t>
      </w:r>
      <w:r>
        <w:rPr>
          <w:rFonts w:hint="eastAsia" w:ascii="宋体" w:hAnsi="宋体" w:cs="宋体"/>
          <w:bCs/>
          <w:sz w:val="32"/>
          <w:szCs w:val="32"/>
          <w:u w:val="single"/>
          <w:lang w:eastAsia="zh-CN"/>
        </w:rPr>
        <w:t>委员会</w:t>
      </w:r>
      <w:r>
        <w:rPr>
          <w:rFonts w:hint="eastAsia" w:ascii="宋体" w:hAnsi="宋体" w:cs="宋体"/>
          <w:bCs/>
          <w:sz w:val="32"/>
          <w:szCs w:val="32"/>
          <w:u w:val="single"/>
        </w:rPr>
        <w:t>办公室</w:t>
      </w:r>
      <w:r>
        <w:rPr>
          <w:rFonts w:hint="eastAsia" w:ascii="宋体" w:hAnsi="宋体" w:cs="宋体"/>
          <w:bCs/>
          <w:sz w:val="32"/>
          <w:szCs w:val="32"/>
          <w:u w:val="single"/>
          <w:lang w:val="en-US" w:eastAsia="zh-CN"/>
        </w:rPr>
        <w:t xml:space="preserve">     </w:t>
      </w:r>
    </w:p>
    <w:p>
      <w:pPr>
        <w:adjustRightInd w:val="0"/>
        <w:snapToGrid w:val="0"/>
        <w:spacing w:line="480" w:lineRule="auto"/>
        <w:rPr>
          <w:rFonts w:ascii="宋体" w:hAnsi="宋体" w:cs="宋体"/>
          <w:bCs/>
          <w:sz w:val="32"/>
          <w:szCs w:val="32"/>
        </w:rPr>
      </w:pPr>
      <w:r>
        <w:rPr>
          <w:rFonts w:hint="eastAsia" w:ascii="宋体" w:hAnsi="宋体" w:cs="宋体"/>
          <w:bCs/>
          <w:sz w:val="32"/>
          <w:szCs w:val="32"/>
        </w:rPr>
        <w:t>委 托 单 位 ：</w:t>
      </w:r>
      <w:r>
        <w:rPr>
          <w:rFonts w:hint="eastAsia" w:ascii="宋体" w:hAnsi="宋体" w:cs="宋体"/>
          <w:bCs/>
          <w:sz w:val="32"/>
          <w:szCs w:val="32"/>
          <w:u w:val="single"/>
        </w:rPr>
        <w:t xml:space="preserve"> </w:t>
      </w:r>
      <w:r>
        <w:rPr>
          <w:rFonts w:hint="eastAsia" w:ascii="宋体" w:hAnsi="宋体" w:cs="宋体"/>
          <w:bCs/>
          <w:sz w:val="32"/>
          <w:szCs w:val="32"/>
          <w:u w:val="single"/>
          <w:lang w:val="en-US" w:eastAsia="zh-CN"/>
        </w:rPr>
        <w:t xml:space="preserve">        </w:t>
      </w:r>
      <w:r>
        <w:rPr>
          <w:rFonts w:hint="eastAsia" w:ascii="宋体" w:hAnsi="宋体" w:cs="宋体"/>
          <w:bCs/>
          <w:sz w:val="32"/>
          <w:szCs w:val="32"/>
          <w:u w:val="single"/>
        </w:rPr>
        <w:t xml:space="preserve"> 泉州市丰泽区财政局           </w:t>
      </w:r>
    </w:p>
    <w:p>
      <w:pPr>
        <w:rPr>
          <w:sz w:val="32"/>
          <w:szCs w:val="32"/>
        </w:rPr>
      </w:pPr>
      <w:r>
        <w:rPr>
          <w:rFonts w:hint="eastAsia" w:ascii="宋体" w:hAnsi="宋体" w:cs="宋体"/>
          <w:bCs/>
          <w:sz w:val="32"/>
          <w:szCs w:val="32"/>
        </w:rPr>
        <w:t>评 价 机 构 ：</w:t>
      </w:r>
      <w:r>
        <w:rPr>
          <w:rFonts w:hint="eastAsia" w:ascii="宋体" w:hAnsi="宋体" w:cs="宋体"/>
          <w:bCs/>
          <w:sz w:val="32"/>
          <w:szCs w:val="32"/>
          <w:u w:val="single"/>
        </w:rPr>
        <w:t xml:space="preserve">       集美大学地方财政绩效研究中心    </w:t>
      </w:r>
    </w:p>
    <w:p>
      <w:pPr>
        <w:pStyle w:val="2"/>
      </w:pPr>
    </w:p>
    <w:p>
      <w:pPr>
        <w:pStyle w:val="2"/>
      </w:pPr>
    </w:p>
    <w:p>
      <w:pPr>
        <w:pStyle w:val="2"/>
      </w:pPr>
    </w:p>
    <w:p>
      <w:pPr>
        <w:jc w:val="center"/>
      </w:pPr>
    </w:p>
    <w:p>
      <w:pPr>
        <w:pStyle w:val="2"/>
      </w:pPr>
    </w:p>
    <w:p>
      <w:pPr>
        <w:pStyle w:val="2"/>
      </w:pPr>
    </w:p>
    <w:p>
      <w:pPr>
        <w:jc w:val="center"/>
      </w:pPr>
    </w:p>
    <w:p>
      <w:pPr>
        <w:pStyle w:val="4"/>
        <w:jc w:val="center"/>
        <w:rPr>
          <w:sz w:val="24"/>
          <w:szCs w:val="24"/>
        </w:rPr>
      </w:pPr>
    </w:p>
    <w:p>
      <w:pPr>
        <w:pStyle w:val="4"/>
        <w:jc w:val="center"/>
        <w:rPr>
          <w:sz w:val="30"/>
          <w:szCs w:val="30"/>
        </w:rPr>
      </w:pPr>
    </w:p>
    <w:p>
      <w:pPr>
        <w:pStyle w:val="4"/>
        <w:jc w:val="center"/>
        <w:rPr>
          <w:sz w:val="24"/>
          <w:szCs w:val="24"/>
        </w:rPr>
        <w:sectPr>
          <w:pgSz w:w="11906" w:h="16838"/>
          <w:pgMar w:top="1417" w:right="1417" w:bottom="1417" w:left="1701" w:header="851" w:footer="992" w:gutter="0"/>
          <w:cols w:space="425" w:num="1"/>
          <w:docGrid w:type="lines" w:linePitch="312" w:charSpace="0"/>
        </w:sectPr>
      </w:pPr>
      <w:r>
        <w:rPr>
          <w:sz w:val="30"/>
          <w:szCs w:val="30"/>
        </w:rPr>
        <w:t>20</w:t>
      </w:r>
      <w:r>
        <w:rPr>
          <w:rFonts w:hint="eastAsia"/>
          <w:sz w:val="30"/>
          <w:szCs w:val="30"/>
        </w:rPr>
        <w:t>20</w:t>
      </w:r>
      <w:r>
        <w:rPr>
          <w:sz w:val="30"/>
          <w:szCs w:val="30"/>
        </w:rPr>
        <w:t>年</w:t>
      </w:r>
      <w:r>
        <w:rPr>
          <w:rFonts w:hint="eastAsia"/>
          <w:sz w:val="30"/>
          <w:szCs w:val="30"/>
        </w:rPr>
        <w:t>12</w:t>
      </w:r>
      <w:r>
        <w:rPr>
          <w:sz w:val="30"/>
          <w:szCs w:val="30"/>
        </w:rPr>
        <w:t>月</w:t>
      </w:r>
    </w:p>
    <w:p>
      <w:pPr>
        <w:pStyle w:val="4"/>
        <w:jc w:val="center"/>
        <w:rPr>
          <w:rFonts w:ascii="黑体" w:hAnsi="黑体" w:eastAsia="黑体" w:cs="宋体"/>
          <w:sz w:val="28"/>
          <w:szCs w:val="28"/>
        </w:rPr>
      </w:pPr>
      <w:r>
        <w:rPr>
          <w:rFonts w:hint="eastAsia" w:ascii="黑体" w:hAnsi="黑体" w:eastAsia="黑体" w:cs="宋体"/>
          <w:sz w:val="28"/>
          <w:szCs w:val="28"/>
        </w:rPr>
        <w:t>目  录</w:t>
      </w:r>
    </w:p>
    <w:sdt>
      <w:sdtPr>
        <w:rPr>
          <w:rFonts w:hint="eastAsia" w:ascii="宋体" w:hAnsi="宋体" w:eastAsia="宋体" w:cs="宋体"/>
          <w:b/>
          <w:sz w:val="24"/>
        </w:rPr>
        <w:id w:val="147473277"/>
        <w:docPartObj>
          <w:docPartGallery w:val="Table of Contents"/>
          <w:docPartUnique/>
        </w:docPartObj>
      </w:sdtPr>
      <w:sdtEndPr>
        <w:rPr>
          <w:rFonts w:hint="eastAsia" w:asciiTheme="minorEastAsia" w:hAnsiTheme="minorEastAsia" w:eastAsiaTheme="minorEastAsia" w:cstheme="minorEastAsia"/>
          <w:b w:val="0"/>
          <w:bCs/>
          <w:sz w:val="24"/>
        </w:rPr>
      </w:sdtEndPr>
      <w:sdtContent>
        <w:p>
          <w:pPr>
            <w:spacing w:line="360" w:lineRule="auto"/>
            <w:jc w:val="center"/>
            <w:rPr>
              <w:rFonts w:ascii="宋体" w:hAnsi="宋体" w:eastAsia="宋体" w:cs="宋体"/>
              <w:sz w:val="24"/>
            </w:rPr>
          </w:pP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TOC \o "1-2" \h \u </w:instrText>
          </w:r>
          <w:r>
            <w:rPr>
              <w:rFonts w:hint="eastAsia" w:ascii="宋体" w:hAnsi="宋体" w:eastAsia="宋体" w:cs="宋体"/>
              <w:b w:val="0"/>
              <w:bCs/>
              <w:sz w:val="24"/>
              <w:szCs w:val="24"/>
            </w:rPr>
            <w:fldChar w:fldCharType="separate"/>
          </w: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_Toc31449 </w:instrText>
          </w:r>
          <w:r>
            <w:rPr>
              <w:rFonts w:hint="eastAsia" w:ascii="宋体" w:hAnsi="宋体" w:eastAsia="宋体" w:cs="宋体"/>
              <w:bCs/>
              <w:sz w:val="24"/>
              <w:szCs w:val="24"/>
            </w:rPr>
            <w:fldChar w:fldCharType="separate"/>
          </w:r>
          <w:r>
            <w:rPr>
              <w:rFonts w:hint="eastAsia" w:ascii="宋体" w:hAnsi="宋体" w:eastAsia="宋体" w:cs="宋体"/>
              <w:bCs/>
              <w:sz w:val="24"/>
              <w:szCs w:val="24"/>
            </w:rPr>
            <w:t>一、项目基本情况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_Toc31449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bCs/>
              <w:sz w:val="24"/>
              <w:szCs w:val="24"/>
            </w:rPr>
            <w:fldChar w:fldCharType="end"/>
          </w:r>
        </w:p>
        <w:p>
          <w:pPr>
            <w:pStyle w:val="10"/>
            <w:keepNext w:val="0"/>
            <w:keepLines w:val="0"/>
            <w:pageBreakBefore w:val="0"/>
            <w:widowControl w:val="0"/>
            <w:tabs>
              <w:tab w:val="right" w:leader="dot" w:pos="8788"/>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_Toc13677 </w:instrText>
          </w:r>
          <w:r>
            <w:rPr>
              <w:rFonts w:hint="eastAsia" w:ascii="宋体" w:hAnsi="宋体" w:eastAsia="宋体" w:cs="宋体"/>
              <w:bCs/>
              <w:sz w:val="24"/>
              <w:szCs w:val="24"/>
            </w:rPr>
            <w:fldChar w:fldCharType="separate"/>
          </w:r>
          <w:r>
            <w:rPr>
              <w:rFonts w:hint="eastAsia" w:ascii="宋体" w:hAnsi="宋体" w:eastAsia="宋体" w:cs="宋体"/>
              <w:sz w:val="24"/>
              <w:szCs w:val="24"/>
            </w:rPr>
            <w:t>（一）项目概况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_Toc13677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bCs/>
              <w:sz w:val="24"/>
              <w:szCs w:val="24"/>
            </w:rPr>
            <w:fldChar w:fldCharType="end"/>
          </w:r>
        </w:p>
        <w:p>
          <w:pPr>
            <w:pStyle w:val="10"/>
            <w:keepNext w:val="0"/>
            <w:keepLines w:val="0"/>
            <w:pageBreakBefore w:val="0"/>
            <w:widowControl w:val="0"/>
            <w:tabs>
              <w:tab w:val="right" w:leader="dot" w:pos="8788"/>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_Toc21081 </w:instrText>
          </w:r>
          <w:r>
            <w:rPr>
              <w:rFonts w:hint="eastAsia" w:ascii="宋体" w:hAnsi="宋体" w:eastAsia="宋体" w:cs="宋体"/>
              <w:bCs/>
              <w:sz w:val="24"/>
              <w:szCs w:val="24"/>
            </w:rPr>
            <w:fldChar w:fldCharType="separate"/>
          </w:r>
          <w:r>
            <w:rPr>
              <w:rFonts w:hint="eastAsia" w:ascii="宋体" w:hAnsi="宋体" w:eastAsia="宋体" w:cs="宋体"/>
              <w:sz w:val="24"/>
              <w:szCs w:val="24"/>
            </w:rPr>
            <w:t>（二）项目绩效目标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_Toc21081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bCs/>
              <w:sz w:val="24"/>
              <w:szCs w:val="24"/>
            </w:rPr>
            <w:fldChar w:fldCharType="end"/>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_Toc27085 </w:instrText>
          </w:r>
          <w:r>
            <w:rPr>
              <w:rFonts w:hint="eastAsia" w:ascii="宋体" w:hAnsi="宋体" w:eastAsia="宋体" w:cs="宋体"/>
              <w:bCs/>
              <w:sz w:val="24"/>
              <w:szCs w:val="24"/>
            </w:rPr>
            <w:fldChar w:fldCharType="separate"/>
          </w:r>
          <w:r>
            <w:rPr>
              <w:rFonts w:hint="eastAsia" w:ascii="宋体" w:hAnsi="宋体" w:eastAsia="宋体" w:cs="宋体"/>
              <w:bCs/>
              <w:sz w:val="24"/>
              <w:szCs w:val="24"/>
            </w:rPr>
            <w:t>二、绩效评价工作开展情况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_Toc27085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bCs/>
              <w:sz w:val="24"/>
              <w:szCs w:val="24"/>
            </w:rPr>
            <w:fldChar w:fldCharType="end"/>
          </w:r>
        </w:p>
        <w:p>
          <w:pPr>
            <w:pStyle w:val="10"/>
            <w:keepNext w:val="0"/>
            <w:keepLines w:val="0"/>
            <w:pageBreakBefore w:val="0"/>
            <w:widowControl w:val="0"/>
            <w:tabs>
              <w:tab w:val="right" w:leader="dot" w:pos="8788"/>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_Toc7219 </w:instrText>
          </w:r>
          <w:r>
            <w:rPr>
              <w:rFonts w:hint="eastAsia" w:ascii="宋体" w:hAnsi="宋体" w:eastAsia="宋体" w:cs="宋体"/>
              <w:bCs/>
              <w:sz w:val="24"/>
              <w:szCs w:val="24"/>
            </w:rPr>
            <w:fldChar w:fldCharType="separate"/>
          </w:r>
          <w:r>
            <w:rPr>
              <w:rFonts w:hint="eastAsia" w:ascii="宋体" w:hAnsi="宋体" w:eastAsia="宋体" w:cs="宋体"/>
              <w:sz w:val="24"/>
              <w:szCs w:val="24"/>
            </w:rPr>
            <w:t>（一）绩效评价目的、对象和范围</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_Toc7219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bCs/>
              <w:sz w:val="24"/>
              <w:szCs w:val="24"/>
            </w:rPr>
            <w:fldChar w:fldCharType="end"/>
          </w:r>
        </w:p>
        <w:p>
          <w:pPr>
            <w:pStyle w:val="10"/>
            <w:keepNext w:val="0"/>
            <w:keepLines w:val="0"/>
            <w:pageBreakBefore w:val="0"/>
            <w:widowControl w:val="0"/>
            <w:tabs>
              <w:tab w:val="right" w:leader="dot" w:pos="8788"/>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_Toc4205 </w:instrText>
          </w:r>
          <w:r>
            <w:rPr>
              <w:rFonts w:hint="eastAsia" w:ascii="宋体" w:hAnsi="宋体" w:eastAsia="宋体" w:cs="宋体"/>
              <w:bCs/>
              <w:sz w:val="24"/>
              <w:szCs w:val="24"/>
            </w:rPr>
            <w:fldChar w:fldCharType="separate"/>
          </w:r>
          <w:r>
            <w:rPr>
              <w:rFonts w:hint="eastAsia" w:ascii="宋体" w:hAnsi="宋体" w:eastAsia="宋体" w:cs="宋体"/>
              <w:sz w:val="24"/>
              <w:szCs w:val="24"/>
            </w:rPr>
            <w:t>（二）绩效评价原则、评价指标体系、评价方法和评价标准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_Toc4205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bCs/>
              <w:sz w:val="24"/>
              <w:szCs w:val="24"/>
            </w:rPr>
            <w:fldChar w:fldCharType="end"/>
          </w:r>
        </w:p>
        <w:p>
          <w:pPr>
            <w:pStyle w:val="10"/>
            <w:keepNext w:val="0"/>
            <w:keepLines w:val="0"/>
            <w:pageBreakBefore w:val="0"/>
            <w:widowControl w:val="0"/>
            <w:tabs>
              <w:tab w:val="right" w:leader="dot" w:pos="8788"/>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_Toc28781 </w:instrText>
          </w:r>
          <w:r>
            <w:rPr>
              <w:rFonts w:hint="eastAsia" w:ascii="宋体" w:hAnsi="宋体" w:eastAsia="宋体" w:cs="宋体"/>
              <w:bCs/>
              <w:sz w:val="24"/>
              <w:szCs w:val="24"/>
            </w:rPr>
            <w:fldChar w:fldCharType="separate"/>
          </w:r>
          <w:r>
            <w:rPr>
              <w:rFonts w:hint="eastAsia" w:ascii="宋体" w:hAnsi="宋体" w:eastAsia="宋体" w:cs="宋体"/>
              <w:sz w:val="24"/>
              <w:szCs w:val="24"/>
            </w:rPr>
            <w:t>（三）绩效评价工作过程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_Toc28781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bCs/>
              <w:sz w:val="24"/>
              <w:szCs w:val="24"/>
            </w:rPr>
            <w:fldChar w:fldCharType="end"/>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_Toc15761 </w:instrText>
          </w:r>
          <w:r>
            <w:rPr>
              <w:rFonts w:hint="eastAsia" w:ascii="宋体" w:hAnsi="宋体" w:eastAsia="宋体" w:cs="宋体"/>
              <w:bCs/>
              <w:sz w:val="24"/>
              <w:szCs w:val="24"/>
            </w:rPr>
            <w:fldChar w:fldCharType="separate"/>
          </w:r>
          <w:r>
            <w:rPr>
              <w:rFonts w:hint="eastAsia" w:ascii="宋体" w:hAnsi="宋体" w:eastAsia="宋体" w:cs="宋体"/>
              <w:bCs/>
              <w:sz w:val="24"/>
              <w:szCs w:val="24"/>
            </w:rPr>
            <w:t>三、综合评价情况及评价结论</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_Toc15761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bCs/>
              <w:sz w:val="24"/>
              <w:szCs w:val="24"/>
            </w:rPr>
            <w:fldChar w:fldCharType="end"/>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_Toc25902 </w:instrText>
          </w:r>
          <w:r>
            <w:rPr>
              <w:rFonts w:hint="eastAsia" w:ascii="宋体" w:hAnsi="宋体" w:eastAsia="宋体" w:cs="宋体"/>
              <w:bCs/>
              <w:sz w:val="24"/>
              <w:szCs w:val="24"/>
            </w:rPr>
            <w:fldChar w:fldCharType="separate"/>
          </w:r>
          <w:r>
            <w:rPr>
              <w:rFonts w:hint="eastAsia" w:ascii="宋体" w:hAnsi="宋体" w:eastAsia="宋体" w:cs="宋体"/>
              <w:bCs/>
              <w:sz w:val="24"/>
              <w:szCs w:val="24"/>
            </w:rPr>
            <w:t>四、绩效评价指标分析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_Toc25902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bCs/>
              <w:sz w:val="24"/>
              <w:szCs w:val="24"/>
            </w:rPr>
            <w:fldChar w:fldCharType="end"/>
          </w:r>
        </w:p>
        <w:p>
          <w:pPr>
            <w:pStyle w:val="10"/>
            <w:keepNext w:val="0"/>
            <w:keepLines w:val="0"/>
            <w:pageBreakBefore w:val="0"/>
            <w:widowControl w:val="0"/>
            <w:tabs>
              <w:tab w:val="right" w:leader="dot" w:pos="8788"/>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_Toc32240 </w:instrText>
          </w:r>
          <w:r>
            <w:rPr>
              <w:rFonts w:hint="eastAsia" w:ascii="宋体" w:hAnsi="宋体" w:eastAsia="宋体" w:cs="宋体"/>
              <w:bCs/>
              <w:sz w:val="24"/>
              <w:szCs w:val="24"/>
            </w:rPr>
            <w:fldChar w:fldCharType="separate"/>
          </w:r>
          <w:r>
            <w:rPr>
              <w:rFonts w:hint="eastAsia" w:ascii="宋体" w:hAnsi="宋体" w:eastAsia="宋体" w:cs="宋体"/>
              <w:sz w:val="24"/>
              <w:szCs w:val="24"/>
            </w:rPr>
            <w:t>（一）项目决策情况得1</w:t>
          </w:r>
          <w:r>
            <w:rPr>
              <w:rFonts w:hint="eastAsia" w:ascii="宋体" w:hAnsi="宋体" w:eastAsia="宋体" w:cs="宋体"/>
              <w:sz w:val="24"/>
              <w:szCs w:val="24"/>
              <w:lang w:val="en-US" w:eastAsia="zh-CN"/>
            </w:rPr>
            <w:t>5</w:t>
          </w:r>
          <w:r>
            <w:rPr>
              <w:rFonts w:hint="eastAsia" w:ascii="宋体" w:hAnsi="宋体" w:eastAsia="宋体" w:cs="宋体"/>
              <w:sz w:val="24"/>
              <w:szCs w:val="24"/>
            </w:rPr>
            <w:t>分（共18分）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_Toc32240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bCs/>
              <w:sz w:val="24"/>
              <w:szCs w:val="24"/>
            </w:rPr>
            <w:fldChar w:fldCharType="end"/>
          </w:r>
        </w:p>
        <w:p>
          <w:pPr>
            <w:pStyle w:val="10"/>
            <w:keepNext w:val="0"/>
            <w:keepLines w:val="0"/>
            <w:pageBreakBefore w:val="0"/>
            <w:widowControl w:val="0"/>
            <w:tabs>
              <w:tab w:val="right" w:leader="dot" w:pos="8788"/>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_Toc3789 </w:instrText>
          </w:r>
          <w:r>
            <w:rPr>
              <w:rFonts w:hint="eastAsia" w:ascii="宋体" w:hAnsi="宋体" w:eastAsia="宋体" w:cs="宋体"/>
              <w:bCs/>
              <w:sz w:val="24"/>
              <w:szCs w:val="24"/>
            </w:rPr>
            <w:fldChar w:fldCharType="separate"/>
          </w:r>
          <w:r>
            <w:rPr>
              <w:rFonts w:hint="eastAsia" w:ascii="宋体" w:hAnsi="宋体" w:eastAsia="宋体" w:cs="宋体"/>
              <w:sz w:val="24"/>
              <w:szCs w:val="24"/>
            </w:rPr>
            <w:t>（二）项目过程指标得13分（共14分）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_Toc3789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bCs/>
              <w:sz w:val="24"/>
              <w:szCs w:val="24"/>
            </w:rPr>
            <w:fldChar w:fldCharType="end"/>
          </w:r>
        </w:p>
        <w:p>
          <w:pPr>
            <w:pStyle w:val="10"/>
            <w:keepNext w:val="0"/>
            <w:keepLines w:val="0"/>
            <w:pageBreakBefore w:val="0"/>
            <w:widowControl w:val="0"/>
            <w:tabs>
              <w:tab w:val="right" w:leader="dot" w:pos="8788"/>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_Toc27901 </w:instrText>
          </w:r>
          <w:r>
            <w:rPr>
              <w:rFonts w:hint="eastAsia" w:ascii="宋体" w:hAnsi="宋体" w:eastAsia="宋体" w:cs="宋体"/>
              <w:bCs/>
              <w:sz w:val="24"/>
              <w:szCs w:val="24"/>
            </w:rPr>
            <w:fldChar w:fldCharType="separate"/>
          </w:r>
          <w:r>
            <w:rPr>
              <w:rFonts w:hint="eastAsia" w:ascii="宋体" w:hAnsi="宋体" w:eastAsia="宋体" w:cs="宋体"/>
              <w:sz w:val="24"/>
              <w:szCs w:val="24"/>
            </w:rPr>
            <w:t>（三）项目产出情况得2</w:t>
          </w:r>
          <w:r>
            <w:rPr>
              <w:rFonts w:hint="eastAsia" w:ascii="宋体" w:hAnsi="宋体" w:cs="宋体"/>
              <w:sz w:val="24"/>
              <w:szCs w:val="24"/>
              <w:lang w:val="en-US" w:eastAsia="zh-CN"/>
            </w:rPr>
            <w:t>1</w:t>
          </w:r>
          <w:bookmarkStart w:id="31" w:name="_GoBack"/>
          <w:bookmarkEnd w:id="31"/>
          <w:r>
            <w:rPr>
              <w:rFonts w:hint="eastAsia" w:ascii="宋体" w:hAnsi="宋体" w:cs="宋体"/>
              <w:sz w:val="24"/>
              <w:szCs w:val="24"/>
              <w:lang w:val="en-US" w:eastAsia="zh-CN"/>
            </w:rPr>
            <w:t>.4</w:t>
          </w:r>
          <w:r>
            <w:rPr>
              <w:rFonts w:hint="eastAsia" w:ascii="宋体" w:hAnsi="宋体" w:eastAsia="宋体" w:cs="宋体"/>
              <w:sz w:val="24"/>
              <w:szCs w:val="24"/>
            </w:rPr>
            <w:t>分（共23分）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_Toc27901 </w:instrText>
          </w:r>
          <w:r>
            <w:rPr>
              <w:rFonts w:hint="eastAsia" w:ascii="宋体" w:hAnsi="宋体" w:eastAsia="宋体" w:cs="宋体"/>
              <w:sz w:val="24"/>
              <w:szCs w:val="24"/>
            </w:rPr>
            <w:fldChar w:fldCharType="separate"/>
          </w:r>
          <w:r>
            <w:rPr>
              <w:rFonts w:hint="eastAsia" w:ascii="宋体" w:hAnsi="宋体" w:eastAsia="宋体" w:cs="宋体"/>
              <w:sz w:val="24"/>
              <w:szCs w:val="24"/>
            </w:rPr>
            <w:t>12</w:t>
          </w:r>
          <w:r>
            <w:rPr>
              <w:rFonts w:hint="eastAsia" w:ascii="宋体" w:hAnsi="宋体" w:eastAsia="宋体" w:cs="宋体"/>
              <w:sz w:val="24"/>
              <w:szCs w:val="24"/>
            </w:rPr>
            <w:fldChar w:fldCharType="end"/>
          </w:r>
          <w:r>
            <w:rPr>
              <w:rFonts w:hint="eastAsia" w:ascii="宋体" w:hAnsi="宋体" w:eastAsia="宋体" w:cs="宋体"/>
              <w:bCs/>
              <w:sz w:val="24"/>
              <w:szCs w:val="24"/>
            </w:rPr>
            <w:fldChar w:fldCharType="end"/>
          </w:r>
        </w:p>
        <w:p>
          <w:pPr>
            <w:pStyle w:val="10"/>
            <w:keepNext w:val="0"/>
            <w:keepLines w:val="0"/>
            <w:pageBreakBefore w:val="0"/>
            <w:widowControl w:val="0"/>
            <w:tabs>
              <w:tab w:val="right" w:leader="dot" w:pos="8788"/>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_Toc31108 </w:instrText>
          </w:r>
          <w:r>
            <w:rPr>
              <w:rFonts w:hint="eastAsia" w:ascii="宋体" w:hAnsi="宋体" w:eastAsia="宋体" w:cs="宋体"/>
              <w:bCs/>
              <w:sz w:val="24"/>
              <w:szCs w:val="24"/>
            </w:rPr>
            <w:fldChar w:fldCharType="separate"/>
          </w:r>
          <w:r>
            <w:rPr>
              <w:rFonts w:hint="eastAsia" w:ascii="宋体" w:hAnsi="宋体" w:eastAsia="宋体" w:cs="宋体"/>
              <w:sz w:val="24"/>
              <w:szCs w:val="24"/>
            </w:rPr>
            <w:t>（四）项目效益情况得4</w:t>
          </w:r>
          <w:r>
            <w:rPr>
              <w:rFonts w:hint="eastAsia" w:ascii="宋体" w:hAnsi="宋体" w:cs="宋体"/>
              <w:sz w:val="24"/>
              <w:szCs w:val="24"/>
              <w:lang w:val="en-US" w:eastAsia="zh-CN"/>
            </w:rPr>
            <w:t>4</w:t>
          </w:r>
          <w:r>
            <w:rPr>
              <w:rFonts w:hint="eastAsia" w:ascii="宋体" w:hAnsi="宋体" w:eastAsia="宋体" w:cs="宋体"/>
              <w:sz w:val="24"/>
              <w:szCs w:val="24"/>
            </w:rPr>
            <w:t>分（共45分）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_Toc31108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rPr>
            <w:fldChar w:fldCharType="end"/>
          </w:r>
          <w:r>
            <w:rPr>
              <w:rFonts w:hint="eastAsia" w:ascii="宋体" w:hAnsi="宋体" w:eastAsia="宋体" w:cs="宋体"/>
              <w:bCs/>
              <w:sz w:val="24"/>
              <w:szCs w:val="24"/>
            </w:rPr>
            <w:fldChar w:fldCharType="end"/>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_Toc4692 </w:instrText>
          </w:r>
          <w:r>
            <w:rPr>
              <w:rFonts w:hint="eastAsia" w:ascii="宋体" w:hAnsi="宋体" w:eastAsia="宋体" w:cs="宋体"/>
              <w:bCs/>
              <w:sz w:val="24"/>
              <w:szCs w:val="24"/>
            </w:rPr>
            <w:fldChar w:fldCharType="separate"/>
          </w:r>
          <w:r>
            <w:rPr>
              <w:rFonts w:hint="eastAsia" w:ascii="宋体" w:hAnsi="宋体" w:eastAsia="宋体" w:cs="宋体"/>
              <w:bCs/>
              <w:sz w:val="24"/>
              <w:szCs w:val="24"/>
            </w:rPr>
            <w:t>五、主要经验及做法、存在的问题及原因分析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_Toc4692 </w:instrText>
          </w:r>
          <w:r>
            <w:rPr>
              <w:rFonts w:hint="eastAsia" w:ascii="宋体" w:hAnsi="宋体" w:eastAsia="宋体" w:cs="宋体"/>
              <w:sz w:val="24"/>
              <w:szCs w:val="24"/>
            </w:rPr>
            <w:fldChar w:fldCharType="separate"/>
          </w:r>
          <w:r>
            <w:rPr>
              <w:rFonts w:hint="eastAsia" w:ascii="宋体" w:hAnsi="宋体" w:eastAsia="宋体" w:cs="宋体"/>
              <w:sz w:val="24"/>
              <w:szCs w:val="24"/>
            </w:rPr>
            <w:t>15</w:t>
          </w:r>
          <w:r>
            <w:rPr>
              <w:rFonts w:hint="eastAsia" w:ascii="宋体" w:hAnsi="宋体" w:eastAsia="宋体" w:cs="宋体"/>
              <w:sz w:val="24"/>
              <w:szCs w:val="24"/>
            </w:rPr>
            <w:fldChar w:fldCharType="end"/>
          </w:r>
          <w:r>
            <w:rPr>
              <w:rFonts w:hint="eastAsia" w:ascii="宋体" w:hAnsi="宋体" w:eastAsia="宋体" w:cs="宋体"/>
              <w:bCs/>
              <w:sz w:val="24"/>
              <w:szCs w:val="24"/>
            </w:rPr>
            <w:fldChar w:fldCharType="end"/>
          </w:r>
        </w:p>
        <w:p>
          <w:pPr>
            <w:pStyle w:val="10"/>
            <w:keepNext w:val="0"/>
            <w:keepLines w:val="0"/>
            <w:pageBreakBefore w:val="0"/>
            <w:widowControl w:val="0"/>
            <w:tabs>
              <w:tab w:val="right" w:leader="dot" w:pos="8788"/>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_Toc12712 </w:instrText>
          </w:r>
          <w:r>
            <w:rPr>
              <w:rFonts w:hint="eastAsia" w:ascii="宋体" w:hAnsi="宋体" w:eastAsia="宋体" w:cs="宋体"/>
              <w:bCs/>
              <w:sz w:val="24"/>
              <w:szCs w:val="24"/>
            </w:rPr>
            <w:fldChar w:fldCharType="separate"/>
          </w:r>
          <w:r>
            <w:rPr>
              <w:rFonts w:hint="eastAsia" w:ascii="宋体" w:hAnsi="宋体" w:eastAsia="宋体" w:cs="宋体"/>
              <w:sz w:val="24"/>
              <w:szCs w:val="24"/>
            </w:rPr>
            <w:t>（一）主要经验及做法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_Toc12712 </w:instrText>
          </w:r>
          <w:r>
            <w:rPr>
              <w:rFonts w:hint="eastAsia" w:ascii="宋体" w:hAnsi="宋体" w:eastAsia="宋体" w:cs="宋体"/>
              <w:sz w:val="24"/>
              <w:szCs w:val="24"/>
            </w:rPr>
            <w:fldChar w:fldCharType="separate"/>
          </w:r>
          <w:r>
            <w:rPr>
              <w:rFonts w:hint="eastAsia" w:ascii="宋体" w:hAnsi="宋体" w:eastAsia="宋体" w:cs="宋体"/>
              <w:sz w:val="24"/>
              <w:szCs w:val="24"/>
            </w:rPr>
            <w:t>15</w:t>
          </w:r>
          <w:r>
            <w:rPr>
              <w:rFonts w:hint="eastAsia" w:ascii="宋体" w:hAnsi="宋体" w:eastAsia="宋体" w:cs="宋体"/>
              <w:sz w:val="24"/>
              <w:szCs w:val="24"/>
            </w:rPr>
            <w:fldChar w:fldCharType="end"/>
          </w:r>
          <w:r>
            <w:rPr>
              <w:rFonts w:hint="eastAsia" w:ascii="宋体" w:hAnsi="宋体" w:eastAsia="宋体" w:cs="宋体"/>
              <w:bCs/>
              <w:sz w:val="24"/>
              <w:szCs w:val="24"/>
            </w:rPr>
            <w:fldChar w:fldCharType="end"/>
          </w:r>
        </w:p>
        <w:p>
          <w:pPr>
            <w:pStyle w:val="10"/>
            <w:keepNext w:val="0"/>
            <w:keepLines w:val="0"/>
            <w:pageBreakBefore w:val="0"/>
            <w:widowControl w:val="0"/>
            <w:tabs>
              <w:tab w:val="right" w:leader="dot" w:pos="8788"/>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_Toc26517 </w:instrText>
          </w:r>
          <w:r>
            <w:rPr>
              <w:rFonts w:hint="eastAsia" w:ascii="宋体" w:hAnsi="宋体" w:eastAsia="宋体" w:cs="宋体"/>
              <w:bCs/>
              <w:sz w:val="24"/>
              <w:szCs w:val="24"/>
            </w:rPr>
            <w:fldChar w:fldCharType="separate"/>
          </w:r>
          <w:r>
            <w:rPr>
              <w:rFonts w:hint="eastAsia" w:ascii="宋体" w:hAnsi="宋体" w:eastAsia="宋体" w:cs="宋体"/>
              <w:sz w:val="24"/>
              <w:szCs w:val="24"/>
            </w:rPr>
            <w:t>（二）存在的问题及原因分析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_Toc26517 </w:instrText>
          </w:r>
          <w:r>
            <w:rPr>
              <w:rFonts w:hint="eastAsia" w:ascii="宋体" w:hAnsi="宋体" w:eastAsia="宋体" w:cs="宋体"/>
              <w:sz w:val="24"/>
              <w:szCs w:val="24"/>
            </w:rPr>
            <w:fldChar w:fldCharType="separate"/>
          </w:r>
          <w:r>
            <w:rPr>
              <w:rFonts w:hint="eastAsia" w:ascii="宋体" w:hAnsi="宋体" w:eastAsia="宋体" w:cs="宋体"/>
              <w:sz w:val="24"/>
              <w:szCs w:val="24"/>
            </w:rPr>
            <w:t>17</w:t>
          </w:r>
          <w:r>
            <w:rPr>
              <w:rFonts w:hint="eastAsia" w:ascii="宋体" w:hAnsi="宋体" w:eastAsia="宋体" w:cs="宋体"/>
              <w:sz w:val="24"/>
              <w:szCs w:val="24"/>
            </w:rPr>
            <w:fldChar w:fldCharType="end"/>
          </w:r>
          <w:r>
            <w:rPr>
              <w:rFonts w:hint="eastAsia" w:ascii="宋体" w:hAnsi="宋体" w:eastAsia="宋体" w:cs="宋体"/>
              <w:bCs/>
              <w:sz w:val="24"/>
              <w:szCs w:val="24"/>
            </w:rPr>
            <w:fldChar w:fldCharType="end"/>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_Toc22149 </w:instrText>
          </w:r>
          <w:r>
            <w:rPr>
              <w:rFonts w:hint="eastAsia" w:ascii="宋体" w:hAnsi="宋体" w:eastAsia="宋体" w:cs="宋体"/>
              <w:bCs/>
              <w:sz w:val="24"/>
              <w:szCs w:val="24"/>
            </w:rPr>
            <w:fldChar w:fldCharType="separate"/>
          </w:r>
          <w:r>
            <w:rPr>
              <w:rFonts w:hint="eastAsia" w:ascii="宋体" w:hAnsi="宋体" w:eastAsia="宋体" w:cs="宋体"/>
              <w:bCs/>
              <w:sz w:val="24"/>
              <w:szCs w:val="24"/>
            </w:rPr>
            <w:t>六、有关建议</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_Toc22149 </w:instrText>
          </w:r>
          <w:r>
            <w:rPr>
              <w:rFonts w:hint="eastAsia" w:ascii="宋体" w:hAnsi="宋体" w:eastAsia="宋体" w:cs="宋体"/>
              <w:sz w:val="24"/>
              <w:szCs w:val="24"/>
            </w:rPr>
            <w:fldChar w:fldCharType="separate"/>
          </w:r>
          <w:r>
            <w:rPr>
              <w:rFonts w:hint="eastAsia"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bCs/>
              <w:sz w:val="24"/>
              <w:szCs w:val="24"/>
            </w:rPr>
            <w:fldChar w:fldCharType="end"/>
          </w:r>
        </w:p>
        <w:p>
          <w:pPr>
            <w:pStyle w:val="10"/>
            <w:keepNext w:val="0"/>
            <w:keepLines w:val="0"/>
            <w:pageBreakBefore w:val="0"/>
            <w:widowControl w:val="0"/>
            <w:tabs>
              <w:tab w:val="right" w:leader="dot" w:pos="8788"/>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_Toc12864 </w:instrText>
          </w:r>
          <w:r>
            <w:rPr>
              <w:rFonts w:hint="eastAsia" w:ascii="宋体" w:hAnsi="宋体" w:eastAsia="宋体" w:cs="宋体"/>
              <w:bCs/>
              <w:sz w:val="24"/>
              <w:szCs w:val="24"/>
            </w:rPr>
            <w:fldChar w:fldCharType="separate"/>
          </w:r>
          <w:r>
            <w:rPr>
              <w:rFonts w:hint="eastAsia" w:ascii="宋体" w:hAnsi="宋体" w:eastAsia="宋体" w:cs="宋体"/>
              <w:sz w:val="24"/>
              <w:szCs w:val="24"/>
            </w:rPr>
            <w:t>（一）完善项目支出绩效目标申报工作</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_Toc12864 </w:instrText>
          </w:r>
          <w:r>
            <w:rPr>
              <w:rFonts w:hint="eastAsia" w:ascii="宋体" w:hAnsi="宋体" w:eastAsia="宋体" w:cs="宋体"/>
              <w:sz w:val="24"/>
              <w:szCs w:val="24"/>
            </w:rPr>
            <w:fldChar w:fldCharType="separate"/>
          </w:r>
          <w:r>
            <w:rPr>
              <w:rFonts w:hint="eastAsia"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bCs/>
              <w:sz w:val="24"/>
              <w:szCs w:val="24"/>
            </w:rPr>
            <w:fldChar w:fldCharType="end"/>
          </w:r>
        </w:p>
        <w:p>
          <w:pPr>
            <w:pStyle w:val="10"/>
            <w:keepNext w:val="0"/>
            <w:keepLines w:val="0"/>
            <w:pageBreakBefore w:val="0"/>
            <w:widowControl w:val="0"/>
            <w:tabs>
              <w:tab w:val="right" w:leader="dot" w:pos="8788"/>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_Toc21851 </w:instrText>
          </w:r>
          <w:r>
            <w:rPr>
              <w:rFonts w:hint="eastAsia" w:ascii="宋体" w:hAnsi="宋体" w:eastAsia="宋体" w:cs="宋体"/>
              <w:bCs/>
              <w:sz w:val="24"/>
              <w:szCs w:val="24"/>
            </w:rPr>
            <w:fldChar w:fldCharType="separate"/>
          </w:r>
          <w:r>
            <w:rPr>
              <w:rFonts w:hint="eastAsia" w:ascii="宋体" w:hAnsi="宋体" w:eastAsia="宋体" w:cs="宋体"/>
              <w:sz w:val="24"/>
              <w:szCs w:val="24"/>
            </w:rPr>
            <w:t>（二）</w:t>
          </w:r>
          <w:r>
            <w:rPr>
              <w:rFonts w:hint="eastAsia" w:ascii="宋体" w:hAnsi="宋体" w:eastAsia="宋体" w:cs="宋体"/>
              <w:sz w:val="24"/>
              <w:szCs w:val="24"/>
              <w:lang w:val="en-US" w:eastAsia="zh-CN"/>
            </w:rPr>
            <w:t>建立长效的宣传工作机制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_Toc21851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bCs/>
              <w:sz w:val="24"/>
              <w:szCs w:val="24"/>
            </w:rPr>
            <w:fldChar w:fldCharType="end"/>
          </w:r>
        </w:p>
        <w:p>
          <w:pPr>
            <w:pStyle w:val="10"/>
            <w:keepNext w:val="0"/>
            <w:keepLines w:val="0"/>
            <w:pageBreakBefore w:val="0"/>
            <w:widowControl w:val="0"/>
            <w:tabs>
              <w:tab w:val="right" w:leader="dot" w:pos="8788"/>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_Toc31056 </w:instrText>
          </w:r>
          <w:r>
            <w:rPr>
              <w:rFonts w:hint="eastAsia" w:ascii="宋体" w:hAnsi="宋体" w:eastAsia="宋体" w:cs="宋体"/>
              <w:bCs/>
              <w:sz w:val="24"/>
              <w:szCs w:val="24"/>
            </w:rPr>
            <w:fldChar w:fldCharType="separate"/>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三</w:t>
          </w:r>
          <w:r>
            <w:rPr>
              <w:rFonts w:hint="eastAsia" w:ascii="宋体" w:hAnsi="宋体" w:eastAsia="宋体" w:cs="宋体"/>
              <w:sz w:val="24"/>
              <w:szCs w:val="24"/>
              <w:lang w:eastAsia="zh-CN"/>
            </w:rPr>
            <w:t>）</w:t>
          </w:r>
          <w:r>
            <w:rPr>
              <w:rFonts w:hint="eastAsia" w:ascii="宋体" w:hAnsi="宋体" w:eastAsia="宋体" w:cs="宋体"/>
              <w:sz w:val="24"/>
              <w:szCs w:val="24"/>
            </w:rPr>
            <w:t>加大</w:t>
          </w:r>
          <w:r>
            <w:rPr>
              <w:rFonts w:hint="eastAsia" w:ascii="宋体" w:hAnsi="宋体" w:eastAsia="宋体" w:cs="宋体"/>
              <w:sz w:val="24"/>
              <w:szCs w:val="24"/>
              <w:lang w:eastAsia="zh-CN"/>
            </w:rPr>
            <w:t>禁毒办案</w:t>
          </w:r>
          <w:r>
            <w:rPr>
              <w:rFonts w:hint="eastAsia" w:ascii="宋体" w:hAnsi="宋体" w:eastAsia="宋体" w:cs="宋体"/>
              <w:sz w:val="24"/>
              <w:szCs w:val="24"/>
            </w:rPr>
            <w:t>的经费投入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_Toc31056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bCs/>
              <w:sz w:val="24"/>
              <w:szCs w:val="24"/>
            </w:rPr>
            <w:fldChar w:fldCharType="end"/>
          </w:r>
        </w:p>
        <w:p>
          <w:pPr>
            <w:pStyle w:val="10"/>
            <w:keepNext w:val="0"/>
            <w:keepLines w:val="0"/>
            <w:pageBreakBefore w:val="0"/>
            <w:widowControl w:val="0"/>
            <w:tabs>
              <w:tab w:val="right" w:leader="dot" w:pos="8788"/>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_Toc5396 </w:instrText>
          </w:r>
          <w:r>
            <w:rPr>
              <w:rFonts w:hint="eastAsia" w:ascii="宋体" w:hAnsi="宋体" w:eastAsia="宋体" w:cs="宋体"/>
              <w:bCs/>
              <w:sz w:val="24"/>
              <w:szCs w:val="24"/>
            </w:rPr>
            <w:fldChar w:fldCharType="separate"/>
          </w:r>
          <w:r>
            <w:rPr>
              <w:rFonts w:hint="eastAsia" w:ascii="宋体" w:hAnsi="宋体" w:eastAsia="宋体" w:cs="宋体"/>
              <w:sz w:val="24"/>
              <w:szCs w:val="24"/>
            </w:rPr>
            <w:t>（</w:t>
          </w:r>
          <w:r>
            <w:rPr>
              <w:rFonts w:hint="eastAsia" w:ascii="宋体" w:hAnsi="宋体" w:eastAsia="宋体" w:cs="宋体"/>
              <w:sz w:val="24"/>
              <w:szCs w:val="24"/>
              <w:lang w:val="en-US" w:eastAsia="zh-CN"/>
            </w:rPr>
            <w:t>四</w:t>
          </w:r>
          <w:r>
            <w:rPr>
              <w:rFonts w:hint="eastAsia" w:ascii="宋体" w:hAnsi="宋体" w:eastAsia="宋体" w:cs="宋体"/>
              <w:sz w:val="24"/>
              <w:szCs w:val="24"/>
            </w:rPr>
            <w:t>）加大社工队伍建设投入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_Toc5396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bCs/>
              <w:sz w:val="24"/>
              <w:szCs w:val="24"/>
            </w:rPr>
            <w:fldChar w:fldCharType="end"/>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_Toc23702 </w:instrText>
          </w:r>
          <w:r>
            <w:rPr>
              <w:rFonts w:hint="eastAsia" w:ascii="宋体" w:hAnsi="宋体" w:eastAsia="宋体" w:cs="宋体"/>
              <w:bCs/>
              <w:sz w:val="24"/>
              <w:szCs w:val="24"/>
            </w:rPr>
            <w:fldChar w:fldCharType="separate"/>
          </w:r>
          <w:r>
            <w:rPr>
              <w:rFonts w:hint="eastAsia" w:ascii="宋体" w:hAnsi="宋体" w:eastAsia="宋体" w:cs="宋体"/>
              <w:bCs/>
              <w:sz w:val="24"/>
              <w:szCs w:val="24"/>
            </w:rPr>
            <w:t>七、其他需要说明的问题</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_Toc23702 </w:instrText>
          </w:r>
          <w:r>
            <w:rPr>
              <w:rFonts w:hint="eastAsia" w:ascii="宋体" w:hAnsi="宋体" w:eastAsia="宋体" w:cs="宋体"/>
              <w:sz w:val="24"/>
              <w:szCs w:val="24"/>
            </w:rPr>
            <w:fldChar w:fldCharType="separate"/>
          </w:r>
          <w:r>
            <w:rPr>
              <w:rFonts w:hint="eastAsia" w:ascii="宋体" w:hAnsi="宋体" w:eastAsia="宋体" w:cs="宋体"/>
              <w:sz w:val="24"/>
              <w:szCs w:val="24"/>
            </w:rPr>
            <w:t>20</w:t>
          </w:r>
          <w:r>
            <w:rPr>
              <w:rFonts w:hint="eastAsia" w:ascii="宋体" w:hAnsi="宋体" w:eastAsia="宋体" w:cs="宋体"/>
              <w:sz w:val="24"/>
              <w:szCs w:val="24"/>
            </w:rPr>
            <w:fldChar w:fldCharType="end"/>
          </w:r>
          <w:r>
            <w:rPr>
              <w:rFonts w:hint="eastAsia" w:ascii="宋体" w:hAnsi="宋体" w:eastAsia="宋体" w:cs="宋体"/>
              <w:bCs/>
              <w:sz w:val="24"/>
              <w:szCs w:val="24"/>
            </w:rPr>
            <w:fldChar w:fldCharType="end"/>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_Toc24726 </w:instrText>
          </w:r>
          <w:r>
            <w:rPr>
              <w:rFonts w:hint="eastAsia" w:ascii="宋体" w:hAnsi="宋体" w:eastAsia="宋体" w:cs="宋体"/>
              <w:bCs/>
              <w:sz w:val="24"/>
              <w:szCs w:val="24"/>
            </w:rPr>
            <w:fldChar w:fldCharType="separate"/>
          </w:r>
          <w:r>
            <w:rPr>
              <w:rFonts w:hint="eastAsia" w:ascii="宋体" w:hAnsi="宋体" w:eastAsia="宋体" w:cs="宋体"/>
              <w:bCs/>
              <w:sz w:val="24"/>
              <w:szCs w:val="24"/>
            </w:rPr>
            <w:t>附件1  绩效评价得分表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_Toc24726 </w:instrText>
          </w:r>
          <w:r>
            <w:rPr>
              <w:rFonts w:hint="eastAsia" w:ascii="宋体" w:hAnsi="宋体" w:eastAsia="宋体" w:cs="宋体"/>
              <w:sz w:val="24"/>
              <w:szCs w:val="24"/>
            </w:rPr>
            <w:fldChar w:fldCharType="separate"/>
          </w:r>
          <w:r>
            <w:rPr>
              <w:rFonts w:hint="eastAsia" w:ascii="宋体" w:hAnsi="宋体" w:eastAsia="宋体" w:cs="宋体"/>
              <w:sz w:val="24"/>
              <w:szCs w:val="24"/>
            </w:rPr>
            <w:t>21</w:t>
          </w:r>
          <w:r>
            <w:rPr>
              <w:rFonts w:hint="eastAsia" w:ascii="宋体" w:hAnsi="宋体" w:eastAsia="宋体" w:cs="宋体"/>
              <w:sz w:val="24"/>
              <w:szCs w:val="24"/>
            </w:rPr>
            <w:fldChar w:fldCharType="end"/>
          </w:r>
          <w:r>
            <w:rPr>
              <w:rFonts w:hint="eastAsia" w:ascii="宋体" w:hAnsi="宋体" w:eastAsia="宋体" w:cs="宋体"/>
              <w:bCs/>
              <w:sz w:val="24"/>
              <w:szCs w:val="24"/>
            </w:rPr>
            <w:fldChar w:fldCharType="end"/>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_Toc1075 </w:instrText>
          </w:r>
          <w:r>
            <w:rPr>
              <w:rFonts w:hint="eastAsia" w:ascii="宋体" w:hAnsi="宋体" w:eastAsia="宋体" w:cs="宋体"/>
              <w:bCs/>
              <w:sz w:val="24"/>
              <w:szCs w:val="24"/>
            </w:rPr>
            <w:fldChar w:fldCharType="separate"/>
          </w:r>
          <w:r>
            <w:rPr>
              <w:rFonts w:hint="eastAsia" w:ascii="宋体" w:hAnsi="宋体" w:eastAsia="宋体" w:cs="宋体"/>
              <w:bCs/>
              <w:sz w:val="24"/>
              <w:szCs w:val="24"/>
            </w:rPr>
            <w:t>附件2  绩效评价资料清单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_Toc1075 </w:instrText>
          </w:r>
          <w:r>
            <w:rPr>
              <w:rFonts w:hint="eastAsia" w:ascii="宋体" w:hAnsi="宋体" w:eastAsia="宋体" w:cs="宋体"/>
              <w:sz w:val="24"/>
              <w:szCs w:val="24"/>
            </w:rPr>
            <w:fldChar w:fldCharType="separate"/>
          </w:r>
          <w:r>
            <w:rPr>
              <w:rFonts w:hint="eastAsia" w:ascii="宋体" w:hAnsi="宋体" w:eastAsia="宋体" w:cs="宋体"/>
              <w:sz w:val="24"/>
              <w:szCs w:val="24"/>
            </w:rPr>
            <w:t>24</w:t>
          </w:r>
          <w:r>
            <w:rPr>
              <w:rFonts w:hint="eastAsia" w:ascii="宋体" w:hAnsi="宋体" w:eastAsia="宋体" w:cs="宋体"/>
              <w:sz w:val="24"/>
              <w:szCs w:val="24"/>
            </w:rPr>
            <w:fldChar w:fldCharType="end"/>
          </w:r>
          <w:r>
            <w:rPr>
              <w:rFonts w:hint="eastAsia" w:ascii="宋体" w:hAnsi="宋体" w:eastAsia="宋体" w:cs="宋体"/>
              <w:bCs/>
              <w:sz w:val="24"/>
              <w:szCs w:val="24"/>
            </w:rPr>
            <w:fldChar w:fldCharType="end"/>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_Toc3314 </w:instrText>
          </w:r>
          <w:r>
            <w:rPr>
              <w:rFonts w:hint="eastAsia" w:ascii="宋体" w:hAnsi="宋体" w:eastAsia="宋体" w:cs="宋体"/>
              <w:bCs/>
              <w:sz w:val="24"/>
              <w:szCs w:val="24"/>
            </w:rPr>
            <w:fldChar w:fldCharType="separate"/>
          </w:r>
          <w:r>
            <w:rPr>
              <w:rFonts w:hint="eastAsia" w:ascii="宋体" w:hAnsi="宋体" w:eastAsia="宋体" w:cs="宋体"/>
              <w:bCs/>
              <w:sz w:val="24"/>
              <w:szCs w:val="24"/>
            </w:rPr>
            <w:t>附件3  满意度调查问卷分析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_Toc3314 </w:instrText>
          </w:r>
          <w:r>
            <w:rPr>
              <w:rFonts w:hint="eastAsia" w:ascii="宋体" w:hAnsi="宋体" w:eastAsia="宋体" w:cs="宋体"/>
              <w:sz w:val="24"/>
              <w:szCs w:val="24"/>
            </w:rPr>
            <w:fldChar w:fldCharType="separate"/>
          </w:r>
          <w:r>
            <w:rPr>
              <w:rFonts w:hint="eastAsia" w:ascii="宋体" w:hAnsi="宋体" w:eastAsia="宋体" w:cs="宋体"/>
              <w:sz w:val="24"/>
              <w:szCs w:val="24"/>
            </w:rPr>
            <w:t>25</w:t>
          </w:r>
          <w:r>
            <w:rPr>
              <w:rFonts w:hint="eastAsia" w:ascii="宋体" w:hAnsi="宋体" w:eastAsia="宋体" w:cs="宋体"/>
              <w:sz w:val="24"/>
              <w:szCs w:val="24"/>
            </w:rPr>
            <w:fldChar w:fldCharType="end"/>
          </w:r>
          <w:r>
            <w:rPr>
              <w:rFonts w:hint="eastAsia" w:ascii="宋体" w:hAnsi="宋体" w:eastAsia="宋体" w:cs="宋体"/>
              <w:bCs/>
              <w:sz w:val="24"/>
              <w:szCs w:val="24"/>
            </w:rPr>
            <w:fldChar w:fldCharType="end"/>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360" w:lineRule="auto"/>
            <w:textAlignment w:val="auto"/>
            <w:rPr>
              <w:rFonts w:asciiTheme="minorEastAsia" w:hAnsiTheme="minorEastAsia" w:eastAsiaTheme="minorEastAsia" w:cstheme="minorEastAsia"/>
              <w:b w:val="0"/>
              <w:bCs/>
            </w:rPr>
          </w:pPr>
          <w:r>
            <w:rPr>
              <w:rFonts w:hint="eastAsia" w:ascii="宋体" w:hAnsi="宋体" w:eastAsia="宋体" w:cs="宋体"/>
              <w:bCs/>
              <w:sz w:val="24"/>
              <w:szCs w:val="24"/>
            </w:rPr>
            <w:fldChar w:fldCharType="end"/>
          </w:r>
        </w:p>
      </w:sdtContent>
    </w:sdt>
    <w:p>
      <w:pPr>
        <w:spacing w:line="360" w:lineRule="auto"/>
        <w:jc w:val="center"/>
        <w:rPr>
          <w:rFonts w:ascii="宋体" w:hAnsi="宋体" w:eastAsia="宋体" w:cs="宋体"/>
          <w:szCs w:val="21"/>
        </w:rPr>
        <w:sectPr>
          <w:footerReference r:id="rId3" w:type="default"/>
          <w:pgSz w:w="11906" w:h="16838"/>
          <w:pgMar w:top="1417" w:right="1417" w:bottom="1417" w:left="1701" w:header="851" w:footer="992" w:gutter="0"/>
          <w:pgNumType w:start="1"/>
          <w:cols w:space="425" w:num="1"/>
          <w:docGrid w:type="lines" w:linePitch="312" w:charSpace="0"/>
        </w:sectPr>
      </w:pPr>
    </w:p>
    <w:p>
      <w:pPr>
        <w:pStyle w:val="4"/>
        <w:spacing w:line="360" w:lineRule="auto"/>
        <w:ind w:firstLine="480" w:firstLineChars="200"/>
        <w:rPr>
          <w:rFonts w:hAnsi="宋体" w:cs="宋体"/>
          <w:sz w:val="24"/>
          <w:szCs w:val="24"/>
        </w:rPr>
      </w:pPr>
      <w:r>
        <w:rPr>
          <w:rFonts w:hint="eastAsia" w:hAnsi="宋体" w:cs="宋体"/>
          <w:sz w:val="24"/>
          <w:szCs w:val="24"/>
        </w:rPr>
        <w:t>为加强财政资金管理，强化支出责任，提高财政资金的使用效益，建立科学、合理的财政支出绩效评价管理体系，集美大学地方财政绩效研究中心组织专业人员成立工作组，接受泉州市丰泽区财政局委托，根据中共中央、国务院《关于全面实施预算绩效管理的意见》（中发〔2018〕34号）、福建省委、省政府《关于全面实施预算绩效管理的实施意见》（闽委发〔2019〕5号）、福建省财政厅《关于全面实施预算绩效管理若干措施的通知》（闽财绩〔2019〕2号）、财政部《项目支出绩效评价管理办法》（财预〔2020〕10号）的文件精神和要求，对泉州市丰泽区2019年度禁毒工作专项经费开展绩效评价，以第三方身份出具报告。评价报告主要是供泉州市丰泽区财政局了解禁毒工作专项经费支出的绩效情况，并据以加强对未来该项资金拨付、使用的管理。</w:t>
      </w:r>
    </w:p>
    <w:p>
      <w:pPr>
        <w:pStyle w:val="8"/>
        <w:spacing w:beforeLines="100" w:afterLines="100"/>
        <w:outlineLvl w:val="0"/>
      </w:pPr>
      <w:bookmarkStart w:id="0" w:name="_Toc31449"/>
      <w:r>
        <w:rPr>
          <w:rFonts w:hint="eastAsia" w:ascii="黑体" w:hAnsi="黑体" w:eastAsia="黑体" w:cs="黑体"/>
          <w:b w:val="0"/>
          <w:bCs/>
        </w:rPr>
        <w:t>一、项目基本情况</w:t>
      </w:r>
      <w:bookmarkEnd w:id="0"/>
    </w:p>
    <w:p>
      <w:pPr>
        <w:pStyle w:val="10"/>
        <w:ind w:firstLine="562"/>
        <w:outlineLvl w:val="1"/>
      </w:pPr>
      <w:bookmarkStart w:id="1" w:name="_Toc13677"/>
      <w:r>
        <w:rPr>
          <w:rFonts w:hint="eastAsia"/>
        </w:rPr>
        <w:t>（一）项目概况</w:t>
      </w:r>
      <w:bookmarkEnd w:id="1"/>
    </w:p>
    <w:p>
      <w:pPr>
        <w:spacing w:line="360" w:lineRule="auto"/>
        <w:ind w:firstLine="482" w:firstLineChars="200"/>
        <w:rPr>
          <w:rFonts w:ascii="宋体" w:hAnsi="宋体" w:eastAsia="宋体" w:cs="宋体"/>
          <w:b/>
          <w:bCs/>
          <w:color w:val="000000"/>
          <w:sz w:val="24"/>
          <w:szCs w:val="22"/>
        </w:rPr>
      </w:pPr>
      <w:r>
        <w:rPr>
          <w:rFonts w:hint="eastAsia" w:ascii="宋体" w:hAnsi="宋体" w:eastAsia="宋体" w:cs="宋体"/>
          <w:b/>
          <w:bCs/>
          <w:color w:val="000000"/>
          <w:sz w:val="24"/>
          <w:szCs w:val="22"/>
        </w:rPr>
        <w:t>1.项目背景</w:t>
      </w:r>
    </w:p>
    <w:p>
      <w:pPr>
        <w:spacing w:line="360" w:lineRule="auto"/>
        <w:ind w:firstLine="480" w:firstLineChars="200"/>
        <w:rPr>
          <w:rFonts w:ascii="宋体" w:hAnsi="宋体" w:cs="宋体"/>
          <w:sz w:val="24"/>
        </w:rPr>
      </w:pPr>
      <w:r>
        <w:rPr>
          <w:rFonts w:hint="eastAsia" w:ascii="宋体" w:hAnsi="宋体" w:cs="宋体"/>
          <w:sz w:val="24"/>
        </w:rPr>
        <w:t>2019年2月27日，在省禁毒委召开的全省禁毒重点整治工作视频推进会上，丰泽区被省禁毒委列为全省禁毒重点关注地区。为确保能按时顺利通过省禁毒委对丰泽区禁毒工作的综合评估验收，实现“摘帽进位”的目标，区委、区政府高度重视，把禁毒工作做为当前丰泽区一项重要的工作任务来抓，结合丰泽区毒情实际进行重点整治。区委、区政府对2019年度全区禁毒工作进行部署，严格根据《福建省禁毒重点整治工作办法》、《福建省禁毒工作综合评估办法》、《福建省禁毒重点整治地区认定及验收细则》等有关规定，结合“禁毒2019两打两控”、“飓风肃毒2019”等专项行动，专设禁毒人民战争专项工作经费，加大禁毒经费投入。</w:t>
      </w:r>
    </w:p>
    <w:p>
      <w:pPr>
        <w:spacing w:line="360" w:lineRule="auto"/>
        <w:ind w:firstLine="482" w:firstLineChars="200"/>
        <w:rPr>
          <w:rFonts w:ascii="宋体" w:hAnsi="宋体" w:eastAsia="宋体" w:cs="宋体"/>
          <w:b/>
          <w:bCs/>
          <w:color w:val="000000"/>
          <w:sz w:val="24"/>
          <w:szCs w:val="22"/>
        </w:rPr>
      </w:pPr>
      <w:r>
        <w:rPr>
          <w:rFonts w:hint="eastAsia" w:ascii="宋体" w:hAnsi="宋体" w:eastAsia="宋体" w:cs="宋体"/>
          <w:b/>
          <w:bCs/>
          <w:color w:val="000000"/>
          <w:sz w:val="24"/>
          <w:szCs w:val="22"/>
        </w:rPr>
        <w:t>2.主要内容及实施情况</w:t>
      </w:r>
    </w:p>
    <w:p>
      <w:pPr>
        <w:spacing w:line="360" w:lineRule="auto"/>
        <w:ind w:firstLine="480" w:firstLineChars="200"/>
        <w:rPr>
          <w:rFonts w:ascii="宋体" w:hAnsi="宋体" w:cs="宋体"/>
          <w:sz w:val="24"/>
        </w:rPr>
      </w:pPr>
      <w:r>
        <w:rPr>
          <w:rFonts w:hint="eastAsia" w:ascii="宋体" w:hAnsi="宋体" w:cs="宋体"/>
          <w:sz w:val="24"/>
        </w:rPr>
        <w:t>根据《丰泽区区委常委第102次会议纪要》（中共泉州市丰泽区第五届委员会会议纪要〔2019〕4号），区财政局划拨500万元作为2019年禁毒工作专项经费，具体用于保障</w:t>
      </w:r>
      <w:r>
        <w:rPr>
          <w:rFonts w:hint="eastAsia" w:ascii="宋体" w:hAnsi="宋体" w:cs="宋体"/>
          <w:sz w:val="24"/>
          <w:lang w:eastAsia="zh-CN"/>
        </w:rPr>
        <w:t>禁毒办案</w:t>
      </w:r>
      <w:r>
        <w:rPr>
          <w:rFonts w:hint="eastAsia" w:ascii="宋体" w:hAnsi="宋体" w:cs="宋体"/>
          <w:sz w:val="24"/>
        </w:rPr>
        <w:t>、基础设施建设、完善装备设备、落实宣传教育、强化打击防控等方面，保障禁毒工作的深入持续开展。在人员配备方面，根据区政府办《中共泉州市丰泽区委机构编制委员会关于核定区禁毒工作专项事业编制的通知》（泉丰委编〔2019〕3号），根据区委常委第76次会议精神，决定核增政府办下属事业单位区人民政府机关事务管理处事业编制2名，</w:t>
      </w:r>
      <w:r>
        <w:rPr>
          <w:rFonts w:hint="eastAsia" w:ascii="宋体" w:hAnsi="宋体" w:cs="宋体"/>
          <w:sz w:val="24"/>
          <w:lang w:eastAsia="zh-CN"/>
        </w:rPr>
        <w:t>成立区禁毒委员会办公室（以下简称“区禁毒办”），</w:t>
      </w:r>
      <w:r>
        <w:rPr>
          <w:rFonts w:hint="eastAsia" w:ascii="宋体" w:hAnsi="宋体" w:cs="宋体"/>
          <w:sz w:val="24"/>
        </w:rPr>
        <w:t>承担区禁毒</w:t>
      </w:r>
      <w:r>
        <w:rPr>
          <w:rFonts w:hint="eastAsia" w:ascii="宋体" w:hAnsi="宋体" w:cs="宋体"/>
          <w:sz w:val="24"/>
          <w:lang w:eastAsia="zh-CN"/>
        </w:rPr>
        <w:t>管理</w:t>
      </w:r>
      <w:r>
        <w:rPr>
          <w:rFonts w:hint="eastAsia" w:ascii="宋体" w:hAnsi="宋体" w:cs="宋体"/>
          <w:sz w:val="24"/>
        </w:rPr>
        <w:t>工作。</w:t>
      </w:r>
    </w:p>
    <w:p>
      <w:pPr>
        <w:spacing w:line="360" w:lineRule="auto"/>
        <w:ind w:firstLine="482" w:firstLineChars="200"/>
        <w:rPr>
          <w:rFonts w:ascii="宋体" w:hAnsi="宋体" w:eastAsia="宋体" w:cs="宋体"/>
          <w:b/>
          <w:bCs/>
          <w:color w:val="000000"/>
          <w:sz w:val="24"/>
          <w:szCs w:val="22"/>
        </w:rPr>
      </w:pPr>
      <w:r>
        <w:rPr>
          <w:rFonts w:hint="eastAsia" w:ascii="宋体" w:hAnsi="宋体" w:eastAsia="宋体" w:cs="宋体"/>
          <w:b/>
          <w:bCs/>
          <w:color w:val="000000"/>
          <w:sz w:val="24"/>
          <w:szCs w:val="22"/>
        </w:rPr>
        <w:t>3.资金投入和使用情况</w:t>
      </w:r>
    </w:p>
    <w:p>
      <w:pPr>
        <w:spacing w:line="360" w:lineRule="auto"/>
        <w:ind w:firstLine="480" w:firstLineChars="200"/>
        <w:rPr>
          <w:rFonts w:ascii="宋体" w:hAnsi="宋体" w:cs="宋体"/>
          <w:sz w:val="24"/>
        </w:rPr>
      </w:pPr>
      <w:r>
        <w:rPr>
          <w:rFonts w:hint="eastAsia" w:ascii="宋体" w:hAnsi="宋体" w:cs="宋体"/>
          <w:sz w:val="24"/>
        </w:rPr>
        <w:t>根据丰泽区区委常委第102次会议纪要精神，预算安排2019年度禁毒工作专项经费500万元。丰泽区财政局2019年5月7日实际划拨120万元区级为民办实事项目禁毒宣传阵地建设经费到公安分局禁毒大队账户；2019年7月17日下达区禁毒办（专户）专项经费240万元；2019年12月23日下达区禁毒办（专户）专项经费140万元，三次拨款共计500万元。经费具体使用情况如下表：</w:t>
      </w:r>
    </w:p>
    <w:p>
      <w:pPr>
        <w:jc w:val="center"/>
        <w:rPr>
          <w:rFonts w:ascii="宋体" w:hAnsi="宋体" w:eastAsia="宋体" w:cs="宋体"/>
          <w:b/>
          <w:bCs/>
          <w:color w:val="000000"/>
          <w:sz w:val="24"/>
          <w:szCs w:val="22"/>
        </w:rPr>
      </w:pPr>
      <w:r>
        <w:rPr>
          <w:rFonts w:hint="eastAsia" w:ascii="宋体" w:hAnsi="宋体" w:eastAsia="宋体" w:cs="宋体"/>
          <w:b/>
          <w:bCs/>
          <w:color w:val="000000"/>
          <w:sz w:val="24"/>
          <w:szCs w:val="22"/>
        </w:rPr>
        <w:t>表1泉州市丰泽区2019年度禁毒工作专项经费使用情况</w:t>
      </w:r>
    </w:p>
    <w:p>
      <w:pPr>
        <w:pStyle w:val="2"/>
        <w:jc w:val="right"/>
      </w:pPr>
      <w:r>
        <w:rPr>
          <w:rFonts w:hint="eastAsia" w:ascii="宋体" w:hAnsi="宋体" w:eastAsia="宋体" w:cs="宋体"/>
          <w:color w:val="000000"/>
          <w:sz w:val="24"/>
          <w:szCs w:val="22"/>
        </w:rPr>
        <w:t>单位：万元</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6"/>
        <w:gridCol w:w="6618"/>
        <w:gridCol w:w="1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56" w:type="dxa"/>
          </w:tcPr>
          <w:p>
            <w:pPr>
              <w:pStyle w:val="2"/>
              <w:spacing w:after="0"/>
              <w:ind w:left="0" w:leftChars="0"/>
              <w:jc w:val="center"/>
              <w:rPr>
                <w:b/>
                <w:bCs/>
                <w:szCs w:val="21"/>
              </w:rPr>
            </w:pPr>
            <w:r>
              <w:rPr>
                <w:rFonts w:hint="eastAsia"/>
                <w:b/>
                <w:bCs/>
                <w:szCs w:val="21"/>
              </w:rPr>
              <w:t>用途</w:t>
            </w:r>
          </w:p>
        </w:tc>
        <w:tc>
          <w:tcPr>
            <w:tcW w:w="6618" w:type="dxa"/>
          </w:tcPr>
          <w:p>
            <w:pPr>
              <w:pStyle w:val="2"/>
              <w:spacing w:after="0"/>
              <w:ind w:left="0" w:leftChars="0"/>
              <w:jc w:val="center"/>
              <w:rPr>
                <w:b/>
                <w:bCs/>
                <w:szCs w:val="21"/>
              </w:rPr>
            </w:pPr>
            <w:r>
              <w:rPr>
                <w:rFonts w:hint="eastAsia"/>
                <w:b/>
                <w:bCs/>
                <w:szCs w:val="21"/>
              </w:rPr>
              <w:t>项目</w:t>
            </w:r>
          </w:p>
        </w:tc>
        <w:tc>
          <w:tcPr>
            <w:tcW w:w="1149" w:type="dxa"/>
          </w:tcPr>
          <w:p>
            <w:pPr>
              <w:pStyle w:val="2"/>
              <w:spacing w:after="0"/>
              <w:ind w:left="0" w:leftChars="0"/>
              <w:jc w:val="center"/>
              <w:rPr>
                <w:b/>
                <w:bCs/>
                <w:szCs w:val="21"/>
              </w:rPr>
            </w:pPr>
            <w:r>
              <w:rPr>
                <w:rFonts w:hint="eastAsia"/>
                <w:b/>
                <w:bCs/>
                <w:szCs w:val="21"/>
                <w:lang w:val="en-US" w:eastAsia="zh-CN"/>
              </w:rPr>
              <w:t>使用</w:t>
            </w:r>
            <w:r>
              <w:rPr>
                <w:rFonts w:hint="eastAsia"/>
                <w:b/>
                <w:bCs/>
                <w:szCs w:val="21"/>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156" w:type="dxa"/>
            <w:vMerge w:val="restart"/>
            <w:vAlign w:val="center"/>
          </w:tcPr>
          <w:p>
            <w:pPr>
              <w:pStyle w:val="2"/>
              <w:spacing w:after="0"/>
              <w:ind w:left="0" w:leftChars="0"/>
              <w:jc w:val="center"/>
              <w:rPr>
                <w:rFonts w:ascii="宋体" w:hAnsi="宋体" w:eastAsia="宋体" w:cs="宋体"/>
                <w:szCs w:val="21"/>
              </w:rPr>
            </w:pPr>
            <w:r>
              <w:rPr>
                <w:rFonts w:hint="eastAsia" w:ascii="宋体" w:hAnsi="宋体" w:eastAsia="宋体" w:cs="宋体"/>
                <w:szCs w:val="21"/>
              </w:rPr>
              <w:t>宣传</w:t>
            </w:r>
          </w:p>
          <w:p>
            <w:pPr>
              <w:pStyle w:val="2"/>
              <w:spacing w:after="0"/>
              <w:ind w:left="0" w:leftChars="0"/>
              <w:jc w:val="center"/>
              <w:rPr>
                <w:rFonts w:ascii="宋体" w:hAnsi="宋体" w:eastAsia="宋体" w:cs="宋体"/>
                <w:szCs w:val="21"/>
              </w:rPr>
            </w:pPr>
            <w:r>
              <w:rPr>
                <w:rFonts w:hint="eastAsia" w:ascii="宋体" w:hAnsi="宋体" w:eastAsia="宋体" w:cs="宋体"/>
                <w:szCs w:val="21"/>
              </w:rPr>
              <w:t>基地</w:t>
            </w:r>
          </w:p>
          <w:p>
            <w:pPr>
              <w:pStyle w:val="2"/>
              <w:spacing w:after="0"/>
              <w:ind w:left="0" w:leftChars="0"/>
              <w:jc w:val="center"/>
              <w:rPr>
                <w:rFonts w:ascii="宋体" w:hAnsi="宋体" w:eastAsia="宋体" w:cs="宋体"/>
                <w:szCs w:val="21"/>
              </w:rPr>
            </w:pPr>
            <w:r>
              <w:rPr>
                <w:rFonts w:hint="eastAsia" w:ascii="宋体" w:hAnsi="宋体" w:eastAsia="宋体" w:cs="宋体"/>
                <w:szCs w:val="21"/>
              </w:rPr>
              <w:t>建设</w:t>
            </w:r>
          </w:p>
          <w:p>
            <w:pPr>
              <w:pStyle w:val="2"/>
              <w:spacing w:after="0"/>
              <w:ind w:left="0" w:leftChars="0"/>
              <w:jc w:val="center"/>
              <w:rPr>
                <w:rFonts w:ascii="宋体" w:hAnsi="宋体" w:eastAsia="宋体" w:cs="宋体"/>
                <w:szCs w:val="21"/>
              </w:rPr>
            </w:pPr>
            <w:r>
              <w:rPr>
                <w:rFonts w:hint="eastAsia" w:ascii="宋体" w:hAnsi="宋体" w:eastAsia="宋体" w:cs="宋体"/>
                <w:szCs w:val="21"/>
              </w:rPr>
              <w:t>补助</w:t>
            </w:r>
          </w:p>
        </w:tc>
        <w:tc>
          <w:tcPr>
            <w:tcW w:w="6618" w:type="dxa"/>
            <w:vAlign w:val="center"/>
          </w:tcPr>
          <w:p>
            <w:pPr>
              <w:pStyle w:val="2"/>
              <w:spacing w:after="0"/>
              <w:ind w:left="0" w:leftChars="0"/>
              <w:jc w:val="center"/>
              <w:rPr>
                <w:rFonts w:ascii="宋体" w:hAnsi="宋体" w:cs="宋体"/>
                <w:szCs w:val="21"/>
              </w:rPr>
            </w:pPr>
            <w:r>
              <w:rPr>
                <w:rFonts w:hint="eastAsia" w:ascii="宋体" w:hAnsi="宋体" w:cs="宋体"/>
                <w:szCs w:val="21"/>
              </w:rPr>
              <w:t>丰泽区林则徐禁毒教育基地建设经费</w:t>
            </w:r>
          </w:p>
        </w:tc>
        <w:tc>
          <w:tcPr>
            <w:tcW w:w="1149" w:type="dxa"/>
            <w:vAlign w:val="center"/>
          </w:tcPr>
          <w:p>
            <w:pPr>
              <w:pStyle w:val="2"/>
              <w:spacing w:after="0"/>
              <w:ind w:left="0" w:leftChars="0"/>
              <w:jc w:val="center"/>
              <w:rPr>
                <w:rFonts w:ascii="宋体" w:hAnsi="宋体" w:eastAsia="宋体" w:cs="宋体"/>
                <w:szCs w:val="21"/>
              </w:rPr>
            </w:pPr>
            <w:r>
              <w:rPr>
                <w:rFonts w:hint="eastAsia" w:ascii="宋体" w:hAnsi="宋体" w:eastAsia="宋体" w:cs="宋体"/>
                <w:szCs w:val="21"/>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156" w:type="dxa"/>
            <w:vMerge w:val="continue"/>
            <w:vAlign w:val="center"/>
          </w:tcPr>
          <w:p>
            <w:pPr>
              <w:pStyle w:val="2"/>
              <w:spacing w:after="0"/>
              <w:ind w:left="0" w:leftChars="0"/>
              <w:jc w:val="center"/>
              <w:rPr>
                <w:rFonts w:ascii="宋体" w:hAnsi="宋体" w:eastAsia="宋体" w:cs="宋体"/>
                <w:szCs w:val="21"/>
              </w:rPr>
            </w:pPr>
          </w:p>
        </w:tc>
        <w:tc>
          <w:tcPr>
            <w:tcW w:w="6618" w:type="dxa"/>
            <w:vAlign w:val="center"/>
          </w:tcPr>
          <w:p>
            <w:pPr>
              <w:pStyle w:val="2"/>
              <w:spacing w:after="0"/>
              <w:ind w:left="0" w:leftChars="0"/>
              <w:jc w:val="center"/>
              <w:rPr>
                <w:rFonts w:ascii="宋体" w:hAnsi="宋体" w:eastAsia="宋体" w:cs="宋体"/>
                <w:szCs w:val="21"/>
              </w:rPr>
            </w:pPr>
            <w:r>
              <w:rPr>
                <w:rFonts w:hint="eastAsia" w:ascii="宋体" w:hAnsi="宋体" w:cs="宋体"/>
                <w:szCs w:val="21"/>
              </w:rPr>
              <w:t>泉州九中创建市级毒品预防教育示范学校及林则徐宣传教育馆建设补助</w:t>
            </w:r>
          </w:p>
        </w:tc>
        <w:tc>
          <w:tcPr>
            <w:tcW w:w="1149" w:type="dxa"/>
            <w:vAlign w:val="center"/>
          </w:tcPr>
          <w:p>
            <w:pPr>
              <w:pStyle w:val="2"/>
              <w:spacing w:after="0"/>
              <w:ind w:left="0" w:leftChars="0"/>
              <w:jc w:val="center"/>
              <w:rPr>
                <w:rFonts w:ascii="宋体" w:hAnsi="宋体" w:eastAsia="宋体" w:cs="宋体"/>
                <w:szCs w:val="21"/>
              </w:rPr>
            </w:pPr>
            <w:r>
              <w:rPr>
                <w:rFonts w:hint="eastAsia" w:ascii="宋体" w:hAnsi="宋体" w:eastAsia="宋体" w:cs="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156" w:type="dxa"/>
            <w:vMerge w:val="continue"/>
            <w:vAlign w:val="center"/>
          </w:tcPr>
          <w:p>
            <w:pPr>
              <w:pStyle w:val="2"/>
              <w:spacing w:after="0"/>
              <w:ind w:left="0" w:leftChars="0"/>
              <w:jc w:val="center"/>
              <w:rPr>
                <w:rFonts w:ascii="宋体" w:hAnsi="宋体" w:eastAsia="宋体" w:cs="宋体"/>
                <w:szCs w:val="21"/>
              </w:rPr>
            </w:pPr>
          </w:p>
        </w:tc>
        <w:tc>
          <w:tcPr>
            <w:tcW w:w="6618" w:type="dxa"/>
            <w:vAlign w:val="center"/>
          </w:tcPr>
          <w:p>
            <w:pPr>
              <w:pStyle w:val="2"/>
              <w:spacing w:after="0"/>
              <w:ind w:left="0" w:leftChars="0"/>
              <w:jc w:val="center"/>
              <w:rPr>
                <w:rFonts w:ascii="宋体" w:hAnsi="宋体" w:cs="宋体"/>
                <w:szCs w:val="21"/>
              </w:rPr>
            </w:pPr>
            <w:r>
              <w:rPr>
                <w:rFonts w:hint="eastAsia" w:ascii="宋体" w:hAnsi="宋体" w:cs="宋体"/>
                <w:szCs w:val="21"/>
              </w:rPr>
              <w:t>白水营林则徐禁毒宣传长廊建设补助</w:t>
            </w:r>
          </w:p>
        </w:tc>
        <w:tc>
          <w:tcPr>
            <w:tcW w:w="1149" w:type="dxa"/>
            <w:vAlign w:val="center"/>
          </w:tcPr>
          <w:p>
            <w:pPr>
              <w:pStyle w:val="2"/>
              <w:spacing w:after="0"/>
              <w:ind w:left="0" w:leftChars="0"/>
              <w:jc w:val="center"/>
              <w:rPr>
                <w:rFonts w:ascii="宋体" w:hAnsi="宋体" w:eastAsia="宋体" w:cs="宋体"/>
                <w:szCs w:val="21"/>
              </w:rPr>
            </w:pPr>
            <w:r>
              <w:rPr>
                <w:rFonts w:hint="eastAsia" w:ascii="宋体" w:hAnsi="宋体" w:eastAsia="宋体" w:cs="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156" w:type="dxa"/>
            <w:vMerge w:val="continue"/>
            <w:vAlign w:val="center"/>
          </w:tcPr>
          <w:p>
            <w:pPr>
              <w:pStyle w:val="2"/>
              <w:spacing w:after="0"/>
              <w:ind w:left="0" w:leftChars="0"/>
              <w:jc w:val="center"/>
              <w:rPr>
                <w:rFonts w:ascii="宋体" w:hAnsi="宋体" w:eastAsia="宋体" w:cs="宋体"/>
                <w:szCs w:val="21"/>
              </w:rPr>
            </w:pPr>
          </w:p>
        </w:tc>
        <w:tc>
          <w:tcPr>
            <w:tcW w:w="6618" w:type="dxa"/>
            <w:vAlign w:val="center"/>
          </w:tcPr>
          <w:p>
            <w:pPr>
              <w:pStyle w:val="2"/>
              <w:spacing w:after="0"/>
              <w:ind w:left="0" w:leftChars="0"/>
              <w:jc w:val="center"/>
              <w:rPr>
                <w:rFonts w:ascii="宋体" w:hAnsi="宋体" w:cs="宋体"/>
                <w:szCs w:val="21"/>
              </w:rPr>
            </w:pPr>
            <w:r>
              <w:rPr>
                <w:rFonts w:hint="eastAsia" w:ascii="宋体" w:hAnsi="宋体" w:cs="宋体"/>
                <w:szCs w:val="21"/>
              </w:rPr>
              <w:t>清源街道社区戒毒社区康复管理工作站建设补助</w:t>
            </w:r>
          </w:p>
        </w:tc>
        <w:tc>
          <w:tcPr>
            <w:tcW w:w="1149" w:type="dxa"/>
            <w:vAlign w:val="center"/>
          </w:tcPr>
          <w:p>
            <w:pPr>
              <w:pStyle w:val="2"/>
              <w:spacing w:after="0"/>
              <w:ind w:left="0" w:leftChars="0"/>
              <w:jc w:val="center"/>
              <w:rPr>
                <w:rFonts w:ascii="宋体" w:hAnsi="宋体" w:eastAsia="宋体" w:cs="宋体"/>
                <w:szCs w:val="21"/>
              </w:rPr>
            </w:pPr>
            <w:r>
              <w:rPr>
                <w:rFonts w:hint="eastAsia" w:ascii="宋体" w:hAnsi="宋体" w:eastAsia="宋体" w:cs="宋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156" w:type="dxa"/>
            <w:vMerge w:val="continue"/>
            <w:vAlign w:val="center"/>
          </w:tcPr>
          <w:p>
            <w:pPr>
              <w:pStyle w:val="2"/>
              <w:spacing w:after="0"/>
              <w:ind w:left="0" w:leftChars="0"/>
              <w:jc w:val="center"/>
              <w:rPr>
                <w:rFonts w:ascii="宋体" w:hAnsi="宋体" w:eastAsia="宋体" w:cs="宋体"/>
                <w:szCs w:val="21"/>
              </w:rPr>
            </w:pPr>
          </w:p>
        </w:tc>
        <w:tc>
          <w:tcPr>
            <w:tcW w:w="6618" w:type="dxa"/>
            <w:vAlign w:val="center"/>
          </w:tcPr>
          <w:p>
            <w:pPr>
              <w:pStyle w:val="2"/>
              <w:spacing w:after="0"/>
              <w:ind w:left="0" w:leftChars="0"/>
              <w:jc w:val="center"/>
              <w:rPr>
                <w:rFonts w:ascii="宋体" w:hAnsi="宋体" w:cs="宋体"/>
                <w:szCs w:val="21"/>
              </w:rPr>
            </w:pPr>
            <w:r>
              <w:rPr>
                <w:rFonts w:hint="eastAsia" w:ascii="宋体" w:hAnsi="宋体" w:cs="宋体"/>
                <w:szCs w:val="21"/>
              </w:rPr>
              <w:t>丰泽街道社区禁毒品牌社区建设补助</w:t>
            </w:r>
          </w:p>
        </w:tc>
        <w:tc>
          <w:tcPr>
            <w:tcW w:w="1149" w:type="dxa"/>
            <w:vAlign w:val="center"/>
          </w:tcPr>
          <w:p>
            <w:pPr>
              <w:pStyle w:val="2"/>
              <w:spacing w:after="0"/>
              <w:ind w:left="0" w:leftChars="0"/>
              <w:jc w:val="center"/>
              <w:rPr>
                <w:rFonts w:ascii="宋体" w:hAnsi="宋体" w:eastAsia="宋体" w:cs="宋体"/>
                <w:szCs w:val="21"/>
              </w:rPr>
            </w:pPr>
            <w:r>
              <w:rPr>
                <w:rFonts w:hint="eastAsia" w:ascii="宋体" w:hAnsi="宋体" w:eastAsia="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156" w:type="dxa"/>
            <w:vMerge w:val="continue"/>
            <w:vAlign w:val="center"/>
          </w:tcPr>
          <w:p>
            <w:pPr>
              <w:pStyle w:val="2"/>
              <w:spacing w:after="0"/>
              <w:ind w:left="0" w:leftChars="0"/>
              <w:jc w:val="center"/>
              <w:rPr>
                <w:rFonts w:ascii="宋体" w:hAnsi="宋体" w:eastAsia="宋体" w:cs="宋体"/>
                <w:szCs w:val="21"/>
              </w:rPr>
            </w:pPr>
          </w:p>
        </w:tc>
        <w:tc>
          <w:tcPr>
            <w:tcW w:w="6618" w:type="dxa"/>
            <w:vAlign w:val="center"/>
          </w:tcPr>
          <w:p>
            <w:pPr>
              <w:pStyle w:val="2"/>
              <w:spacing w:after="0"/>
              <w:ind w:left="0" w:leftChars="0"/>
              <w:jc w:val="center"/>
              <w:rPr>
                <w:rFonts w:ascii="宋体" w:hAnsi="宋体" w:cs="宋体"/>
                <w:szCs w:val="21"/>
              </w:rPr>
            </w:pPr>
            <w:r>
              <w:rPr>
                <w:rFonts w:hint="eastAsia" w:ascii="宋体" w:hAnsi="宋体" w:cs="宋体"/>
                <w:szCs w:val="21"/>
              </w:rPr>
              <w:t>东海街道社区戒毒社区康复管理工作站建设补助</w:t>
            </w:r>
          </w:p>
        </w:tc>
        <w:tc>
          <w:tcPr>
            <w:tcW w:w="1149" w:type="dxa"/>
            <w:vAlign w:val="center"/>
          </w:tcPr>
          <w:p>
            <w:pPr>
              <w:pStyle w:val="2"/>
              <w:spacing w:after="0"/>
              <w:ind w:left="0" w:leftChars="0"/>
              <w:jc w:val="center"/>
              <w:rPr>
                <w:rFonts w:ascii="宋体" w:hAnsi="宋体" w:eastAsia="宋体" w:cs="宋体"/>
                <w:szCs w:val="21"/>
              </w:rPr>
            </w:pPr>
            <w:r>
              <w:rPr>
                <w:rFonts w:hint="eastAsia" w:ascii="宋体" w:hAnsi="宋体" w:eastAsia="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156" w:type="dxa"/>
            <w:vMerge w:val="continue"/>
            <w:vAlign w:val="center"/>
          </w:tcPr>
          <w:p>
            <w:pPr>
              <w:pStyle w:val="2"/>
              <w:spacing w:after="0"/>
              <w:ind w:left="0" w:leftChars="0"/>
              <w:jc w:val="center"/>
              <w:rPr>
                <w:rFonts w:ascii="宋体" w:hAnsi="宋体" w:eastAsia="宋体" w:cs="宋体"/>
                <w:szCs w:val="21"/>
              </w:rPr>
            </w:pPr>
          </w:p>
        </w:tc>
        <w:tc>
          <w:tcPr>
            <w:tcW w:w="6618" w:type="dxa"/>
            <w:vAlign w:val="center"/>
          </w:tcPr>
          <w:p>
            <w:pPr>
              <w:pStyle w:val="2"/>
              <w:spacing w:after="0"/>
              <w:ind w:left="0" w:leftChars="0"/>
              <w:jc w:val="center"/>
              <w:rPr>
                <w:rFonts w:ascii="宋体" w:hAnsi="宋体" w:cs="宋体"/>
                <w:szCs w:val="21"/>
              </w:rPr>
            </w:pPr>
            <w:r>
              <w:rPr>
                <w:rFonts w:hint="eastAsia" w:ascii="宋体" w:hAnsi="宋体" w:cs="宋体"/>
                <w:szCs w:val="21"/>
              </w:rPr>
              <w:t>泉秀街道社区戒毒社区康复管理工作站建设补助</w:t>
            </w:r>
          </w:p>
        </w:tc>
        <w:tc>
          <w:tcPr>
            <w:tcW w:w="1149" w:type="dxa"/>
            <w:vAlign w:val="center"/>
          </w:tcPr>
          <w:p>
            <w:pPr>
              <w:pStyle w:val="2"/>
              <w:spacing w:after="0"/>
              <w:ind w:left="0" w:leftChars="0"/>
              <w:jc w:val="center"/>
              <w:rPr>
                <w:rFonts w:ascii="宋体" w:hAnsi="宋体" w:eastAsia="宋体" w:cs="宋体"/>
                <w:szCs w:val="21"/>
              </w:rPr>
            </w:pPr>
            <w:r>
              <w:rPr>
                <w:rFonts w:hint="eastAsia" w:ascii="宋体" w:hAnsi="宋体" w:eastAsia="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156" w:type="dxa"/>
            <w:vMerge w:val="continue"/>
            <w:vAlign w:val="center"/>
          </w:tcPr>
          <w:p>
            <w:pPr>
              <w:pStyle w:val="2"/>
              <w:spacing w:after="0"/>
              <w:ind w:left="0" w:leftChars="0"/>
              <w:jc w:val="center"/>
              <w:rPr>
                <w:rFonts w:ascii="宋体" w:hAnsi="宋体" w:eastAsia="宋体" w:cs="宋体"/>
                <w:szCs w:val="21"/>
              </w:rPr>
            </w:pPr>
          </w:p>
        </w:tc>
        <w:tc>
          <w:tcPr>
            <w:tcW w:w="6618" w:type="dxa"/>
            <w:vAlign w:val="center"/>
          </w:tcPr>
          <w:p>
            <w:pPr>
              <w:pStyle w:val="2"/>
              <w:spacing w:after="0"/>
              <w:ind w:left="0" w:leftChars="0"/>
              <w:jc w:val="center"/>
              <w:rPr>
                <w:rFonts w:ascii="宋体" w:hAnsi="宋体" w:cs="宋体"/>
                <w:szCs w:val="21"/>
              </w:rPr>
            </w:pPr>
            <w:r>
              <w:rPr>
                <w:rFonts w:hint="eastAsia" w:ascii="宋体" w:hAnsi="宋体" w:cs="宋体"/>
                <w:szCs w:val="21"/>
              </w:rPr>
              <w:t>东湖街道社区戒毒社区康复管理工作站建设补助</w:t>
            </w:r>
          </w:p>
        </w:tc>
        <w:tc>
          <w:tcPr>
            <w:tcW w:w="1149" w:type="dxa"/>
            <w:vAlign w:val="center"/>
          </w:tcPr>
          <w:p>
            <w:pPr>
              <w:pStyle w:val="2"/>
              <w:spacing w:after="0"/>
              <w:ind w:left="0" w:leftChars="0"/>
              <w:jc w:val="center"/>
              <w:rPr>
                <w:rFonts w:ascii="宋体" w:hAnsi="宋体" w:eastAsia="宋体" w:cs="宋体"/>
                <w:szCs w:val="21"/>
              </w:rPr>
            </w:pPr>
            <w:r>
              <w:rPr>
                <w:rFonts w:hint="eastAsia" w:ascii="宋体" w:hAnsi="宋体" w:eastAsia="宋体" w:cs="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vMerge w:val="continue"/>
            <w:vAlign w:val="center"/>
          </w:tcPr>
          <w:p>
            <w:pPr>
              <w:pStyle w:val="2"/>
              <w:spacing w:after="0"/>
              <w:ind w:left="0" w:leftChars="0"/>
              <w:jc w:val="center"/>
              <w:rPr>
                <w:rFonts w:ascii="宋体" w:hAnsi="宋体" w:eastAsia="宋体" w:cs="宋体"/>
                <w:szCs w:val="21"/>
              </w:rPr>
            </w:pPr>
          </w:p>
        </w:tc>
        <w:tc>
          <w:tcPr>
            <w:tcW w:w="6618" w:type="dxa"/>
            <w:vAlign w:val="center"/>
          </w:tcPr>
          <w:p>
            <w:pPr>
              <w:pStyle w:val="2"/>
              <w:spacing w:after="0"/>
              <w:ind w:left="0" w:leftChars="0"/>
              <w:jc w:val="center"/>
              <w:rPr>
                <w:rFonts w:ascii="宋体" w:hAnsi="宋体" w:eastAsia="宋体" w:cs="宋体"/>
                <w:szCs w:val="21"/>
              </w:rPr>
            </w:pPr>
            <w:r>
              <w:rPr>
                <w:rFonts w:hint="eastAsia" w:ascii="宋体" w:hAnsi="宋体" w:cs="宋体"/>
                <w:szCs w:val="21"/>
              </w:rPr>
              <w:t>丰泽街道、北峰街道、城东街道、华大街道创建社区戒毒社区康复管理工作站建设补助</w:t>
            </w:r>
          </w:p>
        </w:tc>
        <w:tc>
          <w:tcPr>
            <w:tcW w:w="1149" w:type="dxa"/>
            <w:vAlign w:val="center"/>
          </w:tcPr>
          <w:p>
            <w:pPr>
              <w:pStyle w:val="2"/>
              <w:spacing w:after="0"/>
              <w:ind w:left="0" w:leftChars="0"/>
              <w:jc w:val="center"/>
              <w:rPr>
                <w:rFonts w:ascii="宋体" w:hAnsi="宋体" w:eastAsia="宋体" w:cs="宋体"/>
                <w:szCs w:val="21"/>
              </w:rPr>
            </w:pPr>
            <w:r>
              <w:rPr>
                <w:rFonts w:hint="eastAsia" w:ascii="宋体" w:hAnsi="宋体" w:eastAsia="宋体" w:cs="宋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vMerge w:val="continue"/>
            <w:vAlign w:val="center"/>
          </w:tcPr>
          <w:p>
            <w:pPr>
              <w:pStyle w:val="2"/>
              <w:spacing w:after="0"/>
              <w:ind w:left="0" w:leftChars="0"/>
              <w:jc w:val="center"/>
              <w:rPr>
                <w:rFonts w:ascii="宋体" w:hAnsi="宋体" w:eastAsia="宋体" w:cs="宋体"/>
                <w:szCs w:val="21"/>
              </w:rPr>
            </w:pPr>
          </w:p>
        </w:tc>
        <w:tc>
          <w:tcPr>
            <w:tcW w:w="6618" w:type="dxa"/>
            <w:vAlign w:val="center"/>
          </w:tcPr>
          <w:p>
            <w:pPr>
              <w:pStyle w:val="2"/>
              <w:spacing w:after="0"/>
              <w:ind w:left="0" w:leftChars="0"/>
              <w:jc w:val="center"/>
              <w:rPr>
                <w:rFonts w:ascii="宋体" w:hAnsi="宋体" w:cs="宋体"/>
                <w:szCs w:val="21"/>
              </w:rPr>
            </w:pPr>
            <w:r>
              <w:rPr>
                <w:rFonts w:hint="eastAsia" w:ascii="宋体" w:hAnsi="宋体" w:cs="宋体"/>
                <w:szCs w:val="21"/>
              </w:rPr>
              <w:t>10所学校创建禁毒宣教室建设补助</w:t>
            </w:r>
          </w:p>
        </w:tc>
        <w:tc>
          <w:tcPr>
            <w:tcW w:w="1149" w:type="dxa"/>
            <w:vAlign w:val="center"/>
          </w:tcPr>
          <w:p>
            <w:pPr>
              <w:pStyle w:val="2"/>
              <w:spacing w:after="0"/>
              <w:ind w:left="0" w:leftChars="0"/>
              <w:jc w:val="center"/>
              <w:rPr>
                <w:rFonts w:ascii="宋体" w:hAnsi="宋体" w:eastAsia="宋体" w:cs="宋体"/>
                <w:szCs w:val="21"/>
              </w:rPr>
            </w:pPr>
            <w:r>
              <w:rPr>
                <w:rFonts w:hint="eastAsia" w:ascii="宋体" w:hAnsi="宋体" w:eastAsia="宋体" w:cs="宋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vMerge w:val="continue"/>
            <w:vAlign w:val="center"/>
          </w:tcPr>
          <w:p>
            <w:pPr>
              <w:pStyle w:val="2"/>
              <w:spacing w:after="0"/>
              <w:ind w:left="0" w:leftChars="0"/>
              <w:jc w:val="center"/>
              <w:rPr>
                <w:rFonts w:ascii="宋体" w:hAnsi="宋体" w:eastAsia="宋体" w:cs="宋体"/>
                <w:szCs w:val="21"/>
              </w:rPr>
            </w:pPr>
          </w:p>
        </w:tc>
        <w:tc>
          <w:tcPr>
            <w:tcW w:w="6618" w:type="dxa"/>
            <w:vAlign w:val="center"/>
          </w:tcPr>
          <w:p>
            <w:pPr>
              <w:pStyle w:val="2"/>
              <w:spacing w:after="0"/>
              <w:ind w:left="0" w:leftChars="0"/>
              <w:jc w:val="center"/>
              <w:rPr>
                <w:rFonts w:ascii="宋体" w:hAnsi="宋体" w:eastAsia="宋体" w:cs="宋体"/>
                <w:szCs w:val="21"/>
              </w:rPr>
            </w:pPr>
            <w:r>
              <w:rPr>
                <w:rFonts w:hint="eastAsia" w:ascii="宋体" w:hAnsi="宋体" w:cs="宋体"/>
                <w:szCs w:val="21"/>
              </w:rPr>
              <w:t>丰泽区街道禁毒宣传一条街建设补助</w:t>
            </w:r>
          </w:p>
        </w:tc>
        <w:tc>
          <w:tcPr>
            <w:tcW w:w="1149" w:type="dxa"/>
            <w:vAlign w:val="center"/>
          </w:tcPr>
          <w:p>
            <w:pPr>
              <w:pStyle w:val="2"/>
              <w:spacing w:after="0"/>
              <w:ind w:left="0" w:leftChars="0"/>
              <w:jc w:val="center"/>
              <w:rPr>
                <w:rFonts w:ascii="宋体" w:hAnsi="宋体" w:eastAsia="宋体" w:cs="宋体"/>
                <w:szCs w:val="21"/>
              </w:rPr>
            </w:pPr>
            <w:r>
              <w:rPr>
                <w:rFonts w:hint="eastAsia" w:ascii="宋体" w:hAnsi="宋体" w:eastAsia="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156" w:type="dxa"/>
            <w:vMerge w:val="continue"/>
            <w:vAlign w:val="center"/>
          </w:tcPr>
          <w:p>
            <w:pPr>
              <w:pStyle w:val="2"/>
              <w:spacing w:after="0"/>
              <w:ind w:left="0" w:leftChars="0"/>
              <w:jc w:val="center"/>
              <w:rPr>
                <w:rFonts w:ascii="宋体" w:hAnsi="宋体" w:eastAsia="宋体" w:cs="宋体"/>
                <w:szCs w:val="21"/>
              </w:rPr>
            </w:pPr>
          </w:p>
        </w:tc>
        <w:tc>
          <w:tcPr>
            <w:tcW w:w="6618" w:type="dxa"/>
            <w:vAlign w:val="center"/>
          </w:tcPr>
          <w:p>
            <w:pPr>
              <w:pStyle w:val="2"/>
              <w:spacing w:after="0"/>
              <w:ind w:left="0" w:leftChars="0"/>
              <w:jc w:val="center"/>
              <w:rPr>
                <w:rFonts w:ascii="宋体" w:hAnsi="宋体" w:cs="宋体"/>
                <w:szCs w:val="21"/>
              </w:rPr>
            </w:pPr>
            <w:r>
              <w:rPr>
                <w:rFonts w:hint="eastAsia" w:ascii="宋体" w:hAnsi="宋体" w:cs="宋体"/>
                <w:szCs w:val="21"/>
              </w:rPr>
              <w:t>东湖街道少林社区创建禁毒品牌社区建设补助</w:t>
            </w:r>
          </w:p>
        </w:tc>
        <w:tc>
          <w:tcPr>
            <w:tcW w:w="1149" w:type="dxa"/>
            <w:vAlign w:val="center"/>
          </w:tcPr>
          <w:p>
            <w:pPr>
              <w:pStyle w:val="2"/>
              <w:spacing w:after="0"/>
              <w:ind w:left="0" w:leftChars="0"/>
              <w:jc w:val="center"/>
              <w:rPr>
                <w:rFonts w:ascii="宋体" w:hAnsi="宋体" w:eastAsia="宋体" w:cs="宋体"/>
                <w:szCs w:val="21"/>
              </w:rPr>
            </w:pPr>
            <w:r>
              <w:rPr>
                <w:rFonts w:hint="eastAsia" w:ascii="宋体" w:hAnsi="宋体" w:eastAsia="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vMerge w:val="continue"/>
            <w:vAlign w:val="center"/>
          </w:tcPr>
          <w:p>
            <w:pPr>
              <w:pStyle w:val="2"/>
              <w:spacing w:after="0"/>
              <w:ind w:left="0" w:leftChars="0"/>
              <w:jc w:val="center"/>
              <w:rPr>
                <w:rFonts w:ascii="宋体" w:hAnsi="宋体" w:eastAsia="宋体" w:cs="宋体"/>
                <w:szCs w:val="21"/>
              </w:rPr>
            </w:pPr>
          </w:p>
        </w:tc>
        <w:tc>
          <w:tcPr>
            <w:tcW w:w="6618" w:type="dxa"/>
            <w:vAlign w:val="center"/>
          </w:tcPr>
          <w:p>
            <w:pPr>
              <w:pStyle w:val="2"/>
              <w:spacing w:after="0"/>
              <w:ind w:left="0" w:leftChars="0"/>
              <w:jc w:val="center"/>
              <w:rPr>
                <w:rFonts w:ascii="宋体" w:hAnsi="宋体" w:cs="宋体"/>
                <w:szCs w:val="21"/>
              </w:rPr>
            </w:pPr>
            <w:r>
              <w:rPr>
                <w:rFonts w:hint="eastAsia" w:ascii="宋体" w:hAnsi="宋体" w:cs="宋体"/>
                <w:szCs w:val="21"/>
              </w:rPr>
              <w:t>东湖街道铭湖社区创建禁毒体验馆建设补助</w:t>
            </w:r>
          </w:p>
        </w:tc>
        <w:tc>
          <w:tcPr>
            <w:tcW w:w="1149" w:type="dxa"/>
            <w:vAlign w:val="center"/>
          </w:tcPr>
          <w:p>
            <w:pPr>
              <w:pStyle w:val="2"/>
              <w:spacing w:after="0"/>
              <w:ind w:left="0" w:leftChars="0"/>
              <w:jc w:val="center"/>
              <w:rPr>
                <w:rFonts w:ascii="宋体" w:hAnsi="宋体" w:eastAsia="宋体" w:cs="宋体"/>
                <w:szCs w:val="21"/>
              </w:rPr>
            </w:pPr>
            <w:r>
              <w:rPr>
                <w:rFonts w:hint="eastAsia" w:ascii="宋体" w:hAnsi="宋体" w:eastAsia="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vMerge w:val="continue"/>
            <w:vAlign w:val="center"/>
          </w:tcPr>
          <w:p>
            <w:pPr>
              <w:pStyle w:val="2"/>
              <w:spacing w:after="0"/>
              <w:ind w:left="0" w:leftChars="0"/>
              <w:jc w:val="center"/>
              <w:rPr>
                <w:rFonts w:ascii="宋体" w:hAnsi="宋体" w:eastAsia="宋体" w:cs="宋体"/>
                <w:szCs w:val="21"/>
              </w:rPr>
            </w:pPr>
          </w:p>
        </w:tc>
        <w:tc>
          <w:tcPr>
            <w:tcW w:w="6618" w:type="dxa"/>
            <w:vAlign w:val="center"/>
          </w:tcPr>
          <w:p>
            <w:pPr>
              <w:pStyle w:val="2"/>
              <w:spacing w:after="0"/>
              <w:ind w:left="0" w:leftChars="0"/>
              <w:jc w:val="center"/>
              <w:rPr>
                <w:rFonts w:ascii="宋体" w:hAnsi="宋体" w:cs="宋体"/>
                <w:szCs w:val="21"/>
              </w:rPr>
            </w:pPr>
            <w:r>
              <w:rPr>
                <w:rFonts w:hint="eastAsia" w:ascii="宋体" w:hAnsi="宋体" w:cs="宋体"/>
                <w:szCs w:val="21"/>
              </w:rPr>
              <w:t>泉秀街道华丰社区创建禁毒品牌社区建设补助</w:t>
            </w:r>
          </w:p>
        </w:tc>
        <w:tc>
          <w:tcPr>
            <w:tcW w:w="1149" w:type="dxa"/>
            <w:vAlign w:val="center"/>
          </w:tcPr>
          <w:p>
            <w:pPr>
              <w:pStyle w:val="2"/>
              <w:spacing w:after="0"/>
              <w:ind w:left="0" w:leftChars="0"/>
              <w:jc w:val="center"/>
              <w:rPr>
                <w:rFonts w:ascii="宋体" w:hAnsi="宋体" w:eastAsia="宋体" w:cs="宋体"/>
                <w:szCs w:val="21"/>
              </w:rPr>
            </w:pPr>
            <w:r>
              <w:rPr>
                <w:rFonts w:hint="eastAsia" w:ascii="宋体" w:hAnsi="宋体" w:eastAsia="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vMerge w:val="continue"/>
            <w:vAlign w:val="center"/>
          </w:tcPr>
          <w:p>
            <w:pPr>
              <w:pStyle w:val="2"/>
              <w:spacing w:after="0"/>
              <w:ind w:left="0" w:leftChars="0"/>
              <w:jc w:val="center"/>
              <w:rPr>
                <w:rFonts w:ascii="宋体" w:hAnsi="宋体" w:eastAsia="宋体" w:cs="宋体"/>
                <w:szCs w:val="21"/>
              </w:rPr>
            </w:pPr>
          </w:p>
        </w:tc>
        <w:tc>
          <w:tcPr>
            <w:tcW w:w="6618" w:type="dxa"/>
            <w:vAlign w:val="center"/>
          </w:tcPr>
          <w:p>
            <w:pPr>
              <w:pStyle w:val="2"/>
              <w:spacing w:after="0"/>
              <w:ind w:left="0" w:leftChars="0"/>
              <w:jc w:val="center"/>
              <w:rPr>
                <w:rFonts w:ascii="宋体" w:hAnsi="宋体" w:cs="宋体"/>
                <w:szCs w:val="21"/>
              </w:rPr>
            </w:pPr>
            <w:r>
              <w:rPr>
                <w:rFonts w:hint="eastAsia" w:ascii="宋体" w:hAnsi="宋体" w:cs="宋体"/>
                <w:szCs w:val="21"/>
              </w:rPr>
              <w:t>城东中学创建林则徐禁毒宣传教育馆建设补助</w:t>
            </w:r>
          </w:p>
        </w:tc>
        <w:tc>
          <w:tcPr>
            <w:tcW w:w="1149" w:type="dxa"/>
            <w:vAlign w:val="center"/>
          </w:tcPr>
          <w:p>
            <w:pPr>
              <w:pStyle w:val="2"/>
              <w:spacing w:after="0"/>
              <w:ind w:left="0" w:leftChars="0"/>
              <w:jc w:val="center"/>
              <w:rPr>
                <w:rFonts w:ascii="宋体" w:hAnsi="宋体" w:eastAsia="宋体" w:cs="宋体"/>
                <w:szCs w:val="21"/>
              </w:rPr>
            </w:pPr>
            <w:r>
              <w:rPr>
                <w:rFonts w:hint="eastAsia" w:ascii="宋体" w:hAnsi="宋体" w:eastAsia="宋体" w:cs="宋体"/>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vMerge w:val="restart"/>
            <w:vAlign w:val="center"/>
          </w:tcPr>
          <w:p>
            <w:pPr>
              <w:pStyle w:val="2"/>
              <w:spacing w:after="0"/>
              <w:ind w:left="0" w:leftChars="0"/>
              <w:jc w:val="center"/>
              <w:rPr>
                <w:rFonts w:ascii="宋体" w:hAnsi="宋体" w:eastAsia="宋体" w:cs="宋体"/>
                <w:szCs w:val="21"/>
              </w:rPr>
            </w:pPr>
            <w:r>
              <w:rPr>
                <w:rFonts w:hint="eastAsia" w:ascii="宋体" w:hAnsi="宋体" w:eastAsia="宋体" w:cs="宋体"/>
                <w:szCs w:val="21"/>
              </w:rPr>
              <w:t>宣传</w:t>
            </w:r>
          </w:p>
          <w:p>
            <w:pPr>
              <w:pStyle w:val="2"/>
              <w:spacing w:after="0"/>
              <w:ind w:left="0" w:leftChars="0"/>
              <w:jc w:val="center"/>
              <w:rPr>
                <w:rFonts w:ascii="宋体" w:hAnsi="宋体" w:eastAsia="宋体" w:cs="宋体"/>
                <w:szCs w:val="21"/>
              </w:rPr>
            </w:pPr>
            <w:r>
              <w:rPr>
                <w:rFonts w:hint="eastAsia" w:ascii="宋体" w:hAnsi="宋体" w:eastAsia="宋体" w:cs="宋体"/>
                <w:szCs w:val="21"/>
              </w:rPr>
              <w:t>经费</w:t>
            </w:r>
          </w:p>
        </w:tc>
        <w:tc>
          <w:tcPr>
            <w:tcW w:w="6618" w:type="dxa"/>
            <w:vAlign w:val="center"/>
          </w:tcPr>
          <w:p>
            <w:pPr>
              <w:pStyle w:val="2"/>
              <w:spacing w:after="0"/>
              <w:ind w:left="0" w:leftChars="0"/>
              <w:jc w:val="center"/>
              <w:rPr>
                <w:rFonts w:ascii="宋体" w:hAnsi="宋体" w:cs="宋体"/>
                <w:szCs w:val="21"/>
              </w:rPr>
            </w:pPr>
            <w:r>
              <w:rPr>
                <w:rFonts w:hint="eastAsia" w:ascii="宋体" w:hAnsi="宋体" w:cs="宋体"/>
                <w:szCs w:val="21"/>
              </w:rPr>
              <w:t>区文明办禁毒宣传经费</w:t>
            </w:r>
          </w:p>
        </w:tc>
        <w:tc>
          <w:tcPr>
            <w:tcW w:w="1149" w:type="dxa"/>
            <w:vAlign w:val="center"/>
          </w:tcPr>
          <w:p>
            <w:pPr>
              <w:pStyle w:val="2"/>
              <w:spacing w:after="0"/>
              <w:ind w:left="0" w:leftChars="0"/>
              <w:jc w:val="center"/>
              <w:rPr>
                <w:rFonts w:ascii="宋体" w:hAnsi="宋体" w:eastAsia="宋体" w:cs="宋体"/>
                <w:szCs w:val="21"/>
              </w:rPr>
            </w:pPr>
            <w:r>
              <w:rPr>
                <w:rFonts w:hint="eastAsia" w:ascii="宋体" w:hAnsi="宋体" w:eastAsia="宋体" w:cs="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vMerge w:val="continue"/>
            <w:vAlign w:val="center"/>
          </w:tcPr>
          <w:p>
            <w:pPr>
              <w:pStyle w:val="2"/>
              <w:spacing w:after="0"/>
              <w:ind w:left="0" w:leftChars="0"/>
              <w:jc w:val="center"/>
              <w:rPr>
                <w:rFonts w:ascii="宋体" w:hAnsi="宋体" w:eastAsia="宋体" w:cs="宋体"/>
                <w:szCs w:val="21"/>
              </w:rPr>
            </w:pPr>
          </w:p>
        </w:tc>
        <w:tc>
          <w:tcPr>
            <w:tcW w:w="6618" w:type="dxa"/>
            <w:vAlign w:val="center"/>
          </w:tcPr>
          <w:p>
            <w:pPr>
              <w:pStyle w:val="2"/>
              <w:spacing w:after="0"/>
              <w:ind w:left="0" w:leftChars="0"/>
              <w:jc w:val="center"/>
              <w:rPr>
                <w:rFonts w:ascii="宋体" w:hAnsi="宋体" w:cs="宋体"/>
                <w:szCs w:val="21"/>
              </w:rPr>
            </w:pPr>
            <w:r>
              <w:rPr>
                <w:rFonts w:hint="eastAsia" w:ascii="宋体" w:hAnsi="宋体" w:cs="宋体"/>
                <w:szCs w:val="21"/>
              </w:rPr>
              <w:t>泉秀街道沉洲社区禁毒宣传经费</w:t>
            </w:r>
          </w:p>
        </w:tc>
        <w:tc>
          <w:tcPr>
            <w:tcW w:w="1149" w:type="dxa"/>
            <w:vAlign w:val="center"/>
          </w:tcPr>
          <w:p>
            <w:pPr>
              <w:pStyle w:val="2"/>
              <w:spacing w:after="0"/>
              <w:ind w:left="0" w:leftChars="0"/>
              <w:jc w:val="center"/>
              <w:rPr>
                <w:rFonts w:ascii="宋体" w:hAnsi="宋体" w:eastAsia="宋体" w:cs="宋体"/>
                <w:szCs w:val="21"/>
              </w:rPr>
            </w:pPr>
            <w:r>
              <w:rPr>
                <w:rFonts w:hint="eastAsia" w:ascii="宋体" w:hAnsi="宋体" w:eastAsia="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vMerge w:val="continue"/>
            <w:vAlign w:val="center"/>
          </w:tcPr>
          <w:p>
            <w:pPr>
              <w:pStyle w:val="2"/>
              <w:spacing w:after="0"/>
              <w:ind w:left="0" w:leftChars="0"/>
              <w:jc w:val="center"/>
              <w:rPr>
                <w:rFonts w:ascii="宋体" w:hAnsi="宋体" w:eastAsia="宋体" w:cs="宋体"/>
                <w:szCs w:val="21"/>
              </w:rPr>
            </w:pPr>
          </w:p>
        </w:tc>
        <w:tc>
          <w:tcPr>
            <w:tcW w:w="6618" w:type="dxa"/>
            <w:vAlign w:val="center"/>
          </w:tcPr>
          <w:p>
            <w:pPr>
              <w:pStyle w:val="2"/>
              <w:spacing w:after="0"/>
              <w:ind w:left="0" w:leftChars="0"/>
              <w:jc w:val="center"/>
              <w:rPr>
                <w:rFonts w:ascii="宋体" w:hAnsi="宋体" w:cs="宋体"/>
                <w:szCs w:val="21"/>
              </w:rPr>
            </w:pPr>
            <w:r>
              <w:rPr>
                <w:rFonts w:hint="eastAsia" w:ascii="宋体" w:hAnsi="宋体" w:cs="宋体"/>
                <w:szCs w:val="21"/>
              </w:rPr>
              <w:t>禁毒宣传微电影</w:t>
            </w:r>
          </w:p>
        </w:tc>
        <w:tc>
          <w:tcPr>
            <w:tcW w:w="1149" w:type="dxa"/>
            <w:vAlign w:val="center"/>
          </w:tcPr>
          <w:p>
            <w:pPr>
              <w:pStyle w:val="2"/>
              <w:spacing w:after="0"/>
              <w:ind w:left="0" w:leftChars="0"/>
              <w:jc w:val="center"/>
              <w:rPr>
                <w:rFonts w:ascii="宋体" w:hAnsi="宋体" w:eastAsia="宋体" w:cs="宋体"/>
                <w:szCs w:val="21"/>
              </w:rPr>
            </w:pPr>
            <w:r>
              <w:rPr>
                <w:rFonts w:hint="eastAsia" w:ascii="宋体" w:hAnsi="宋体" w:eastAsia="宋体" w:cs="宋体"/>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vMerge w:val="continue"/>
            <w:vAlign w:val="center"/>
          </w:tcPr>
          <w:p>
            <w:pPr>
              <w:pStyle w:val="2"/>
              <w:spacing w:after="0"/>
              <w:ind w:left="0" w:leftChars="0"/>
              <w:jc w:val="center"/>
              <w:rPr>
                <w:rFonts w:ascii="宋体" w:hAnsi="宋体" w:eastAsia="宋体" w:cs="宋体"/>
                <w:szCs w:val="21"/>
              </w:rPr>
            </w:pPr>
          </w:p>
        </w:tc>
        <w:tc>
          <w:tcPr>
            <w:tcW w:w="6618" w:type="dxa"/>
            <w:vAlign w:val="center"/>
          </w:tcPr>
          <w:p>
            <w:pPr>
              <w:pStyle w:val="2"/>
              <w:spacing w:after="0"/>
              <w:ind w:left="0" w:leftChars="0"/>
              <w:jc w:val="center"/>
              <w:rPr>
                <w:rFonts w:ascii="宋体" w:hAnsi="宋体" w:cs="宋体"/>
                <w:szCs w:val="21"/>
              </w:rPr>
            </w:pPr>
            <w:r>
              <w:rPr>
                <w:rFonts w:hint="eastAsia" w:ascii="宋体" w:hAnsi="宋体" w:cs="宋体"/>
                <w:szCs w:val="21"/>
              </w:rPr>
              <w:t>“新媒体法雨行动——禁毒法律有奖问答活动”</w:t>
            </w:r>
          </w:p>
        </w:tc>
        <w:tc>
          <w:tcPr>
            <w:tcW w:w="1149" w:type="dxa"/>
            <w:vAlign w:val="center"/>
          </w:tcPr>
          <w:p>
            <w:pPr>
              <w:pStyle w:val="2"/>
              <w:spacing w:after="0"/>
              <w:ind w:left="0" w:leftChars="0"/>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vMerge w:val="continue"/>
            <w:vAlign w:val="center"/>
          </w:tcPr>
          <w:p>
            <w:pPr>
              <w:pStyle w:val="2"/>
              <w:spacing w:after="0"/>
              <w:ind w:left="0" w:leftChars="0"/>
              <w:jc w:val="center"/>
              <w:rPr>
                <w:rFonts w:ascii="宋体" w:hAnsi="宋体" w:eastAsia="宋体" w:cs="宋体"/>
                <w:szCs w:val="21"/>
              </w:rPr>
            </w:pPr>
          </w:p>
        </w:tc>
        <w:tc>
          <w:tcPr>
            <w:tcW w:w="6618" w:type="dxa"/>
            <w:vAlign w:val="center"/>
          </w:tcPr>
          <w:p>
            <w:pPr>
              <w:pStyle w:val="2"/>
              <w:spacing w:after="0"/>
              <w:ind w:left="0" w:leftChars="0"/>
              <w:jc w:val="center"/>
              <w:rPr>
                <w:rFonts w:ascii="宋体" w:hAnsi="宋体" w:cs="宋体"/>
                <w:szCs w:val="21"/>
              </w:rPr>
            </w:pPr>
            <w:r>
              <w:rPr>
                <w:rFonts w:hint="eastAsia" w:ascii="宋体" w:hAnsi="宋体" w:cs="宋体"/>
                <w:szCs w:val="21"/>
              </w:rPr>
              <w:t>“6.26”国际禁毒日大型宣教活动暨文艺汇演</w:t>
            </w:r>
          </w:p>
        </w:tc>
        <w:tc>
          <w:tcPr>
            <w:tcW w:w="1149" w:type="dxa"/>
            <w:vAlign w:val="center"/>
          </w:tcPr>
          <w:p>
            <w:pPr>
              <w:pStyle w:val="2"/>
              <w:spacing w:after="0"/>
              <w:ind w:left="0" w:leftChars="0"/>
              <w:jc w:val="center"/>
              <w:rPr>
                <w:rFonts w:ascii="宋体" w:hAnsi="宋体" w:eastAsia="宋体" w:cs="宋体"/>
                <w:szCs w:val="21"/>
              </w:rPr>
            </w:pPr>
            <w:r>
              <w:rPr>
                <w:rFonts w:hint="eastAsia" w:ascii="宋体" w:hAnsi="宋体" w:eastAsia="宋体" w:cs="宋体"/>
                <w:szCs w:val="21"/>
              </w:rPr>
              <w:t>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vMerge w:val="continue"/>
            <w:vAlign w:val="center"/>
          </w:tcPr>
          <w:p>
            <w:pPr>
              <w:pStyle w:val="2"/>
              <w:spacing w:after="0"/>
              <w:ind w:left="0" w:leftChars="0"/>
              <w:jc w:val="center"/>
              <w:rPr>
                <w:rFonts w:ascii="宋体" w:hAnsi="宋体" w:eastAsia="宋体" w:cs="宋体"/>
                <w:szCs w:val="21"/>
              </w:rPr>
            </w:pPr>
          </w:p>
        </w:tc>
        <w:tc>
          <w:tcPr>
            <w:tcW w:w="6618" w:type="dxa"/>
            <w:vAlign w:val="center"/>
          </w:tcPr>
          <w:p>
            <w:pPr>
              <w:pStyle w:val="2"/>
              <w:spacing w:after="0"/>
              <w:ind w:left="0" w:leftChars="0"/>
              <w:jc w:val="center"/>
              <w:rPr>
                <w:rFonts w:ascii="宋体" w:hAnsi="宋体" w:cs="宋体"/>
                <w:szCs w:val="21"/>
              </w:rPr>
            </w:pPr>
            <w:r>
              <w:rPr>
                <w:rFonts w:hint="eastAsia" w:ascii="宋体" w:hAnsi="宋体" w:cs="宋体"/>
                <w:szCs w:val="21"/>
              </w:rPr>
              <w:t>禁毒宣传公益广告</w:t>
            </w:r>
          </w:p>
        </w:tc>
        <w:tc>
          <w:tcPr>
            <w:tcW w:w="1149" w:type="dxa"/>
            <w:vAlign w:val="center"/>
          </w:tcPr>
          <w:p>
            <w:pPr>
              <w:pStyle w:val="2"/>
              <w:spacing w:after="0"/>
              <w:ind w:left="0" w:leftChars="0"/>
              <w:jc w:val="center"/>
              <w:rPr>
                <w:rFonts w:ascii="宋体" w:hAnsi="宋体" w:eastAsia="宋体" w:cs="宋体"/>
                <w:szCs w:val="21"/>
              </w:rPr>
            </w:pPr>
            <w:r>
              <w:rPr>
                <w:rFonts w:hint="eastAsia" w:ascii="宋体" w:hAnsi="宋体" w:eastAsia="宋体" w:cs="宋体"/>
                <w:szCs w:val="21"/>
              </w:rPr>
              <w:t>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vMerge w:val="continue"/>
            <w:vAlign w:val="center"/>
          </w:tcPr>
          <w:p>
            <w:pPr>
              <w:pStyle w:val="2"/>
              <w:spacing w:after="0"/>
              <w:ind w:left="0" w:leftChars="0"/>
              <w:jc w:val="center"/>
              <w:rPr>
                <w:rFonts w:ascii="宋体" w:hAnsi="宋体" w:eastAsia="宋体" w:cs="宋体"/>
                <w:szCs w:val="21"/>
              </w:rPr>
            </w:pPr>
          </w:p>
        </w:tc>
        <w:tc>
          <w:tcPr>
            <w:tcW w:w="6618" w:type="dxa"/>
            <w:vAlign w:val="center"/>
          </w:tcPr>
          <w:p>
            <w:pPr>
              <w:pStyle w:val="2"/>
              <w:spacing w:after="0"/>
              <w:ind w:left="0" w:leftChars="0"/>
              <w:jc w:val="center"/>
              <w:rPr>
                <w:rFonts w:ascii="宋体" w:hAnsi="宋体" w:cs="宋体"/>
                <w:szCs w:val="21"/>
              </w:rPr>
            </w:pPr>
            <w:r>
              <w:rPr>
                <w:rFonts w:hint="eastAsia" w:ascii="宋体" w:hAnsi="宋体" w:cs="宋体"/>
                <w:szCs w:val="21"/>
              </w:rPr>
              <w:t>印制禁毒宣传海报</w:t>
            </w:r>
          </w:p>
        </w:tc>
        <w:tc>
          <w:tcPr>
            <w:tcW w:w="1149" w:type="dxa"/>
            <w:vAlign w:val="center"/>
          </w:tcPr>
          <w:p>
            <w:pPr>
              <w:pStyle w:val="2"/>
              <w:spacing w:after="0"/>
              <w:ind w:left="0" w:leftChars="0"/>
              <w:jc w:val="center"/>
              <w:rPr>
                <w:rFonts w:ascii="宋体" w:hAnsi="宋体" w:eastAsia="宋体" w:cs="宋体"/>
                <w:szCs w:val="21"/>
              </w:rPr>
            </w:pPr>
            <w:r>
              <w:rPr>
                <w:rFonts w:hint="eastAsia" w:ascii="宋体" w:hAnsi="宋体" w:eastAsia="宋体" w:cs="宋体"/>
                <w:szCs w:val="21"/>
              </w:rPr>
              <w:t>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vMerge w:val="restart"/>
            <w:vAlign w:val="center"/>
          </w:tcPr>
          <w:p>
            <w:pPr>
              <w:pStyle w:val="2"/>
              <w:spacing w:after="0"/>
              <w:ind w:left="0" w:leftChars="0"/>
              <w:jc w:val="center"/>
              <w:rPr>
                <w:rFonts w:ascii="宋体" w:hAnsi="宋体" w:eastAsia="宋体" w:cs="宋体"/>
                <w:szCs w:val="21"/>
              </w:rPr>
            </w:pPr>
            <w:r>
              <w:rPr>
                <w:rFonts w:hint="eastAsia" w:ascii="宋体" w:hAnsi="宋体" w:eastAsia="宋体" w:cs="宋体"/>
                <w:szCs w:val="21"/>
              </w:rPr>
              <w:t>工作</w:t>
            </w:r>
          </w:p>
          <w:p>
            <w:pPr>
              <w:pStyle w:val="2"/>
              <w:spacing w:after="0"/>
              <w:ind w:left="0" w:leftChars="0"/>
              <w:jc w:val="center"/>
              <w:rPr>
                <w:rFonts w:ascii="宋体" w:hAnsi="宋体" w:eastAsia="宋体" w:cs="宋体"/>
                <w:szCs w:val="21"/>
              </w:rPr>
            </w:pPr>
            <w:r>
              <w:rPr>
                <w:rFonts w:hint="eastAsia" w:ascii="宋体" w:hAnsi="宋体" w:eastAsia="宋体" w:cs="宋体"/>
                <w:szCs w:val="21"/>
              </w:rPr>
              <w:t>经费</w:t>
            </w:r>
          </w:p>
        </w:tc>
        <w:tc>
          <w:tcPr>
            <w:tcW w:w="6618" w:type="dxa"/>
            <w:vAlign w:val="center"/>
          </w:tcPr>
          <w:p>
            <w:pPr>
              <w:pStyle w:val="2"/>
              <w:spacing w:after="0"/>
              <w:ind w:left="0" w:leftChars="0"/>
              <w:jc w:val="center"/>
              <w:rPr>
                <w:rFonts w:ascii="宋体" w:hAnsi="宋体" w:cs="宋体"/>
                <w:szCs w:val="21"/>
              </w:rPr>
            </w:pPr>
            <w:r>
              <w:rPr>
                <w:rFonts w:hint="eastAsia" w:ascii="宋体" w:hAnsi="宋体" w:cs="宋体"/>
                <w:szCs w:val="21"/>
              </w:rPr>
              <w:t>丰泽公安分局网安大队协助禁毒工作经费</w:t>
            </w:r>
          </w:p>
        </w:tc>
        <w:tc>
          <w:tcPr>
            <w:tcW w:w="1149" w:type="dxa"/>
            <w:vAlign w:val="center"/>
          </w:tcPr>
          <w:p>
            <w:pPr>
              <w:pStyle w:val="2"/>
              <w:spacing w:after="0"/>
              <w:ind w:left="0" w:leftChars="0"/>
              <w:jc w:val="center"/>
              <w:rPr>
                <w:rFonts w:ascii="宋体" w:hAnsi="宋体" w:eastAsia="宋体" w:cs="宋体"/>
                <w:szCs w:val="21"/>
              </w:rPr>
            </w:pPr>
            <w:r>
              <w:rPr>
                <w:rFonts w:hint="eastAsia" w:ascii="宋体" w:hAnsi="宋体" w:eastAsia="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156" w:type="dxa"/>
            <w:vMerge w:val="continue"/>
            <w:vAlign w:val="center"/>
          </w:tcPr>
          <w:p>
            <w:pPr>
              <w:pStyle w:val="2"/>
              <w:spacing w:after="0"/>
              <w:ind w:left="0" w:leftChars="0"/>
              <w:jc w:val="center"/>
              <w:rPr>
                <w:rFonts w:ascii="宋体" w:hAnsi="宋体" w:eastAsia="宋体" w:cs="宋体"/>
                <w:szCs w:val="21"/>
              </w:rPr>
            </w:pPr>
          </w:p>
        </w:tc>
        <w:tc>
          <w:tcPr>
            <w:tcW w:w="6618" w:type="dxa"/>
            <w:vAlign w:val="center"/>
          </w:tcPr>
          <w:p>
            <w:pPr>
              <w:pStyle w:val="2"/>
              <w:spacing w:after="0"/>
              <w:ind w:left="0" w:leftChars="0"/>
              <w:jc w:val="center"/>
              <w:rPr>
                <w:rFonts w:ascii="宋体" w:hAnsi="宋体" w:cs="宋体"/>
                <w:szCs w:val="21"/>
              </w:rPr>
            </w:pPr>
            <w:r>
              <w:rPr>
                <w:rFonts w:hint="eastAsia" w:ascii="宋体" w:hAnsi="宋体" w:cs="宋体"/>
                <w:szCs w:val="21"/>
              </w:rPr>
              <w:t>区公安分局禁毒大队2019年全年禁毒专项经费</w:t>
            </w:r>
          </w:p>
        </w:tc>
        <w:tc>
          <w:tcPr>
            <w:tcW w:w="1149" w:type="dxa"/>
            <w:vAlign w:val="center"/>
          </w:tcPr>
          <w:p>
            <w:pPr>
              <w:pStyle w:val="2"/>
              <w:spacing w:after="0"/>
              <w:ind w:left="0" w:leftChars="0"/>
              <w:jc w:val="center"/>
              <w:rPr>
                <w:rFonts w:ascii="宋体" w:hAnsi="宋体" w:eastAsia="宋体" w:cs="宋体"/>
                <w:szCs w:val="21"/>
              </w:rPr>
            </w:pPr>
            <w:r>
              <w:rPr>
                <w:rFonts w:hint="eastAsia" w:ascii="宋体" w:hAnsi="宋体" w:eastAsia="宋体" w:cs="宋体"/>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vMerge w:val="continue"/>
            <w:vAlign w:val="center"/>
          </w:tcPr>
          <w:p>
            <w:pPr>
              <w:pStyle w:val="2"/>
              <w:spacing w:after="0"/>
              <w:ind w:left="0" w:leftChars="0"/>
              <w:jc w:val="center"/>
              <w:rPr>
                <w:rFonts w:ascii="宋体" w:hAnsi="宋体" w:eastAsia="宋体" w:cs="宋体"/>
                <w:szCs w:val="21"/>
              </w:rPr>
            </w:pPr>
          </w:p>
        </w:tc>
        <w:tc>
          <w:tcPr>
            <w:tcW w:w="6618" w:type="dxa"/>
            <w:vAlign w:val="center"/>
          </w:tcPr>
          <w:p>
            <w:pPr>
              <w:pStyle w:val="2"/>
              <w:spacing w:after="0"/>
              <w:ind w:left="0" w:leftChars="0"/>
              <w:jc w:val="center"/>
              <w:rPr>
                <w:rFonts w:ascii="宋体" w:hAnsi="宋体" w:cs="宋体"/>
                <w:szCs w:val="21"/>
              </w:rPr>
            </w:pPr>
            <w:r>
              <w:rPr>
                <w:rFonts w:hint="eastAsia" w:ascii="宋体" w:hAnsi="宋体" w:cs="宋体"/>
                <w:szCs w:val="21"/>
              </w:rPr>
              <w:t>区公安分局辅警人员经费</w:t>
            </w:r>
          </w:p>
        </w:tc>
        <w:tc>
          <w:tcPr>
            <w:tcW w:w="1149" w:type="dxa"/>
            <w:vAlign w:val="center"/>
          </w:tcPr>
          <w:p>
            <w:pPr>
              <w:pStyle w:val="2"/>
              <w:spacing w:after="0"/>
              <w:ind w:left="0" w:leftChars="0"/>
              <w:jc w:val="center"/>
              <w:rPr>
                <w:rFonts w:ascii="宋体" w:hAnsi="宋体" w:eastAsia="宋体" w:cs="宋体"/>
                <w:szCs w:val="21"/>
              </w:rPr>
            </w:pPr>
            <w:r>
              <w:rPr>
                <w:rFonts w:hint="eastAsia" w:ascii="宋体" w:hAnsi="宋体" w:eastAsia="宋体" w:cs="宋体"/>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vMerge w:val="continue"/>
            <w:vAlign w:val="center"/>
          </w:tcPr>
          <w:p>
            <w:pPr>
              <w:pStyle w:val="2"/>
              <w:spacing w:after="0"/>
              <w:ind w:left="0" w:leftChars="0"/>
              <w:jc w:val="center"/>
              <w:rPr>
                <w:rFonts w:ascii="宋体" w:hAnsi="宋体" w:eastAsia="宋体" w:cs="宋体"/>
                <w:szCs w:val="21"/>
              </w:rPr>
            </w:pPr>
          </w:p>
        </w:tc>
        <w:tc>
          <w:tcPr>
            <w:tcW w:w="6618" w:type="dxa"/>
            <w:vAlign w:val="center"/>
          </w:tcPr>
          <w:p>
            <w:pPr>
              <w:pStyle w:val="2"/>
              <w:spacing w:after="0"/>
              <w:ind w:left="0" w:leftChars="0"/>
              <w:jc w:val="center"/>
              <w:rPr>
                <w:rFonts w:ascii="宋体" w:hAnsi="宋体" w:cs="宋体"/>
                <w:szCs w:val="21"/>
              </w:rPr>
            </w:pPr>
            <w:r>
              <w:rPr>
                <w:rFonts w:hint="eastAsia" w:ascii="宋体" w:hAnsi="宋体" w:cs="宋体"/>
                <w:szCs w:val="21"/>
                <w:lang w:val="en-US" w:eastAsia="zh-CN"/>
              </w:rPr>
              <w:t>2019年上半年</w:t>
            </w:r>
            <w:r>
              <w:rPr>
                <w:rFonts w:hint="eastAsia" w:ascii="宋体" w:hAnsi="宋体" w:cs="宋体"/>
                <w:szCs w:val="21"/>
              </w:rPr>
              <w:t>社工服务</w:t>
            </w:r>
          </w:p>
        </w:tc>
        <w:tc>
          <w:tcPr>
            <w:tcW w:w="1149" w:type="dxa"/>
            <w:vAlign w:val="center"/>
          </w:tcPr>
          <w:p>
            <w:pPr>
              <w:pStyle w:val="2"/>
              <w:spacing w:after="0"/>
              <w:ind w:left="0" w:leftChars="0"/>
              <w:jc w:val="center"/>
              <w:rPr>
                <w:rFonts w:ascii="宋体" w:hAnsi="宋体" w:eastAsia="宋体" w:cs="宋体"/>
                <w:szCs w:val="21"/>
              </w:rPr>
            </w:pPr>
            <w:r>
              <w:rPr>
                <w:rFonts w:hint="eastAsia" w:ascii="宋体" w:hAnsi="宋体" w:eastAsia="宋体" w:cs="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vMerge w:val="continue"/>
            <w:vAlign w:val="center"/>
          </w:tcPr>
          <w:p>
            <w:pPr>
              <w:pStyle w:val="2"/>
              <w:spacing w:after="0"/>
              <w:ind w:left="0" w:leftChars="0"/>
              <w:jc w:val="center"/>
              <w:rPr>
                <w:rFonts w:ascii="宋体" w:hAnsi="宋体" w:eastAsia="宋体" w:cs="宋体"/>
                <w:szCs w:val="21"/>
              </w:rPr>
            </w:pPr>
          </w:p>
        </w:tc>
        <w:tc>
          <w:tcPr>
            <w:tcW w:w="6618" w:type="dxa"/>
            <w:vAlign w:val="center"/>
          </w:tcPr>
          <w:p>
            <w:pPr>
              <w:pStyle w:val="2"/>
              <w:spacing w:after="0"/>
              <w:ind w:left="0" w:leftChars="0"/>
              <w:jc w:val="center"/>
              <w:rPr>
                <w:rFonts w:ascii="宋体" w:hAnsi="宋体" w:cs="宋体"/>
                <w:szCs w:val="21"/>
              </w:rPr>
            </w:pPr>
            <w:r>
              <w:rPr>
                <w:rFonts w:hint="eastAsia" w:ascii="宋体" w:hAnsi="宋体" w:cs="宋体"/>
                <w:szCs w:val="21"/>
              </w:rPr>
              <w:t>区禁毒办社工奖金</w:t>
            </w:r>
          </w:p>
        </w:tc>
        <w:tc>
          <w:tcPr>
            <w:tcW w:w="1149" w:type="dxa"/>
            <w:vAlign w:val="center"/>
          </w:tcPr>
          <w:p>
            <w:pPr>
              <w:pStyle w:val="2"/>
              <w:spacing w:after="0"/>
              <w:ind w:left="0" w:leftChars="0"/>
              <w:jc w:val="center"/>
              <w:rPr>
                <w:rFonts w:ascii="宋体" w:hAnsi="宋体" w:eastAsia="宋体" w:cs="宋体"/>
                <w:szCs w:val="21"/>
              </w:rPr>
            </w:pPr>
            <w:r>
              <w:rPr>
                <w:rFonts w:hint="eastAsia" w:ascii="宋体" w:hAnsi="宋体" w:eastAsia="宋体" w:cs="宋体"/>
                <w:szCs w:val="21"/>
              </w:rPr>
              <w:t>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vMerge w:val="restart"/>
            <w:vAlign w:val="center"/>
          </w:tcPr>
          <w:p>
            <w:pPr>
              <w:pStyle w:val="2"/>
              <w:spacing w:after="0"/>
              <w:ind w:left="0" w:leftChars="0"/>
              <w:jc w:val="center"/>
              <w:rPr>
                <w:rFonts w:ascii="宋体" w:hAnsi="宋体" w:eastAsia="宋体" w:cs="宋体"/>
                <w:szCs w:val="21"/>
              </w:rPr>
            </w:pPr>
            <w:r>
              <w:rPr>
                <w:rFonts w:hint="eastAsia" w:ascii="宋体" w:hAnsi="宋体" w:eastAsia="宋体" w:cs="宋体"/>
                <w:szCs w:val="21"/>
              </w:rPr>
              <w:t>其他</w:t>
            </w:r>
          </w:p>
        </w:tc>
        <w:tc>
          <w:tcPr>
            <w:tcW w:w="6618" w:type="dxa"/>
            <w:vAlign w:val="center"/>
          </w:tcPr>
          <w:p>
            <w:pPr>
              <w:pStyle w:val="2"/>
              <w:spacing w:after="0"/>
              <w:ind w:left="0" w:leftChars="0"/>
              <w:jc w:val="center"/>
              <w:rPr>
                <w:rFonts w:ascii="宋体" w:hAnsi="宋体" w:cs="宋体"/>
                <w:szCs w:val="21"/>
              </w:rPr>
            </w:pPr>
            <w:r>
              <w:rPr>
                <w:rFonts w:hint="eastAsia" w:ascii="宋体" w:hAnsi="宋体" w:cs="宋体"/>
                <w:szCs w:val="21"/>
              </w:rPr>
              <w:t>泉州丰泽区铭泽代理记账有限公司办理日常会计核算业务服务费</w:t>
            </w:r>
          </w:p>
        </w:tc>
        <w:tc>
          <w:tcPr>
            <w:tcW w:w="1149" w:type="dxa"/>
            <w:vAlign w:val="center"/>
          </w:tcPr>
          <w:p>
            <w:pPr>
              <w:pStyle w:val="2"/>
              <w:spacing w:after="0"/>
              <w:ind w:left="0" w:leftChars="0"/>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vMerge w:val="continue"/>
            <w:vAlign w:val="center"/>
          </w:tcPr>
          <w:p>
            <w:pPr>
              <w:pStyle w:val="2"/>
              <w:spacing w:after="0"/>
              <w:ind w:left="0" w:leftChars="0"/>
              <w:jc w:val="center"/>
              <w:rPr>
                <w:rFonts w:ascii="宋体" w:hAnsi="宋体" w:eastAsia="宋体" w:cs="宋体"/>
                <w:szCs w:val="21"/>
              </w:rPr>
            </w:pPr>
          </w:p>
        </w:tc>
        <w:tc>
          <w:tcPr>
            <w:tcW w:w="6618" w:type="dxa"/>
            <w:vAlign w:val="center"/>
          </w:tcPr>
          <w:p>
            <w:pPr>
              <w:pStyle w:val="2"/>
              <w:spacing w:after="0"/>
              <w:ind w:left="0" w:leftChars="0"/>
              <w:jc w:val="center"/>
              <w:rPr>
                <w:rFonts w:ascii="宋体" w:hAnsi="宋体" w:cs="宋体"/>
                <w:szCs w:val="21"/>
              </w:rPr>
            </w:pPr>
            <w:r>
              <w:rPr>
                <w:rFonts w:hint="eastAsia" w:ascii="宋体" w:hAnsi="宋体" w:cs="宋体"/>
                <w:szCs w:val="21"/>
              </w:rPr>
              <w:t>区禁毒办零星支出</w:t>
            </w:r>
          </w:p>
        </w:tc>
        <w:tc>
          <w:tcPr>
            <w:tcW w:w="1149" w:type="dxa"/>
            <w:vAlign w:val="center"/>
          </w:tcPr>
          <w:p>
            <w:pPr>
              <w:pStyle w:val="2"/>
              <w:spacing w:after="0"/>
              <w:ind w:left="0" w:leftChars="0"/>
              <w:jc w:val="center"/>
              <w:rPr>
                <w:rFonts w:ascii="宋体" w:hAnsi="宋体" w:eastAsia="宋体" w:cs="宋体"/>
                <w:szCs w:val="21"/>
              </w:rPr>
            </w:pPr>
            <w:r>
              <w:rPr>
                <w:rFonts w:hint="eastAsia" w:ascii="宋体" w:hAnsi="宋体" w:eastAsia="宋体" w:cs="宋体"/>
                <w:szCs w:val="21"/>
              </w:rPr>
              <w:t>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4" w:type="dxa"/>
            <w:gridSpan w:val="2"/>
            <w:vAlign w:val="center"/>
          </w:tcPr>
          <w:p>
            <w:pPr>
              <w:pStyle w:val="2"/>
              <w:spacing w:after="0"/>
              <w:ind w:left="0" w:leftChars="0"/>
              <w:jc w:val="center"/>
              <w:rPr>
                <w:rFonts w:ascii="宋体" w:hAnsi="宋体" w:cs="宋体"/>
                <w:szCs w:val="21"/>
              </w:rPr>
            </w:pPr>
            <w:r>
              <w:rPr>
                <w:rFonts w:hint="eastAsia" w:ascii="宋体" w:hAnsi="宋体" w:cs="宋体"/>
                <w:b/>
                <w:bCs/>
                <w:szCs w:val="21"/>
              </w:rPr>
              <w:t>合  计</w:t>
            </w:r>
          </w:p>
        </w:tc>
        <w:tc>
          <w:tcPr>
            <w:tcW w:w="1149" w:type="dxa"/>
            <w:vAlign w:val="center"/>
          </w:tcPr>
          <w:p>
            <w:pPr>
              <w:pStyle w:val="2"/>
              <w:spacing w:after="0"/>
              <w:ind w:left="0" w:leftChars="0"/>
              <w:jc w:val="center"/>
              <w:rPr>
                <w:rFonts w:ascii="宋体" w:hAnsi="宋体" w:eastAsia="宋体" w:cs="宋体"/>
                <w:szCs w:val="21"/>
              </w:rPr>
            </w:pPr>
            <w:r>
              <w:rPr>
                <w:rFonts w:hint="eastAsia" w:ascii="宋体" w:hAnsi="宋体" w:eastAsia="宋体" w:cs="宋体"/>
                <w:szCs w:val="21"/>
              </w:rPr>
              <w:t>467.95</w:t>
            </w:r>
          </w:p>
        </w:tc>
      </w:tr>
    </w:tbl>
    <w:p>
      <w:pPr>
        <w:pStyle w:val="2"/>
        <w:spacing w:after="0"/>
        <w:ind w:left="0" w:leftChars="0"/>
        <w:jc w:val="center"/>
        <w:rPr>
          <w:szCs w:val="21"/>
        </w:rPr>
      </w:pPr>
    </w:p>
    <w:p>
      <w:pPr>
        <w:spacing w:line="360" w:lineRule="auto"/>
        <w:ind w:firstLine="480" w:firstLineChars="200"/>
        <w:rPr>
          <w:rFonts w:ascii="宋体" w:hAnsi="宋体" w:eastAsia="宋体" w:cs="宋体"/>
          <w:b/>
          <w:bCs/>
          <w:color w:val="000000"/>
          <w:sz w:val="24"/>
          <w:szCs w:val="22"/>
        </w:rPr>
      </w:pPr>
      <w:r>
        <w:rPr>
          <w:rFonts w:hint="eastAsia" w:ascii="宋体" w:hAnsi="宋体" w:eastAsia="宋体" w:cs="宋体"/>
          <w:sz w:val="24"/>
        </w:rPr>
        <w:t>从资金使用情况来看，至2020年3月11日，禁毒工作专项经费已使用467.95万元，其中禁毒宣传基地建设补助支出377万元，占专项经费的</w:t>
      </w:r>
      <w:r>
        <w:rPr>
          <w:rFonts w:hint="eastAsia" w:ascii="宋体" w:hAnsi="宋体" w:eastAsia="宋体" w:cs="宋体"/>
          <w:sz w:val="24"/>
          <w:lang w:val="en-US" w:eastAsia="zh-CN"/>
        </w:rPr>
        <w:t>75.4</w:t>
      </w:r>
      <w:r>
        <w:rPr>
          <w:rFonts w:hint="eastAsia" w:ascii="宋体" w:hAnsi="宋体" w:eastAsia="宋体" w:cs="宋体"/>
          <w:sz w:val="24"/>
        </w:rPr>
        <w:t>%；宣传经费支出1</w:t>
      </w:r>
      <w:r>
        <w:rPr>
          <w:rFonts w:hint="eastAsia" w:ascii="宋体" w:hAnsi="宋体" w:eastAsia="宋体" w:cs="宋体"/>
          <w:sz w:val="24"/>
          <w:lang w:val="en-US" w:eastAsia="zh-CN"/>
        </w:rPr>
        <w:t>7</w:t>
      </w:r>
      <w:r>
        <w:rPr>
          <w:rFonts w:hint="eastAsia" w:ascii="宋体" w:hAnsi="宋体" w:eastAsia="宋体" w:cs="宋体"/>
          <w:sz w:val="24"/>
        </w:rPr>
        <w:t>.06万元，占专项经费的</w:t>
      </w:r>
      <w:r>
        <w:rPr>
          <w:rFonts w:hint="eastAsia" w:ascii="宋体" w:hAnsi="宋体" w:eastAsia="宋体" w:cs="宋体"/>
          <w:sz w:val="24"/>
          <w:lang w:val="en-US" w:eastAsia="zh-CN"/>
        </w:rPr>
        <w:t>3.41</w:t>
      </w:r>
      <w:r>
        <w:rPr>
          <w:rFonts w:hint="eastAsia" w:ascii="宋体" w:hAnsi="宋体" w:eastAsia="宋体" w:cs="宋体"/>
          <w:sz w:val="24"/>
        </w:rPr>
        <w:t>%；工作经费支出为70.</w:t>
      </w:r>
      <w:r>
        <w:rPr>
          <w:rFonts w:hint="eastAsia" w:ascii="宋体" w:hAnsi="宋体" w:eastAsia="宋体" w:cs="宋体"/>
          <w:sz w:val="24"/>
          <w:lang w:val="en-US" w:eastAsia="zh-CN"/>
        </w:rPr>
        <w:t>7</w:t>
      </w:r>
      <w:r>
        <w:rPr>
          <w:rFonts w:hint="eastAsia" w:ascii="宋体" w:hAnsi="宋体" w:eastAsia="宋体" w:cs="宋体"/>
          <w:sz w:val="24"/>
        </w:rPr>
        <w:t>2万元，占专项经费的</w:t>
      </w:r>
      <w:r>
        <w:rPr>
          <w:rFonts w:hint="eastAsia" w:ascii="宋体" w:hAnsi="宋体" w:eastAsia="宋体" w:cs="宋体"/>
          <w:sz w:val="24"/>
          <w:lang w:val="en-US" w:eastAsia="zh-CN"/>
        </w:rPr>
        <w:t>14.14</w:t>
      </w:r>
      <w:r>
        <w:rPr>
          <w:rFonts w:hint="eastAsia" w:ascii="宋体" w:hAnsi="宋体" w:eastAsia="宋体" w:cs="宋体"/>
          <w:sz w:val="24"/>
        </w:rPr>
        <w:t>%。综上，2019年度禁毒工作专项经费主要用于宣传。</w:t>
      </w:r>
    </w:p>
    <w:p>
      <w:pPr>
        <w:pStyle w:val="10"/>
        <w:ind w:firstLine="562"/>
        <w:outlineLvl w:val="1"/>
      </w:pPr>
      <w:bookmarkStart w:id="2" w:name="_Toc21081"/>
      <w:r>
        <w:rPr>
          <w:rFonts w:hint="eastAsia"/>
        </w:rPr>
        <w:t>（二）项目绩效目标</w:t>
      </w:r>
      <w:bookmarkEnd w:id="2"/>
    </w:p>
    <w:p>
      <w:pPr>
        <w:spacing w:line="360" w:lineRule="auto"/>
        <w:ind w:firstLine="480" w:firstLineChars="200"/>
        <w:rPr>
          <w:rFonts w:ascii="宋体" w:hAnsi="宋体" w:eastAsia="宋体" w:cs="宋体"/>
          <w:sz w:val="24"/>
        </w:rPr>
      </w:pPr>
      <w:r>
        <w:rPr>
          <w:rFonts w:hint="eastAsia" w:ascii="宋体" w:hAnsi="宋体" w:eastAsia="宋体" w:cs="宋体"/>
          <w:sz w:val="24"/>
        </w:rPr>
        <w:t>禁毒工作专项经费的总体目标是通过开展为期一年的禁毒重点整治攻坚专项行动，有效遏制涉毒违法犯罪活动，确保顺利通过省禁毒委验收，摘掉“禁毒重点关注地区”的帽子，并建立完善禁毒工作长效机制。</w:t>
      </w:r>
    </w:p>
    <w:p>
      <w:pPr>
        <w:pStyle w:val="8"/>
        <w:spacing w:beforeLines="100" w:afterLines="100"/>
        <w:outlineLvl w:val="0"/>
        <w:rPr>
          <w:rFonts w:ascii="黑体" w:hAnsi="黑体" w:eastAsia="黑体" w:cs="黑体"/>
          <w:b w:val="0"/>
          <w:bCs/>
        </w:rPr>
      </w:pPr>
      <w:bookmarkStart w:id="3" w:name="_Toc27085"/>
      <w:r>
        <w:rPr>
          <w:rFonts w:hint="eastAsia" w:ascii="黑体" w:hAnsi="黑体" w:eastAsia="黑体" w:cs="黑体"/>
          <w:b w:val="0"/>
          <w:bCs/>
        </w:rPr>
        <w:t>二、绩效评价工作开展情况</w:t>
      </w:r>
      <w:bookmarkEnd w:id="3"/>
    </w:p>
    <w:p>
      <w:pPr>
        <w:pStyle w:val="10"/>
        <w:ind w:firstLine="562"/>
        <w:outlineLvl w:val="1"/>
      </w:pPr>
      <w:bookmarkStart w:id="4" w:name="_Toc7219"/>
      <w:r>
        <w:rPr>
          <w:rFonts w:hint="eastAsia"/>
        </w:rPr>
        <w:t>（一）绩效评价目的、对象和范围</w:t>
      </w:r>
      <w:bookmarkEnd w:id="4"/>
    </w:p>
    <w:p>
      <w:pPr>
        <w:spacing w:line="360" w:lineRule="auto"/>
        <w:ind w:firstLine="482" w:firstLineChars="200"/>
        <w:rPr>
          <w:rFonts w:ascii="宋体" w:hAnsi="宋体" w:eastAsia="宋体" w:cs="宋体"/>
          <w:b/>
          <w:bCs/>
          <w:color w:val="000000"/>
          <w:sz w:val="24"/>
          <w:szCs w:val="22"/>
        </w:rPr>
      </w:pPr>
      <w:r>
        <w:rPr>
          <w:rFonts w:hint="eastAsia" w:ascii="宋体" w:hAnsi="宋体" w:eastAsia="宋体" w:cs="宋体"/>
          <w:b/>
          <w:bCs/>
          <w:color w:val="000000"/>
          <w:sz w:val="24"/>
          <w:szCs w:val="22"/>
        </w:rPr>
        <w:t>1.绩效评价目的</w:t>
      </w:r>
    </w:p>
    <w:p>
      <w:pPr>
        <w:spacing w:line="360" w:lineRule="auto"/>
        <w:ind w:firstLine="480" w:firstLineChars="200"/>
        <w:rPr>
          <w:rFonts w:ascii="宋体" w:hAnsi="宋体" w:cs="宋体"/>
          <w:sz w:val="24"/>
        </w:rPr>
      </w:pPr>
      <w:r>
        <w:rPr>
          <w:rFonts w:hint="eastAsia" w:hAnsi="宋体" w:cs="宋体"/>
          <w:sz w:val="24"/>
        </w:rPr>
        <w:t>工作组</w:t>
      </w:r>
      <w:r>
        <w:rPr>
          <w:rFonts w:hint="eastAsia" w:ascii="宋体" w:hAnsi="宋体" w:cs="宋体"/>
          <w:sz w:val="24"/>
        </w:rPr>
        <w:t>对</w:t>
      </w:r>
      <w:r>
        <w:rPr>
          <w:rFonts w:hint="eastAsia" w:ascii="宋体" w:hAnsi="宋体" w:eastAsia="宋体" w:cs="宋体"/>
          <w:sz w:val="24"/>
        </w:rPr>
        <w:t>禁毒工作专项经费</w:t>
      </w:r>
      <w:r>
        <w:rPr>
          <w:rFonts w:hint="eastAsia" w:ascii="宋体" w:hAnsi="宋体" w:cs="宋体"/>
          <w:sz w:val="24"/>
        </w:rPr>
        <w:t>进行评价，目的是从决策角度的项目立项、绩效目标设定和资金投入考察资金投入的合规合理性，从过程角度了解资金管理情况和组织实施情况，从产出角度分析资金使用的产出数量和质量是否符合预期，从效益角度分析资金使用是否实现应有的效果和满意度。最终目的是通过对决策、过程、产出和效益四个角度的分析总结经验，为改善政府管理、纠正目标与实际的偏差提供依据。通过对</w:t>
      </w:r>
      <w:r>
        <w:rPr>
          <w:rFonts w:hint="eastAsia" w:hAnsi="宋体" w:cs="宋体"/>
          <w:sz w:val="24"/>
        </w:rPr>
        <w:t>泉州市丰泽区</w:t>
      </w:r>
      <w:r>
        <w:rPr>
          <w:rFonts w:hint="eastAsia" w:ascii="宋体" w:hAnsi="宋体" w:eastAsia="宋体" w:cs="宋体"/>
          <w:sz w:val="24"/>
        </w:rPr>
        <w:t>2019年度</w:t>
      </w:r>
      <w:r>
        <w:rPr>
          <w:rFonts w:hint="eastAsia" w:hAnsi="宋体" w:cs="宋体"/>
          <w:sz w:val="24"/>
        </w:rPr>
        <w:t>禁毒工作专项经费</w:t>
      </w:r>
      <w:r>
        <w:rPr>
          <w:rFonts w:hint="eastAsia" w:ascii="宋体" w:hAnsi="宋体"/>
          <w:sz w:val="24"/>
        </w:rPr>
        <w:t>拨付、使用情况的调研，拟定该项资金绩效评价指标体系，评价该项资金的绩效目标完成情况，剖析该项资金在决策、管理及项目实施过程中存在的问题，并探讨其可能的原因，最后提出相应的解决对策，为提高资金的使用效率提供参考依据。</w:t>
      </w:r>
    </w:p>
    <w:p>
      <w:pPr>
        <w:spacing w:line="360" w:lineRule="auto"/>
        <w:ind w:firstLine="482" w:firstLineChars="200"/>
        <w:rPr>
          <w:rFonts w:ascii="宋体" w:hAnsi="宋体" w:eastAsia="宋体" w:cs="宋体"/>
          <w:b/>
          <w:bCs/>
          <w:color w:val="000000"/>
          <w:sz w:val="24"/>
          <w:szCs w:val="22"/>
        </w:rPr>
      </w:pPr>
      <w:r>
        <w:rPr>
          <w:rFonts w:hint="eastAsia" w:ascii="宋体" w:hAnsi="宋体" w:eastAsia="宋体" w:cs="宋体"/>
          <w:b/>
          <w:bCs/>
          <w:color w:val="000000"/>
          <w:sz w:val="24"/>
          <w:szCs w:val="22"/>
        </w:rPr>
        <w:t>2.绩效评价对象和范围</w:t>
      </w:r>
    </w:p>
    <w:p>
      <w:pPr>
        <w:pStyle w:val="4"/>
        <w:spacing w:line="360" w:lineRule="auto"/>
        <w:ind w:firstLine="480" w:firstLineChars="200"/>
        <w:rPr>
          <w:rFonts w:hAnsi="宋体" w:cs="宋体"/>
          <w:sz w:val="24"/>
          <w:szCs w:val="24"/>
        </w:rPr>
      </w:pPr>
      <w:r>
        <w:rPr>
          <w:rFonts w:hint="eastAsia" w:hAnsi="宋体" w:cs="宋体"/>
          <w:sz w:val="24"/>
          <w:szCs w:val="24"/>
        </w:rPr>
        <w:t>绩效评价对象为泉州市丰泽区2019年度禁毒工作专项经费，本报告所评价资金为500万元区级财政投入。评价范围是项目决策：包括立项程序、绩效目标设定和资金投入情况；项目管理：包括组织实施情况；项目产出：包括产出数量、质量，项目效益：包括带来的社会效益、可持续影响和相关方的满意度。</w:t>
      </w:r>
    </w:p>
    <w:p>
      <w:pPr>
        <w:pStyle w:val="10"/>
        <w:ind w:firstLine="562"/>
        <w:outlineLvl w:val="1"/>
      </w:pPr>
      <w:bookmarkStart w:id="5" w:name="_Toc4205"/>
      <w:r>
        <w:rPr>
          <w:rFonts w:hint="eastAsia"/>
        </w:rPr>
        <w:t>（二）绩效评价原则、评价指标体系、评价方法和评价标准</w:t>
      </w:r>
      <w:bookmarkEnd w:id="5"/>
    </w:p>
    <w:p>
      <w:pPr>
        <w:spacing w:line="360" w:lineRule="auto"/>
        <w:ind w:firstLine="482" w:firstLineChars="200"/>
        <w:rPr>
          <w:rFonts w:ascii="宋体" w:hAnsi="宋体" w:eastAsia="宋体" w:cs="宋体"/>
          <w:b/>
          <w:bCs/>
          <w:color w:val="000000"/>
          <w:sz w:val="24"/>
          <w:szCs w:val="22"/>
        </w:rPr>
      </w:pPr>
      <w:r>
        <w:rPr>
          <w:rFonts w:hint="eastAsia" w:ascii="宋体" w:hAnsi="宋体" w:eastAsia="宋体" w:cs="宋体"/>
          <w:b/>
          <w:bCs/>
          <w:color w:val="000000"/>
          <w:sz w:val="24"/>
          <w:szCs w:val="22"/>
        </w:rPr>
        <w:t>1.绩效评价原则</w:t>
      </w:r>
    </w:p>
    <w:p>
      <w:pPr>
        <w:pStyle w:val="4"/>
        <w:spacing w:line="360" w:lineRule="auto"/>
        <w:ind w:firstLine="480" w:firstLineChars="200"/>
        <w:rPr>
          <w:rFonts w:hAnsi="宋体" w:cs="宋体"/>
          <w:sz w:val="24"/>
          <w:szCs w:val="24"/>
        </w:rPr>
      </w:pPr>
      <w:r>
        <w:rPr>
          <w:rFonts w:hint="eastAsia" w:hAnsi="宋体" w:cs="宋体"/>
          <w:sz w:val="24"/>
          <w:szCs w:val="24"/>
        </w:rPr>
        <w:t>泉州市丰泽区2019年度禁毒工作专项经费绩效评价应根据设定的绩效目标，运用科学、合理的绩效评价指标、评价标准和评价方法，按照</w:t>
      </w:r>
      <w:r>
        <w:rPr>
          <w:rFonts w:hAnsi="宋体" w:cs="宋体"/>
          <w:sz w:val="24"/>
          <w:szCs w:val="24"/>
        </w:rPr>
        <w:t>财政支出绩效考评</w:t>
      </w:r>
      <w:r>
        <w:rPr>
          <w:rFonts w:hint="eastAsia" w:hAnsi="宋体" w:cs="宋体"/>
          <w:sz w:val="24"/>
          <w:szCs w:val="24"/>
        </w:rPr>
        <w:t>3E原则，对禁毒工作专项经费的经济性、效率性和效益性进行客观、公正的评价。根据《项目支出绩效评价管理办法》（财预〔2020〕10 号），绩效评</w:t>
      </w:r>
      <w:r>
        <w:rPr>
          <w:rFonts w:hAnsi="宋体" w:cs="宋体"/>
          <w:sz w:val="24"/>
          <w:szCs w:val="24"/>
        </w:rPr>
        <w:t>价指标的确定应当遵循以下基本原则：</w:t>
      </w:r>
    </w:p>
    <w:p>
      <w:pPr>
        <w:pStyle w:val="4"/>
        <w:spacing w:line="360" w:lineRule="auto"/>
        <w:ind w:firstLine="480" w:firstLineChars="200"/>
        <w:rPr>
          <w:rFonts w:hAnsi="宋体" w:cs="宋体"/>
          <w:sz w:val="24"/>
          <w:szCs w:val="24"/>
        </w:rPr>
      </w:pPr>
      <w:r>
        <w:rPr>
          <w:rFonts w:hint="eastAsia" w:hAnsi="宋体" w:cs="宋体"/>
          <w:sz w:val="24"/>
          <w:szCs w:val="24"/>
        </w:rPr>
        <w:t>（1）</w:t>
      </w:r>
      <w:r>
        <w:rPr>
          <w:rFonts w:hAnsi="宋体" w:cs="宋体"/>
          <w:sz w:val="24"/>
          <w:szCs w:val="24"/>
        </w:rPr>
        <w:t>相关性原则。确定的绩效评价指标应当与绩效目标有直接的联系，能够恰当反</w:t>
      </w:r>
      <w:r>
        <w:rPr>
          <w:rFonts w:hint="eastAsia" w:hAnsi="宋体" w:cs="宋体"/>
          <w:sz w:val="24"/>
          <w:szCs w:val="24"/>
        </w:rPr>
        <w:t>映目标的实现程度。</w:t>
      </w:r>
    </w:p>
    <w:p>
      <w:pPr>
        <w:pStyle w:val="4"/>
        <w:spacing w:line="360" w:lineRule="auto"/>
        <w:ind w:firstLine="480" w:firstLineChars="200"/>
        <w:rPr>
          <w:rFonts w:hAnsi="宋体" w:cs="宋体"/>
          <w:sz w:val="24"/>
          <w:szCs w:val="24"/>
        </w:rPr>
      </w:pPr>
      <w:r>
        <w:rPr>
          <w:rFonts w:hint="eastAsia" w:hAnsi="宋体" w:cs="宋体"/>
          <w:sz w:val="24"/>
          <w:szCs w:val="24"/>
        </w:rPr>
        <w:t>（2）</w:t>
      </w:r>
      <w:r>
        <w:rPr>
          <w:rFonts w:hAnsi="宋体" w:cs="宋体"/>
          <w:sz w:val="24"/>
          <w:szCs w:val="24"/>
        </w:rPr>
        <w:t>重要性原则。应当优先使用最具评价对象代表性、最能反映评价要求的核心指标。</w:t>
      </w:r>
    </w:p>
    <w:p>
      <w:pPr>
        <w:pStyle w:val="4"/>
        <w:spacing w:line="360" w:lineRule="auto"/>
        <w:ind w:firstLine="480" w:firstLineChars="200"/>
        <w:rPr>
          <w:rFonts w:hAnsi="宋体" w:cs="宋体"/>
          <w:sz w:val="24"/>
          <w:szCs w:val="24"/>
        </w:rPr>
      </w:pPr>
      <w:r>
        <w:rPr>
          <w:rFonts w:hint="eastAsia" w:hAnsi="宋体" w:cs="宋体"/>
          <w:sz w:val="24"/>
          <w:szCs w:val="24"/>
        </w:rPr>
        <w:t>（</w:t>
      </w:r>
      <w:r>
        <w:rPr>
          <w:rFonts w:hAnsi="宋体" w:cs="宋体"/>
          <w:sz w:val="24"/>
          <w:szCs w:val="24"/>
        </w:rPr>
        <w:t>3</w:t>
      </w:r>
      <w:r>
        <w:rPr>
          <w:rFonts w:hint="eastAsia" w:hAnsi="宋体" w:cs="宋体"/>
          <w:sz w:val="24"/>
          <w:szCs w:val="24"/>
        </w:rPr>
        <w:t>）</w:t>
      </w:r>
      <w:r>
        <w:rPr>
          <w:rFonts w:hAnsi="宋体" w:cs="宋体"/>
          <w:sz w:val="24"/>
          <w:szCs w:val="24"/>
        </w:rPr>
        <w:t>可比性原则。对同类评价对象要设定共性的绩效评价指标，以便于评价结果可以相互比较。</w:t>
      </w:r>
    </w:p>
    <w:p>
      <w:pPr>
        <w:pStyle w:val="4"/>
        <w:spacing w:line="360" w:lineRule="auto"/>
        <w:ind w:firstLine="480" w:firstLineChars="200"/>
        <w:rPr>
          <w:rFonts w:hAnsi="宋体" w:cs="宋体"/>
          <w:sz w:val="24"/>
          <w:szCs w:val="24"/>
        </w:rPr>
      </w:pPr>
      <w:r>
        <w:rPr>
          <w:rFonts w:hint="eastAsia" w:hAnsi="宋体" w:cs="宋体"/>
          <w:sz w:val="24"/>
          <w:szCs w:val="24"/>
        </w:rPr>
        <w:t>（</w:t>
      </w:r>
      <w:r>
        <w:rPr>
          <w:rFonts w:hAnsi="宋体" w:cs="宋体"/>
          <w:sz w:val="24"/>
          <w:szCs w:val="24"/>
        </w:rPr>
        <w:t>4</w:t>
      </w:r>
      <w:r>
        <w:rPr>
          <w:rFonts w:hint="eastAsia" w:hAnsi="宋体" w:cs="宋体"/>
          <w:sz w:val="24"/>
          <w:szCs w:val="24"/>
        </w:rPr>
        <w:t>）</w:t>
      </w:r>
      <w:r>
        <w:rPr>
          <w:rFonts w:hAnsi="宋体" w:cs="宋体"/>
          <w:sz w:val="24"/>
          <w:szCs w:val="24"/>
        </w:rPr>
        <w:t>系统性原则。应当将定量指标与定性指标相结合，系统反映财政支出所产生的社会效益、经济效益、</w:t>
      </w:r>
      <w:r>
        <w:rPr>
          <w:rFonts w:hint="eastAsia" w:hAnsi="宋体" w:cs="宋体"/>
          <w:sz w:val="24"/>
          <w:szCs w:val="24"/>
        </w:rPr>
        <w:t>生态</w:t>
      </w:r>
      <w:r>
        <w:rPr>
          <w:rFonts w:hAnsi="宋体" w:cs="宋体"/>
          <w:sz w:val="24"/>
          <w:szCs w:val="24"/>
        </w:rPr>
        <w:t>效益和可持续影响等。</w:t>
      </w:r>
    </w:p>
    <w:p>
      <w:pPr>
        <w:pStyle w:val="4"/>
        <w:spacing w:line="360" w:lineRule="auto"/>
        <w:ind w:firstLine="480" w:firstLineChars="200"/>
        <w:rPr>
          <w:rFonts w:hAnsi="宋体" w:cs="宋体"/>
          <w:sz w:val="24"/>
          <w:szCs w:val="24"/>
        </w:rPr>
      </w:pPr>
      <w:r>
        <w:rPr>
          <w:rFonts w:hint="eastAsia" w:hAnsi="宋体" w:cs="宋体"/>
          <w:sz w:val="24"/>
          <w:szCs w:val="24"/>
        </w:rPr>
        <w:t>（</w:t>
      </w:r>
      <w:r>
        <w:rPr>
          <w:rFonts w:hAnsi="宋体" w:cs="宋体"/>
          <w:sz w:val="24"/>
          <w:szCs w:val="24"/>
        </w:rPr>
        <w:t>5</w:t>
      </w:r>
      <w:r>
        <w:rPr>
          <w:rFonts w:hint="eastAsia" w:hAnsi="宋体" w:cs="宋体"/>
          <w:sz w:val="24"/>
          <w:szCs w:val="24"/>
        </w:rPr>
        <w:t>）</w:t>
      </w:r>
      <w:r>
        <w:rPr>
          <w:rFonts w:hAnsi="宋体" w:cs="宋体"/>
          <w:sz w:val="24"/>
          <w:szCs w:val="24"/>
        </w:rPr>
        <w:t>经济性原则。绩效评价指标应当通俗易懂、简便易行，数据的获得应当考虑现实条件和可操作性，符合成本效益原则。</w:t>
      </w:r>
    </w:p>
    <w:p>
      <w:pPr>
        <w:pStyle w:val="4"/>
        <w:spacing w:line="360" w:lineRule="auto"/>
        <w:ind w:firstLine="482" w:firstLineChars="200"/>
        <w:rPr>
          <w:rFonts w:hAnsi="宋体" w:eastAsia="宋体" w:cs="宋体"/>
          <w:b/>
          <w:bCs/>
          <w:color w:val="000000"/>
          <w:sz w:val="24"/>
          <w:szCs w:val="22"/>
        </w:rPr>
      </w:pPr>
      <w:r>
        <w:rPr>
          <w:rFonts w:hint="eastAsia" w:hAnsi="宋体" w:eastAsia="宋体" w:cs="宋体"/>
          <w:b/>
          <w:bCs/>
          <w:color w:val="000000"/>
          <w:sz w:val="24"/>
          <w:szCs w:val="22"/>
        </w:rPr>
        <w:t>2.评价指标体系</w:t>
      </w:r>
    </w:p>
    <w:p>
      <w:pPr>
        <w:spacing w:line="360" w:lineRule="auto"/>
        <w:ind w:firstLine="480" w:firstLineChars="200"/>
        <w:rPr>
          <w:rFonts w:ascii="宋体" w:hAnsi="宋体" w:eastAsia="宋体" w:cs="宋体"/>
          <w:b/>
          <w:bCs/>
          <w:color w:val="000000"/>
          <w:sz w:val="24"/>
          <w:szCs w:val="22"/>
        </w:rPr>
      </w:pPr>
      <w:r>
        <w:rPr>
          <w:rFonts w:hint="eastAsia" w:ascii="宋体" w:hAnsi="宋体"/>
          <w:sz w:val="24"/>
        </w:rPr>
        <w:t>工作组根据财政部《项目支出绩效评价管理办法》</w:t>
      </w:r>
      <w:r>
        <w:rPr>
          <w:rFonts w:hint="eastAsia" w:ascii="宋体" w:hAnsi="宋体" w:cs="宋体"/>
          <w:sz w:val="24"/>
        </w:rPr>
        <w:t>（</w:t>
      </w:r>
      <w:r>
        <w:rPr>
          <w:rFonts w:ascii="宋体" w:hAnsi="宋体" w:cs="宋体"/>
          <w:sz w:val="24"/>
        </w:rPr>
        <w:t>财预〔2020〕10号</w:t>
      </w:r>
      <w:r>
        <w:rPr>
          <w:rFonts w:hint="eastAsia" w:ascii="宋体" w:hAnsi="宋体" w:cs="宋体"/>
          <w:sz w:val="24"/>
        </w:rPr>
        <w:t>）文件</w:t>
      </w:r>
      <w:r>
        <w:rPr>
          <w:rFonts w:hint="eastAsia" w:ascii="宋体" w:hAnsi="宋体"/>
          <w:sz w:val="24"/>
        </w:rPr>
        <w:t>的要求，依据上述原则，参考2019年度泉州市丰泽区禁毒办项目绩效自评表和自评报告，围绕决策、过程、产出和效益四个方面设计绩效评价指标以及评分标准和分值。指标体系共设置4个一级指标、10个二级指标、27个三级指标。指标体系设定满分100分，其中：“决策”18分，主要体现项目立项、绩效目标和资金投入情况；“过程”14分，主要体现项目的资金管理和组织实施方面的情况；“产出”23分，主要体现项目产出数量和产出质量；“效益”45分，主要体现项目社会效益、可持续影响和服务对象满意度等（具体评分见附件1）。基于外部独立评价的特点和要求，指标设置和评分标准力求可行性、客观性、科学性与简明性。指标体系和评分标准如表2所示。</w:t>
      </w:r>
    </w:p>
    <w:p>
      <w:pPr>
        <w:jc w:val="center"/>
        <w:rPr>
          <w:rFonts w:ascii="宋体" w:hAnsi="宋体" w:eastAsia="宋体" w:cs="宋体"/>
          <w:b/>
          <w:bCs/>
          <w:color w:val="000000"/>
          <w:sz w:val="24"/>
          <w:szCs w:val="22"/>
        </w:rPr>
      </w:pPr>
      <w:r>
        <w:rPr>
          <w:rFonts w:hint="eastAsia" w:ascii="宋体" w:hAnsi="宋体" w:eastAsia="宋体" w:cs="宋体"/>
          <w:b/>
          <w:bCs/>
          <w:color w:val="000000"/>
          <w:sz w:val="24"/>
          <w:szCs w:val="22"/>
        </w:rPr>
        <w:t>表2</w:t>
      </w:r>
      <w:r>
        <w:rPr>
          <w:rFonts w:hint="eastAsia" w:ascii="宋体" w:hAnsi="宋体" w:eastAsia="宋体" w:cs="宋体"/>
          <w:b/>
          <w:bCs/>
          <w:color w:val="000000"/>
          <w:sz w:val="24"/>
          <w:szCs w:val="22"/>
          <w:lang w:val="en-US" w:eastAsia="zh-CN"/>
        </w:rPr>
        <w:t xml:space="preserve">  </w:t>
      </w:r>
      <w:r>
        <w:rPr>
          <w:rFonts w:hint="eastAsia" w:ascii="宋体" w:hAnsi="宋体" w:eastAsia="宋体" w:cs="宋体"/>
          <w:b/>
          <w:bCs/>
          <w:color w:val="000000"/>
          <w:sz w:val="24"/>
          <w:szCs w:val="22"/>
        </w:rPr>
        <w:t>泉州市丰泽区2019年度禁毒工作专项经费绩效评价指标体系</w:t>
      </w:r>
    </w:p>
    <w:p>
      <w:pPr>
        <w:jc w:val="center"/>
        <w:rPr>
          <w:rFonts w:ascii="宋体" w:hAnsi="宋体" w:eastAsia="宋体" w:cs="宋体"/>
          <w:b/>
          <w:bCs/>
          <w:color w:val="000000"/>
          <w:sz w:val="24"/>
          <w:szCs w:val="22"/>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9"/>
        <w:gridCol w:w="1181"/>
        <w:gridCol w:w="1258"/>
        <w:gridCol w:w="5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 w:type="dxa"/>
            <w:vAlign w:val="center"/>
          </w:tcPr>
          <w:p>
            <w:pPr>
              <w:jc w:val="center"/>
              <w:rPr>
                <w:rFonts w:ascii="宋体" w:hAnsi="宋体" w:eastAsia="宋体" w:cs="宋体"/>
                <w:b/>
                <w:bCs/>
                <w:color w:val="000000"/>
                <w:sz w:val="24"/>
                <w:szCs w:val="22"/>
              </w:rPr>
            </w:pPr>
            <w:r>
              <w:rPr>
                <w:rFonts w:hint="eastAsia" w:ascii="宋体" w:hAnsi="宋体" w:eastAsia="宋体" w:cs="宋体"/>
                <w:b/>
                <w:bCs/>
                <w:color w:val="000000"/>
                <w:sz w:val="24"/>
                <w:szCs w:val="22"/>
              </w:rPr>
              <w:t>一级指标</w:t>
            </w:r>
          </w:p>
        </w:tc>
        <w:tc>
          <w:tcPr>
            <w:tcW w:w="1181" w:type="dxa"/>
            <w:vAlign w:val="center"/>
          </w:tcPr>
          <w:p>
            <w:pPr>
              <w:jc w:val="center"/>
              <w:rPr>
                <w:rFonts w:ascii="宋体" w:hAnsi="宋体" w:eastAsia="宋体" w:cs="宋体"/>
                <w:b/>
                <w:bCs/>
                <w:color w:val="000000"/>
                <w:sz w:val="24"/>
                <w:szCs w:val="22"/>
              </w:rPr>
            </w:pPr>
            <w:r>
              <w:rPr>
                <w:rFonts w:hint="eastAsia" w:ascii="宋体" w:hAnsi="宋体" w:eastAsia="宋体" w:cs="宋体"/>
                <w:b/>
                <w:bCs/>
                <w:color w:val="000000"/>
                <w:sz w:val="24"/>
                <w:szCs w:val="22"/>
              </w:rPr>
              <w:t>二级指标</w:t>
            </w:r>
          </w:p>
        </w:tc>
        <w:tc>
          <w:tcPr>
            <w:tcW w:w="1258" w:type="dxa"/>
            <w:vAlign w:val="center"/>
          </w:tcPr>
          <w:p>
            <w:pPr>
              <w:jc w:val="center"/>
              <w:rPr>
                <w:rFonts w:ascii="宋体" w:hAnsi="宋体" w:eastAsia="宋体" w:cs="宋体"/>
                <w:b/>
                <w:bCs/>
                <w:color w:val="000000"/>
                <w:sz w:val="24"/>
                <w:szCs w:val="22"/>
              </w:rPr>
            </w:pPr>
            <w:r>
              <w:rPr>
                <w:rFonts w:hint="eastAsia" w:ascii="宋体" w:hAnsi="宋体" w:eastAsia="宋体" w:cs="宋体"/>
                <w:b/>
                <w:bCs/>
                <w:color w:val="000000"/>
                <w:sz w:val="24"/>
                <w:szCs w:val="22"/>
              </w:rPr>
              <w:t>三级指标</w:t>
            </w:r>
          </w:p>
        </w:tc>
        <w:tc>
          <w:tcPr>
            <w:tcW w:w="5564" w:type="dxa"/>
            <w:vAlign w:val="center"/>
          </w:tcPr>
          <w:p>
            <w:pPr>
              <w:jc w:val="center"/>
              <w:rPr>
                <w:rFonts w:ascii="宋体" w:hAnsi="宋体" w:eastAsia="宋体" w:cs="宋体"/>
                <w:b/>
                <w:bCs/>
                <w:color w:val="000000"/>
                <w:sz w:val="24"/>
                <w:szCs w:val="22"/>
              </w:rPr>
            </w:pPr>
            <w:r>
              <w:rPr>
                <w:rFonts w:hint="eastAsia" w:ascii="宋体" w:hAnsi="宋体" w:eastAsia="宋体" w:cs="宋体"/>
                <w:b/>
                <w:bCs/>
                <w:color w:val="000000"/>
                <w:sz w:val="24"/>
                <w:szCs w:val="22"/>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9" w:type="dxa"/>
            <w:vMerge w:val="restart"/>
            <w:vAlign w:val="center"/>
          </w:tcPr>
          <w:p>
            <w:pPr>
              <w:jc w:val="center"/>
              <w:rPr>
                <w:rFonts w:ascii="宋体" w:hAnsi="宋体" w:eastAsia="宋体" w:cs="宋体"/>
                <w:b/>
                <w:bCs/>
                <w:color w:val="000000"/>
                <w:sz w:val="24"/>
                <w:szCs w:val="22"/>
              </w:rPr>
            </w:pPr>
            <w:r>
              <w:rPr>
                <w:rFonts w:hint="eastAsia" w:ascii="宋体" w:hAnsi="宋体" w:eastAsia="宋体" w:cs="宋体"/>
                <w:b/>
                <w:bCs/>
                <w:color w:val="000000"/>
                <w:sz w:val="24"/>
                <w:szCs w:val="22"/>
              </w:rPr>
              <w:t>决策</w:t>
            </w:r>
          </w:p>
          <w:p>
            <w:pPr>
              <w:jc w:val="center"/>
              <w:rPr>
                <w:rFonts w:ascii="宋体" w:hAnsi="宋体" w:eastAsia="宋体" w:cs="宋体"/>
                <w:b/>
                <w:bCs/>
                <w:color w:val="000000"/>
                <w:sz w:val="24"/>
                <w:szCs w:val="22"/>
              </w:rPr>
            </w:pPr>
            <w:r>
              <w:rPr>
                <w:rFonts w:hint="eastAsia" w:ascii="宋体" w:hAnsi="宋体" w:eastAsia="宋体" w:cs="宋体"/>
                <w:b/>
                <w:bCs/>
                <w:color w:val="000000"/>
                <w:sz w:val="24"/>
                <w:szCs w:val="22"/>
              </w:rPr>
              <w:t>（18分）</w:t>
            </w:r>
          </w:p>
        </w:tc>
        <w:tc>
          <w:tcPr>
            <w:tcW w:w="1181" w:type="dxa"/>
            <w:vMerge w:val="restart"/>
            <w:vAlign w:val="center"/>
          </w:tcPr>
          <w:p>
            <w:pPr>
              <w:widowControl/>
              <w:snapToGrid w:val="0"/>
              <w:rPr>
                <w:rFonts w:ascii="宋体" w:hAnsi="宋体" w:cs="宋体"/>
                <w:kern w:val="0"/>
                <w:szCs w:val="21"/>
              </w:rPr>
            </w:pPr>
          </w:p>
          <w:p>
            <w:pPr>
              <w:widowControl/>
              <w:snapToGrid w:val="0"/>
              <w:rPr>
                <w:rFonts w:ascii="宋体" w:hAnsi="宋体" w:cs="宋体"/>
                <w:kern w:val="0"/>
                <w:szCs w:val="21"/>
              </w:rPr>
            </w:pPr>
          </w:p>
          <w:p>
            <w:pPr>
              <w:widowControl/>
              <w:snapToGrid w:val="0"/>
              <w:jc w:val="center"/>
              <w:rPr>
                <w:rFonts w:ascii="宋体" w:hAnsi="宋体" w:cs="宋体"/>
                <w:kern w:val="0"/>
                <w:szCs w:val="21"/>
              </w:rPr>
            </w:pPr>
            <w:r>
              <w:rPr>
                <w:rFonts w:hint="eastAsia" w:ascii="宋体" w:hAnsi="宋体" w:cs="宋体"/>
                <w:kern w:val="0"/>
                <w:szCs w:val="21"/>
              </w:rPr>
              <w:t>项目立项（6分）</w:t>
            </w:r>
          </w:p>
          <w:p>
            <w:pPr>
              <w:widowControl/>
              <w:snapToGrid w:val="0"/>
              <w:rPr>
                <w:rFonts w:ascii="宋体" w:hAnsi="宋体" w:eastAsia="宋体" w:cs="宋体"/>
                <w:spacing w:val="8"/>
                <w:szCs w:val="21"/>
                <w:shd w:val="clear" w:color="auto" w:fill="FFFFFF"/>
              </w:rPr>
            </w:pPr>
          </w:p>
        </w:tc>
        <w:tc>
          <w:tcPr>
            <w:tcW w:w="1258" w:type="dxa"/>
            <w:vAlign w:val="center"/>
          </w:tcPr>
          <w:p>
            <w:pPr>
              <w:widowControl/>
              <w:jc w:val="center"/>
              <w:rPr>
                <w:rFonts w:ascii="宋体" w:hAnsi="宋体"/>
                <w:szCs w:val="21"/>
              </w:rPr>
            </w:pPr>
            <w:r>
              <w:rPr>
                <w:rFonts w:hint="eastAsia" w:ascii="宋体" w:hAnsi="宋体"/>
                <w:szCs w:val="21"/>
              </w:rPr>
              <w:t>立项依据</w:t>
            </w:r>
          </w:p>
          <w:p>
            <w:pPr>
              <w:widowControl/>
              <w:jc w:val="center"/>
              <w:rPr>
                <w:rFonts w:ascii="宋体" w:hAnsi="宋体"/>
                <w:szCs w:val="21"/>
              </w:rPr>
            </w:pPr>
            <w:r>
              <w:rPr>
                <w:rFonts w:hint="eastAsia" w:ascii="宋体" w:hAnsi="宋体"/>
                <w:szCs w:val="21"/>
              </w:rPr>
              <w:t>充分性</w:t>
            </w:r>
          </w:p>
          <w:p>
            <w:pPr>
              <w:widowControl/>
              <w:jc w:val="center"/>
              <w:rPr>
                <w:rFonts w:ascii="宋体" w:hAnsi="宋体" w:eastAsia="宋体" w:cs="宋体"/>
                <w:spacing w:val="8"/>
                <w:szCs w:val="21"/>
                <w:shd w:val="clear" w:color="auto" w:fill="FFFFFF"/>
              </w:rPr>
            </w:pPr>
            <w:r>
              <w:rPr>
                <w:rFonts w:hint="eastAsia" w:ascii="宋体" w:hAnsi="宋体" w:cs="宋体"/>
                <w:kern w:val="0"/>
                <w:szCs w:val="21"/>
              </w:rPr>
              <w:t>（3分）</w:t>
            </w:r>
          </w:p>
        </w:tc>
        <w:tc>
          <w:tcPr>
            <w:tcW w:w="5564" w:type="dxa"/>
            <w:vAlign w:val="center"/>
          </w:tcPr>
          <w:p>
            <w:r>
              <w:rPr>
                <w:rFonts w:hint="eastAsia"/>
              </w:rPr>
              <w:t>①项目立项是否符合相关政策要求；</w:t>
            </w:r>
          </w:p>
          <w:p>
            <w:r>
              <w:rPr>
                <w:rFonts w:hint="eastAsia"/>
              </w:rPr>
              <w:t>②项目立项是否与部门职责范围相符，属于部门履职所需；</w:t>
            </w:r>
          </w:p>
          <w:p>
            <w:r>
              <w:rPr>
                <w:rFonts w:hint="eastAsia"/>
              </w:rPr>
              <w:t>③项目是否属于公共财政支持范围，是否符合中央、地方事权支出责任划分原则；</w:t>
            </w:r>
          </w:p>
          <w:p>
            <w:pPr>
              <w:rPr>
                <w:rFonts w:ascii="宋体" w:hAnsi="宋体" w:eastAsia="仿宋" w:cs="宋体"/>
                <w:spacing w:val="8"/>
                <w:szCs w:val="21"/>
              </w:rPr>
            </w:pPr>
            <w:r>
              <w:rPr>
                <w:rFonts w:hint="eastAsia" w:asciiTheme="minorEastAsia" w:hAnsiTheme="minorEastAsia" w:cstheme="minorEastAsia"/>
                <w:color w:val="000000"/>
                <w:kern w:val="0"/>
                <w:szCs w:val="21"/>
              </w:rPr>
              <w:t>以上三项分别评分，各单项符合得1分，基本符合得0.5分，不符合得0分。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jc w:val="center"/>
        </w:trPr>
        <w:tc>
          <w:tcPr>
            <w:tcW w:w="899" w:type="dxa"/>
            <w:vMerge w:val="continue"/>
          </w:tcPr>
          <w:p>
            <w:pPr>
              <w:jc w:val="center"/>
              <w:rPr>
                <w:rFonts w:ascii="宋体" w:hAnsi="宋体" w:eastAsia="宋体" w:cs="宋体"/>
                <w:b/>
                <w:bCs/>
                <w:color w:val="000000"/>
                <w:sz w:val="24"/>
                <w:szCs w:val="22"/>
              </w:rPr>
            </w:pPr>
          </w:p>
        </w:tc>
        <w:tc>
          <w:tcPr>
            <w:tcW w:w="1181" w:type="dxa"/>
            <w:vMerge w:val="continue"/>
            <w:vAlign w:val="center"/>
          </w:tcPr>
          <w:p>
            <w:pPr>
              <w:widowControl/>
              <w:snapToGrid w:val="0"/>
              <w:jc w:val="center"/>
              <w:rPr>
                <w:rFonts w:ascii="宋体" w:hAnsi="宋体" w:eastAsia="宋体" w:cs="宋体"/>
                <w:b/>
                <w:bCs/>
                <w:szCs w:val="21"/>
              </w:rPr>
            </w:pPr>
          </w:p>
        </w:tc>
        <w:tc>
          <w:tcPr>
            <w:tcW w:w="1258" w:type="dxa"/>
            <w:vAlign w:val="center"/>
          </w:tcPr>
          <w:p>
            <w:pPr>
              <w:widowControl/>
              <w:jc w:val="center"/>
              <w:rPr>
                <w:rFonts w:ascii="宋体" w:hAnsi="宋体"/>
                <w:szCs w:val="21"/>
              </w:rPr>
            </w:pPr>
            <w:r>
              <w:rPr>
                <w:rFonts w:hint="eastAsia" w:ascii="宋体" w:hAnsi="宋体"/>
                <w:szCs w:val="21"/>
              </w:rPr>
              <w:t>立项程序</w:t>
            </w:r>
          </w:p>
          <w:p>
            <w:pPr>
              <w:widowControl/>
              <w:jc w:val="center"/>
              <w:rPr>
                <w:rFonts w:ascii="宋体" w:hAnsi="宋体"/>
                <w:szCs w:val="21"/>
              </w:rPr>
            </w:pPr>
            <w:r>
              <w:rPr>
                <w:rFonts w:hint="eastAsia" w:ascii="宋体" w:hAnsi="宋体"/>
                <w:szCs w:val="21"/>
              </w:rPr>
              <w:t>规范性</w:t>
            </w:r>
          </w:p>
          <w:p>
            <w:pPr>
              <w:widowControl/>
              <w:jc w:val="center"/>
              <w:rPr>
                <w:rFonts w:ascii="宋体" w:hAnsi="宋体" w:eastAsia="宋体" w:cs="宋体"/>
                <w:spacing w:val="8"/>
                <w:szCs w:val="21"/>
                <w:shd w:val="clear" w:color="auto" w:fill="FFFFFF"/>
              </w:rPr>
            </w:pPr>
            <w:r>
              <w:rPr>
                <w:rFonts w:hint="eastAsia" w:ascii="宋体" w:hAnsi="宋体" w:cs="宋体"/>
                <w:kern w:val="0"/>
                <w:szCs w:val="21"/>
              </w:rPr>
              <w:t>（3分）</w:t>
            </w:r>
          </w:p>
        </w:tc>
        <w:tc>
          <w:tcPr>
            <w:tcW w:w="5564" w:type="dxa"/>
            <w:vAlign w:val="center"/>
          </w:tcPr>
          <w:p>
            <w:r>
              <w:rPr>
                <w:rFonts w:hint="eastAsia"/>
              </w:rPr>
              <w:t>①项目是否按照规定的程序申请设立；</w:t>
            </w:r>
          </w:p>
          <w:p>
            <w:r>
              <w:rPr>
                <w:rFonts w:hint="eastAsia"/>
              </w:rPr>
              <w:t>②审批文件、材料是否符含相关要求；</w:t>
            </w:r>
          </w:p>
          <w:p>
            <w:r>
              <w:rPr>
                <w:rFonts w:hint="eastAsia"/>
              </w:rPr>
              <w:t>③事前是否已经过必要的可行性研究、专家论证、风险评估、绩效评估集体决策；</w:t>
            </w:r>
          </w:p>
          <w:p>
            <w:pPr>
              <w:rPr>
                <w:rFonts w:ascii="宋体" w:hAnsi="宋体" w:eastAsia="宋体" w:cs="宋体"/>
                <w:spacing w:val="8"/>
                <w:szCs w:val="21"/>
              </w:rPr>
            </w:pPr>
            <w:r>
              <w:rPr>
                <w:rFonts w:hint="eastAsia" w:asciiTheme="minorEastAsia" w:hAnsiTheme="minorEastAsia" w:cstheme="minorEastAsia"/>
                <w:color w:val="000000"/>
                <w:kern w:val="0"/>
                <w:szCs w:val="21"/>
              </w:rPr>
              <w:t>以上三项分别评分，各单项符合得1分，基本符合得0.5分，不符合得0分。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899" w:type="dxa"/>
            <w:vMerge w:val="continue"/>
          </w:tcPr>
          <w:p>
            <w:pPr>
              <w:jc w:val="center"/>
              <w:rPr>
                <w:rFonts w:ascii="宋体" w:hAnsi="宋体" w:eastAsia="宋体" w:cs="宋体"/>
                <w:b/>
                <w:bCs/>
                <w:color w:val="000000"/>
                <w:sz w:val="24"/>
                <w:szCs w:val="22"/>
              </w:rPr>
            </w:pPr>
          </w:p>
        </w:tc>
        <w:tc>
          <w:tcPr>
            <w:tcW w:w="1181" w:type="dxa"/>
            <w:vMerge w:val="restart"/>
            <w:vAlign w:val="center"/>
          </w:tcPr>
          <w:p>
            <w:pPr>
              <w:widowControl/>
              <w:snapToGrid w:val="0"/>
              <w:jc w:val="center"/>
              <w:rPr>
                <w:rFonts w:asciiTheme="minorEastAsia" w:hAnsiTheme="minorEastAsia" w:cstheme="minorEastAsia"/>
                <w:kern w:val="0"/>
                <w:szCs w:val="21"/>
              </w:rPr>
            </w:pPr>
            <w:r>
              <w:rPr>
                <w:rFonts w:hint="eastAsia" w:asciiTheme="minorEastAsia" w:hAnsiTheme="minorEastAsia" w:cstheme="minorEastAsia"/>
                <w:kern w:val="0"/>
                <w:szCs w:val="21"/>
              </w:rPr>
              <w:t>绩效目标</w:t>
            </w:r>
          </w:p>
          <w:p>
            <w:pPr>
              <w:snapToGrid w:val="0"/>
              <w:jc w:val="center"/>
              <w:rPr>
                <w:rFonts w:ascii="宋体" w:hAnsi="宋体" w:eastAsia="宋体" w:cs="宋体"/>
                <w:spacing w:val="8"/>
                <w:szCs w:val="21"/>
                <w:shd w:val="clear" w:color="auto" w:fill="FFFFFF"/>
              </w:rPr>
            </w:pPr>
            <w:r>
              <w:rPr>
                <w:rFonts w:hint="eastAsia" w:asciiTheme="minorEastAsia" w:hAnsiTheme="minorEastAsia" w:cstheme="minorEastAsia"/>
                <w:kern w:val="0"/>
                <w:szCs w:val="21"/>
              </w:rPr>
              <w:t>（6分）</w:t>
            </w:r>
          </w:p>
        </w:tc>
        <w:tc>
          <w:tcPr>
            <w:tcW w:w="1258" w:type="dxa"/>
            <w:vAlign w:val="center"/>
          </w:tcPr>
          <w:p>
            <w:pPr>
              <w:widowControl/>
              <w:snapToGrid w:val="0"/>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绩效目标</w:t>
            </w:r>
          </w:p>
          <w:p>
            <w:pPr>
              <w:widowControl/>
              <w:snapToGrid w:val="0"/>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合理性</w:t>
            </w:r>
          </w:p>
          <w:p>
            <w:pPr>
              <w:widowControl/>
              <w:snapToGrid w:val="0"/>
              <w:jc w:val="center"/>
              <w:rPr>
                <w:rFonts w:ascii="宋体" w:hAnsi="宋体" w:eastAsia="宋体" w:cs="宋体"/>
                <w:spacing w:val="8"/>
                <w:szCs w:val="21"/>
                <w:shd w:val="clear" w:color="auto" w:fill="FFFFFF"/>
              </w:rPr>
            </w:pPr>
            <w:r>
              <w:rPr>
                <w:rFonts w:hint="eastAsia" w:asciiTheme="minorEastAsia" w:hAnsiTheme="minorEastAsia" w:cstheme="minorEastAsia"/>
                <w:color w:val="000000"/>
                <w:kern w:val="0"/>
                <w:szCs w:val="21"/>
              </w:rPr>
              <w:t>（4分）</w:t>
            </w:r>
          </w:p>
        </w:tc>
        <w:tc>
          <w:tcPr>
            <w:tcW w:w="5564" w:type="dxa"/>
            <w:vAlign w:val="center"/>
          </w:tcPr>
          <w:p>
            <w:pPr>
              <w:pStyle w:val="11"/>
              <w:widowControl/>
              <w:wordWrap w:val="0"/>
              <w:spacing w:beforeAutospacing="0" w:afterAutospacing="0"/>
              <w:jc w:val="both"/>
              <w:rPr>
                <w:rFonts w:ascii="宋体" w:hAnsi="宋体" w:eastAsia="宋体" w:cs="宋体"/>
                <w:spacing w:val="8"/>
                <w:sz w:val="21"/>
                <w:szCs w:val="21"/>
              </w:rPr>
            </w:pPr>
            <w:r>
              <w:rPr>
                <w:rFonts w:hint="eastAsia" w:ascii="宋体" w:hAnsi="宋体" w:eastAsia="宋体" w:cs="宋体"/>
                <w:spacing w:val="8"/>
                <w:sz w:val="21"/>
                <w:szCs w:val="21"/>
              </w:rPr>
              <w:t>①项目是否有绩效目标；</w:t>
            </w:r>
            <w:r>
              <w:rPr>
                <w:rFonts w:hint="eastAsia" w:ascii="宋体" w:hAnsi="宋体" w:eastAsia="宋体" w:cs="宋体"/>
                <w:spacing w:val="8"/>
                <w:sz w:val="21"/>
                <w:szCs w:val="21"/>
              </w:rPr>
              <w:br w:type="textWrapping"/>
            </w:r>
            <w:r>
              <w:rPr>
                <w:rFonts w:hint="eastAsia" w:ascii="宋体" w:hAnsi="宋体" w:eastAsia="宋体" w:cs="宋体"/>
                <w:spacing w:val="8"/>
                <w:sz w:val="21"/>
                <w:szCs w:val="21"/>
              </w:rPr>
              <w:t>②项目绩效目标与实际工作内容是否具有相关性；</w:t>
            </w:r>
            <w:r>
              <w:rPr>
                <w:rFonts w:hint="eastAsia" w:ascii="宋体" w:hAnsi="宋体" w:eastAsia="宋体" w:cs="宋体"/>
                <w:spacing w:val="8"/>
                <w:sz w:val="21"/>
                <w:szCs w:val="21"/>
              </w:rPr>
              <w:br w:type="textWrapping"/>
            </w:r>
            <w:r>
              <w:rPr>
                <w:rFonts w:hint="eastAsia" w:ascii="宋体" w:hAnsi="宋体" w:eastAsia="宋体" w:cs="宋体"/>
                <w:spacing w:val="8"/>
                <w:sz w:val="21"/>
                <w:szCs w:val="21"/>
              </w:rPr>
              <w:t>③项目预期产出效益和效果是否符合正常的业绩水平；</w:t>
            </w:r>
          </w:p>
          <w:p>
            <w:pPr>
              <w:pStyle w:val="11"/>
              <w:widowControl/>
              <w:wordWrap w:val="0"/>
              <w:spacing w:beforeAutospacing="0" w:afterAutospacing="0"/>
              <w:jc w:val="both"/>
              <w:rPr>
                <w:rFonts w:ascii="宋体" w:hAnsi="宋体" w:eastAsia="宋体" w:cs="宋体"/>
                <w:spacing w:val="8"/>
                <w:sz w:val="21"/>
                <w:szCs w:val="21"/>
              </w:rPr>
            </w:pPr>
            <w:r>
              <w:rPr>
                <w:rFonts w:hint="eastAsia" w:ascii="宋体" w:hAnsi="宋体" w:eastAsia="宋体" w:cs="宋体"/>
                <w:spacing w:val="8"/>
                <w:sz w:val="21"/>
                <w:szCs w:val="21"/>
              </w:rPr>
              <w:t>④是否与预算确定的项目投资额或资金量相匹配。</w:t>
            </w:r>
          </w:p>
          <w:p>
            <w:pPr>
              <w:widowControl/>
              <w:snapToGrid w:val="0"/>
              <w:rPr>
                <w:rFonts w:ascii="宋体" w:hAnsi="宋体" w:eastAsia="宋体" w:cs="宋体"/>
                <w:spacing w:val="8"/>
                <w:szCs w:val="21"/>
              </w:rPr>
            </w:pPr>
            <w:r>
              <w:rPr>
                <w:rFonts w:hint="eastAsia" w:ascii="宋体" w:hAnsi="宋体" w:eastAsia="宋体" w:cs="宋体"/>
                <w:spacing w:val="8"/>
                <w:szCs w:val="21"/>
              </w:rPr>
              <w:t>每项符合得1分，基本符合得0.5分，不符合得0分，满分4分。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899" w:type="dxa"/>
            <w:vMerge w:val="continue"/>
          </w:tcPr>
          <w:p>
            <w:pPr>
              <w:jc w:val="center"/>
              <w:rPr>
                <w:rFonts w:ascii="宋体" w:hAnsi="宋体" w:eastAsia="宋体" w:cs="宋体"/>
                <w:b/>
                <w:bCs/>
                <w:color w:val="000000"/>
                <w:sz w:val="24"/>
                <w:szCs w:val="22"/>
              </w:rPr>
            </w:pPr>
          </w:p>
        </w:tc>
        <w:tc>
          <w:tcPr>
            <w:tcW w:w="1181" w:type="dxa"/>
            <w:vMerge w:val="continue"/>
            <w:vAlign w:val="center"/>
          </w:tcPr>
          <w:p>
            <w:pPr>
              <w:widowControl/>
              <w:snapToGrid w:val="0"/>
              <w:jc w:val="center"/>
              <w:rPr>
                <w:rFonts w:ascii="宋体" w:hAnsi="宋体" w:eastAsia="宋体" w:cs="宋体"/>
                <w:spacing w:val="8"/>
                <w:szCs w:val="21"/>
                <w:shd w:val="clear" w:color="auto" w:fill="FFFFFF"/>
              </w:rPr>
            </w:pPr>
          </w:p>
        </w:tc>
        <w:tc>
          <w:tcPr>
            <w:tcW w:w="1258" w:type="dxa"/>
            <w:vAlign w:val="center"/>
          </w:tcPr>
          <w:p>
            <w:pPr>
              <w:widowControl/>
              <w:snapToGrid w:val="0"/>
              <w:jc w:val="center"/>
              <w:rPr>
                <w:rFonts w:asciiTheme="minorEastAsia" w:hAnsiTheme="minorEastAsia" w:cstheme="minorEastAsia"/>
                <w:kern w:val="0"/>
                <w:szCs w:val="21"/>
              </w:rPr>
            </w:pPr>
            <w:r>
              <w:rPr>
                <w:rFonts w:hint="eastAsia" w:asciiTheme="minorEastAsia" w:hAnsiTheme="minorEastAsia" w:cstheme="minorEastAsia"/>
                <w:kern w:val="0"/>
                <w:szCs w:val="21"/>
              </w:rPr>
              <w:t>绩效指标</w:t>
            </w:r>
          </w:p>
          <w:p>
            <w:pPr>
              <w:widowControl/>
              <w:snapToGrid w:val="0"/>
              <w:jc w:val="center"/>
              <w:rPr>
                <w:rFonts w:asciiTheme="minorEastAsia" w:hAnsiTheme="minorEastAsia" w:cstheme="minorEastAsia"/>
                <w:kern w:val="0"/>
                <w:szCs w:val="21"/>
              </w:rPr>
            </w:pPr>
            <w:r>
              <w:rPr>
                <w:rFonts w:hint="eastAsia" w:asciiTheme="minorEastAsia" w:hAnsiTheme="minorEastAsia" w:cstheme="minorEastAsia"/>
                <w:kern w:val="0"/>
                <w:szCs w:val="21"/>
              </w:rPr>
              <w:t>明确性</w:t>
            </w:r>
          </w:p>
          <w:p>
            <w:pPr>
              <w:widowControl/>
              <w:snapToGrid w:val="0"/>
              <w:jc w:val="center"/>
              <w:rPr>
                <w:rFonts w:ascii="宋体" w:hAnsi="宋体" w:eastAsia="宋体" w:cs="宋体"/>
                <w:spacing w:val="8"/>
                <w:szCs w:val="21"/>
                <w:shd w:val="clear" w:color="auto" w:fill="FFFFFF"/>
              </w:rPr>
            </w:pPr>
            <w:r>
              <w:rPr>
                <w:rFonts w:hint="eastAsia" w:asciiTheme="minorEastAsia" w:hAnsiTheme="minorEastAsia" w:cstheme="minorEastAsia"/>
                <w:kern w:val="0"/>
                <w:szCs w:val="21"/>
              </w:rPr>
              <w:t>（2分）</w:t>
            </w:r>
          </w:p>
        </w:tc>
        <w:tc>
          <w:tcPr>
            <w:tcW w:w="5564" w:type="dxa"/>
            <w:vAlign w:val="center"/>
          </w:tcPr>
          <w:p>
            <w:pPr>
              <w:widowControl/>
              <w:snapToGrid w:val="0"/>
              <w:rPr>
                <w:rFonts w:asciiTheme="minorEastAsia" w:hAnsiTheme="minorEastAsia" w:cstheme="minorEastAsia"/>
                <w:kern w:val="0"/>
                <w:szCs w:val="21"/>
              </w:rPr>
            </w:pPr>
            <w:r>
              <w:rPr>
                <w:rFonts w:hint="eastAsia" w:asciiTheme="minorEastAsia" w:hAnsiTheme="minorEastAsia" w:cstheme="minorEastAsia"/>
                <w:kern w:val="0"/>
                <w:szCs w:val="21"/>
              </w:rPr>
              <w:t>①是否将绩效目标细化分解为具体的工作任务；</w:t>
            </w:r>
          </w:p>
          <w:p>
            <w:pPr>
              <w:widowControl/>
              <w:snapToGrid w:val="0"/>
              <w:rPr>
                <w:rFonts w:asciiTheme="minorEastAsia" w:hAnsiTheme="minorEastAsia" w:cstheme="minorEastAsia"/>
                <w:kern w:val="0"/>
                <w:szCs w:val="21"/>
              </w:rPr>
            </w:pPr>
            <w:r>
              <w:rPr>
                <w:rFonts w:hint="eastAsia" w:asciiTheme="minorEastAsia" w:hAnsiTheme="minorEastAsia" w:cstheme="minorEastAsia"/>
                <w:kern w:val="0"/>
                <w:szCs w:val="21"/>
              </w:rPr>
              <w:t>②是否通过清晰、可衡量的指标值予以体现。</w:t>
            </w:r>
          </w:p>
          <w:p>
            <w:pPr>
              <w:widowControl/>
              <w:snapToGrid w:val="0"/>
              <w:rPr>
                <w:rFonts w:ascii="宋体" w:hAnsi="宋体" w:eastAsia="宋体" w:cs="宋体"/>
                <w:spacing w:val="8"/>
                <w:szCs w:val="21"/>
              </w:rPr>
            </w:pPr>
            <w:r>
              <w:rPr>
                <w:rFonts w:hint="eastAsia" w:asciiTheme="minorEastAsia" w:hAnsiTheme="minorEastAsia" w:cstheme="minorEastAsia"/>
                <w:kern w:val="0"/>
                <w:szCs w:val="21"/>
              </w:rPr>
              <w:t>以上两项分别评分，各单项符合得1分，基本符合得0.5分，不符合得0分。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899" w:type="dxa"/>
            <w:vMerge w:val="continue"/>
          </w:tcPr>
          <w:p>
            <w:pPr>
              <w:jc w:val="center"/>
              <w:rPr>
                <w:rFonts w:ascii="宋体" w:hAnsi="宋体" w:eastAsia="宋体" w:cs="宋体"/>
                <w:b/>
                <w:bCs/>
                <w:color w:val="000000"/>
                <w:sz w:val="24"/>
                <w:szCs w:val="22"/>
              </w:rPr>
            </w:pPr>
          </w:p>
        </w:tc>
        <w:tc>
          <w:tcPr>
            <w:tcW w:w="1181" w:type="dxa"/>
            <w:vMerge w:val="restart"/>
            <w:vAlign w:val="center"/>
          </w:tcPr>
          <w:p>
            <w:pPr>
              <w:widowControl/>
              <w:snapToGrid w:val="0"/>
              <w:jc w:val="center"/>
              <w:rPr>
                <w:rFonts w:ascii="宋体" w:hAnsi="宋体" w:eastAsia="宋体" w:cs="宋体"/>
                <w:spacing w:val="8"/>
                <w:szCs w:val="21"/>
                <w:shd w:val="clear" w:color="auto" w:fill="FFFFFF"/>
              </w:rPr>
            </w:pPr>
            <w:r>
              <w:rPr>
                <w:rFonts w:hint="eastAsia" w:asciiTheme="minorEastAsia" w:hAnsiTheme="minorEastAsia" w:cstheme="minorEastAsia"/>
                <w:kern w:val="0"/>
                <w:szCs w:val="21"/>
              </w:rPr>
              <w:t>资金投入（6分）</w:t>
            </w:r>
          </w:p>
        </w:tc>
        <w:tc>
          <w:tcPr>
            <w:tcW w:w="1258" w:type="dxa"/>
            <w:vAlign w:val="center"/>
          </w:tcPr>
          <w:p>
            <w:pPr>
              <w:jc w:val="center"/>
              <w:rPr>
                <w:rFonts w:ascii="宋体" w:hAnsi="宋体" w:cs="宋体"/>
                <w:kern w:val="0"/>
                <w:szCs w:val="21"/>
              </w:rPr>
            </w:pPr>
            <w:r>
              <w:rPr>
                <w:rFonts w:hint="eastAsia" w:ascii="宋体" w:hAnsi="宋体" w:cs="宋体"/>
                <w:kern w:val="0"/>
                <w:szCs w:val="21"/>
              </w:rPr>
              <w:t>预算编制</w:t>
            </w:r>
          </w:p>
          <w:p>
            <w:pPr>
              <w:jc w:val="center"/>
              <w:rPr>
                <w:rFonts w:ascii="宋体" w:hAnsi="宋体" w:cs="宋体"/>
                <w:kern w:val="0"/>
                <w:szCs w:val="21"/>
              </w:rPr>
            </w:pPr>
            <w:r>
              <w:rPr>
                <w:rFonts w:hint="eastAsia" w:ascii="宋体" w:hAnsi="宋体" w:cs="宋体"/>
                <w:kern w:val="0"/>
                <w:szCs w:val="21"/>
              </w:rPr>
              <w:t>科学性</w:t>
            </w:r>
          </w:p>
          <w:p>
            <w:pPr>
              <w:jc w:val="center"/>
              <w:rPr>
                <w:rFonts w:ascii="宋体" w:hAnsi="宋体" w:eastAsia="宋体" w:cs="宋体"/>
                <w:spacing w:val="8"/>
                <w:szCs w:val="21"/>
                <w:shd w:val="clear" w:color="auto" w:fill="FFFFFF"/>
              </w:rPr>
            </w:pPr>
            <w:r>
              <w:rPr>
                <w:rFonts w:hint="eastAsia" w:ascii="宋体" w:hAnsi="宋体" w:cs="宋体"/>
                <w:kern w:val="0"/>
                <w:szCs w:val="21"/>
              </w:rPr>
              <w:t>（2分）</w:t>
            </w:r>
          </w:p>
        </w:tc>
        <w:tc>
          <w:tcPr>
            <w:tcW w:w="5564" w:type="dxa"/>
            <w:vAlign w:val="center"/>
          </w:tcPr>
          <w:p>
            <w:pPr>
              <w:jc w:val="left"/>
              <w:rPr>
                <w:rFonts w:ascii="宋体" w:hAnsi="宋体" w:cs="宋体"/>
                <w:kern w:val="0"/>
                <w:szCs w:val="21"/>
              </w:rPr>
            </w:pPr>
            <w:r>
              <w:rPr>
                <w:rFonts w:hint="eastAsia" w:ascii="宋体" w:hAnsi="宋体" w:cs="宋体"/>
                <w:kern w:val="0"/>
                <w:szCs w:val="21"/>
              </w:rPr>
              <w:t>①预算内容与项目内容是否匹配；</w:t>
            </w:r>
          </w:p>
          <w:p>
            <w:pPr>
              <w:jc w:val="left"/>
              <w:rPr>
                <w:rFonts w:ascii="宋体" w:hAnsi="宋体" w:cs="宋体"/>
                <w:kern w:val="0"/>
                <w:szCs w:val="21"/>
              </w:rPr>
            </w:pPr>
            <w:r>
              <w:rPr>
                <w:rFonts w:hint="eastAsia" w:ascii="宋体" w:hAnsi="宋体" w:cs="宋体"/>
                <w:kern w:val="0"/>
                <w:szCs w:val="21"/>
              </w:rPr>
              <w:t>②预算确定的项目投资额或资金量是否与工作任务相匹配</w:t>
            </w:r>
          </w:p>
          <w:p>
            <w:pPr>
              <w:jc w:val="left"/>
              <w:rPr>
                <w:rFonts w:ascii="宋体" w:hAnsi="宋体" w:eastAsia="宋体" w:cs="宋体"/>
                <w:spacing w:val="8"/>
                <w:szCs w:val="21"/>
              </w:rPr>
            </w:pPr>
            <w:r>
              <w:rPr>
                <w:rFonts w:hint="eastAsia" w:ascii="宋体" w:hAnsi="宋体"/>
                <w:kern w:val="0"/>
                <w:sz w:val="20"/>
                <w:szCs w:val="20"/>
              </w:rPr>
              <w:t>一项不符合扣一分，扣完为止。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jc w:val="center"/>
        </w:trPr>
        <w:tc>
          <w:tcPr>
            <w:tcW w:w="899" w:type="dxa"/>
            <w:vMerge w:val="continue"/>
          </w:tcPr>
          <w:p>
            <w:pPr>
              <w:jc w:val="center"/>
              <w:rPr>
                <w:rFonts w:ascii="宋体" w:hAnsi="宋体" w:eastAsia="宋体" w:cs="宋体"/>
                <w:b/>
                <w:bCs/>
                <w:color w:val="000000"/>
                <w:sz w:val="24"/>
                <w:szCs w:val="22"/>
              </w:rPr>
            </w:pPr>
          </w:p>
        </w:tc>
        <w:tc>
          <w:tcPr>
            <w:tcW w:w="1181" w:type="dxa"/>
            <w:vMerge w:val="continue"/>
            <w:vAlign w:val="center"/>
          </w:tcPr>
          <w:p>
            <w:pPr>
              <w:widowControl/>
              <w:snapToGrid w:val="0"/>
              <w:jc w:val="center"/>
              <w:rPr>
                <w:rFonts w:ascii="宋体" w:hAnsi="宋体" w:eastAsia="宋体" w:cs="宋体"/>
                <w:spacing w:val="8"/>
                <w:szCs w:val="21"/>
                <w:shd w:val="clear" w:color="auto" w:fill="FFFFFF"/>
              </w:rPr>
            </w:pPr>
          </w:p>
        </w:tc>
        <w:tc>
          <w:tcPr>
            <w:tcW w:w="1258" w:type="dxa"/>
            <w:vAlign w:val="center"/>
          </w:tcPr>
          <w:p>
            <w:pPr>
              <w:widowControl/>
              <w:jc w:val="center"/>
              <w:rPr>
                <w:rFonts w:ascii="宋体" w:hAnsi="宋体" w:cs="宋体"/>
                <w:kern w:val="0"/>
                <w:szCs w:val="21"/>
              </w:rPr>
            </w:pPr>
            <w:r>
              <w:rPr>
                <w:rFonts w:hint="eastAsia" w:ascii="宋体" w:hAnsi="宋体" w:cs="宋体"/>
                <w:kern w:val="0"/>
                <w:szCs w:val="21"/>
              </w:rPr>
              <w:t>资金分配</w:t>
            </w:r>
          </w:p>
          <w:p>
            <w:pPr>
              <w:widowControl/>
              <w:jc w:val="center"/>
              <w:rPr>
                <w:rFonts w:ascii="宋体" w:hAnsi="宋体" w:cs="宋体"/>
                <w:kern w:val="0"/>
                <w:szCs w:val="21"/>
              </w:rPr>
            </w:pPr>
            <w:r>
              <w:rPr>
                <w:rFonts w:hint="eastAsia" w:ascii="宋体" w:hAnsi="宋体" w:cs="宋体"/>
                <w:kern w:val="0"/>
                <w:szCs w:val="21"/>
              </w:rPr>
              <w:t>合理性</w:t>
            </w:r>
          </w:p>
          <w:p>
            <w:pPr>
              <w:widowControl/>
              <w:jc w:val="center"/>
              <w:rPr>
                <w:rFonts w:ascii="宋体" w:hAnsi="宋体" w:eastAsia="宋体" w:cs="宋体"/>
                <w:spacing w:val="8"/>
                <w:szCs w:val="21"/>
                <w:shd w:val="clear" w:color="auto" w:fill="FFFFFF"/>
              </w:rPr>
            </w:pPr>
            <w:r>
              <w:rPr>
                <w:rFonts w:hint="eastAsia" w:ascii="宋体" w:hAnsi="宋体" w:cs="宋体"/>
                <w:kern w:val="0"/>
                <w:szCs w:val="21"/>
              </w:rPr>
              <w:t>（4分）</w:t>
            </w:r>
          </w:p>
        </w:tc>
        <w:tc>
          <w:tcPr>
            <w:tcW w:w="5564" w:type="dxa"/>
            <w:vAlign w:val="center"/>
          </w:tcPr>
          <w:p>
            <w:pPr>
              <w:widowControl/>
              <w:jc w:val="left"/>
              <w:rPr>
                <w:rFonts w:ascii="宋体" w:hAnsi="宋体" w:cs="宋体"/>
                <w:kern w:val="0"/>
                <w:szCs w:val="21"/>
              </w:rPr>
            </w:pPr>
            <w:r>
              <w:rPr>
                <w:rFonts w:hint="eastAsia" w:ascii="宋体" w:hAnsi="宋体" w:cs="宋体"/>
                <w:kern w:val="0"/>
                <w:szCs w:val="21"/>
              </w:rPr>
              <w:t>①预算资金分配依据是否充分</w:t>
            </w:r>
          </w:p>
          <w:p>
            <w:pPr>
              <w:widowControl/>
              <w:jc w:val="left"/>
              <w:rPr>
                <w:rFonts w:ascii="宋体" w:hAnsi="宋体" w:cs="宋体"/>
                <w:kern w:val="0"/>
                <w:szCs w:val="21"/>
              </w:rPr>
            </w:pPr>
            <w:r>
              <w:rPr>
                <w:rFonts w:hint="eastAsia" w:ascii="宋体" w:hAnsi="宋体" w:cs="宋体"/>
                <w:kern w:val="0"/>
                <w:szCs w:val="21"/>
              </w:rPr>
              <w:t>②资金分配额度是否合理，与项目单位或地方实际是否相适应。</w:t>
            </w:r>
          </w:p>
          <w:p>
            <w:pPr>
              <w:widowControl/>
              <w:jc w:val="left"/>
              <w:rPr>
                <w:rFonts w:ascii="宋体" w:hAnsi="宋体" w:eastAsia="宋体" w:cs="宋体"/>
                <w:spacing w:val="8"/>
                <w:szCs w:val="21"/>
              </w:rPr>
            </w:pPr>
            <w:r>
              <w:rPr>
                <w:rFonts w:hint="eastAsia" w:asciiTheme="minorEastAsia" w:hAnsiTheme="minorEastAsia" w:cstheme="minorEastAsia"/>
                <w:color w:val="000000"/>
                <w:kern w:val="0"/>
                <w:szCs w:val="21"/>
              </w:rPr>
              <w:t>以上两项分别评分，各单项符合得2分，</w:t>
            </w:r>
            <w:r>
              <w:rPr>
                <w:rFonts w:hint="eastAsia" w:asciiTheme="minorEastAsia" w:hAnsiTheme="minorEastAsia" w:cstheme="minorEastAsia"/>
                <w:kern w:val="0"/>
                <w:szCs w:val="21"/>
              </w:rPr>
              <w:t>基本符合得1分，</w:t>
            </w:r>
            <w:r>
              <w:rPr>
                <w:rFonts w:hint="eastAsia" w:asciiTheme="minorEastAsia" w:hAnsiTheme="minorEastAsia" w:cstheme="minorEastAsia"/>
                <w:color w:val="000000"/>
                <w:kern w:val="0"/>
                <w:szCs w:val="21"/>
              </w:rPr>
              <w:t>不符合得0分。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 w:type="dxa"/>
            <w:vMerge w:val="restart"/>
            <w:vAlign w:val="center"/>
          </w:tcPr>
          <w:p>
            <w:pPr>
              <w:jc w:val="center"/>
              <w:rPr>
                <w:rFonts w:ascii="宋体" w:hAnsi="宋体" w:eastAsia="宋体" w:cs="宋体"/>
                <w:b/>
                <w:bCs/>
                <w:color w:val="000000"/>
                <w:sz w:val="24"/>
                <w:szCs w:val="22"/>
              </w:rPr>
            </w:pPr>
            <w:r>
              <w:rPr>
                <w:rFonts w:hint="eastAsia" w:ascii="宋体" w:hAnsi="宋体" w:eastAsia="宋体" w:cs="宋体"/>
                <w:b/>
                <w:bCs/>
                <w:color w:val="000000"/>
                <w:sz w:val="24"/>
                <w:szCs w:val="22"/>
              </w:rPr>
              <w:t>过程</w:t>
            </w:r>
          </w:p>
          <w:p>
            <w:pPr>
              <w:jc w:val="center"/>
              <w:rPr>
                <w:rFonts w:ascii="宋体" w:hAnsi="宋体" w:eastAsia="宋体" w:cs="宋体"/>
                <w:b/>
                <w:bCs/>
                <w:color w:val="000000"/>
                <w:sz w:val="24"/>
                <w:szCs w:val="22"/>
              </w:rPr>
            </w:pPr>
            <w:r>
              <w:rPr>
                <w:rFonts w:hint="eastAsia" w:ascii="宋体" w:hAnsi="宋体" w:eastAsia="宋体" w:cs="宋体"/>
                <w:b/>
                <w:bCs/>
                <w:color w:val="000000"/>
                <w:sz w:val="24"/>
                <w:szCs w:val="22"/>
              </w:rPr>
              <w:t>（14分）</w:t>
            </w:r>
          </w:p>
        </w:tc>
        <w:tc>
          <w:tcPr>
            <w:tcW w:w="1181" w:type="dxa"/>
            <w:vMerge w:val="restart"/>
            <w:vAlign w:val="center"/>
          </w:tcPr>
          <w:p>
            <w:pPr>
              <w:widowControl/>
              <w:snapToGrid w:val="0"/>
              <w:jc w:val="center"/>
              <w:rPr>
                <w:rFonts w:ascii="宋体" w:hAnsi="宋体" w:eastAsia="宋体" w:cs="宋体"/>
                <w:spacing w:val="8"/>
                <w:szCs w:val="21"/>
                <w:shd w:val="clear" w:color="auto" w:fill="FFFFFF"/>
              </w:rPr>
            </w:pPr>
            <w:r>
              <w:rPr>
                <w:rFonts w:hint="eastAsia" w:asciiTheme="minorEastAsia" w:hAnsiTheme="minorEastAsia" w:cstheme="minorEastAsia"/>
                <w:kern w:val="0"/>
                <w:szCs w:val="21"/>
              </w:rPr>
              <w:t>资金管理（9分）</w:t>
            </w:r>
          </w:p>
        </w:tc>
        <w:tc>
          <w:tcPr>
            <w:tcW w:w="1258" w:type="dxa"/>
            <w:vAlign w:val="center"/>
          </w:tcPr>
          <w:p>
            <w:pPr>
              <w:widowControl/>
              <w:jc w:val="center"/>
              <w:rPr>
                <w:rFonts w:ascii="宋体" w:hAnsi="宋体" w:cs="宋体"/>
                <w:kern w:val="0"/>
                <w:szCs w:val="21"/>
              </w:rPr>
            </w:pPr>
            <w:r>
              <w:rPr>
                <w:rFonts w:hint="eastAsia" w:ascii="宋体" w:hAnsi="宋体" w:cs="宋体"/>
                <w:kern w:val="0"/>
                <w:szCs w:val="21"/>
              </w:rPr>
              <w:t>资金</w:t>
            </w:r>
          </w:p>
          <w:p>
            <w:pPr>
              <w:widowControl/>
              <w:jc w:val="center"/>
              <w:rPr>
                <w:rFonts w:ascii="宋体" w:hAnsi="宋体" w:cs="宋体"/>
                <w:kern w:val="0"/>
                <w:szCs w:val="21"/>
              </w:rPr>
            </w:pPr>
            <w:r>
              <w:rPr>
                <w:rFonts w:hint="eastAsia" w:ascii="宋体" w:hAnsi="宋体" w:cs="宋体"/>
                <w:kern w:val="0"/>
                <w:szCs w:val="21"/>
              </w:rPr>
              <w:t>到位率</w:t>
            </w:r>
          </w:p>
          <w:p>
            <w:pPr>
              <w:widowControl/>
              <w:jc w:val="center"/>
              <w:rPr>
                <w:rFonts w:ascii="宋体" w:hAnsi="宋体" w:eastAsia="宋体" w:cs="宋体"/>
                <w:spacing w:val="8"/>
                <w:szCs w:val="21"/>
                <w:shd w:val="clear" w:color="auto" w:fill="FFFFFF"/>
              </w:rPr>
            </w:pPr>
            <w:r>
              <w:rPr>
                <w:rFonts w:hint="eastAsia" w:ascii="宋体" w:hAnsi="宋体" w:cs="宋体"/>
                <w:kern w:val="0"/>
                <w:szCs w:val="21"/>
              </w:rPr>
              <w:t>（2分）</w:t>
            </w:r>
          </w:p>
        </w:tc>
        <w:tc>
          <w:tcPr>
            <w:tcW w:w="5564" w:type="dxa"/>
            <w:vAlign w:val="center"/>
          </w:tcPr>
          <w:p>
            <w:pPr>
              <w:widowControl/>
              <w:jc w:val="left"/>
              <w:rPr>
                <w:rFonts w:ascii="宋体" w:hAnsi="宋体" w:cs="宋体"/>
                <w:kern w:val="0"/>
                <w:szCs w:val="21"/>
              </w:rPr>
            </w:pPr>
            <w:r>
              <w:rPr>
                <w:rFonts w:hint="eastAsia" w:ascii="宋体" w:hAnsi="宋体" w:cs="宋体"/>
                <w:kern w:val="0"/>
                <w:szCs w:val="21"/>
              </w:rPr>
              <w:t>资金到位率=(实际到位资金/预算资金)×100%</w:t>
            </w:r>
          </w:p>
          <w:p>
            <w:pPr>
              <w:widowControl/>
              <w:jc w:val="left"/>
              <w:rPr>
                <w:rFonts w:ascii="宋体" w:hAnsi="宋体" w:cs="宋体"/>
                <w:kern w:val="0"/>
                <w:szCs w:val="21"/>
              </w:rPr>
            </w:pPr>
            <w:r>
              <w:rPr>
                <w:rFonts w:hint="eastAsia" w:ascii="宋体" w:hAnsi="宋体" w:cs="宋体"/>
                <w:kern w:val="0"/>
                <w:szCs w:val="21"/>
              </w:rPr>
              <w:t>实际到位资金：一定时期(本年度或项目期)内落实到具体项目的资金</w:t>
            </w:r>
          </w:p>
          <w:p>
            <w:pPr>
              <w:widowControl/>
              <w:jc w:val="left"/>
              <w:rPr>
                <w:rFonts w:ascii="宋体" w:hAnsi="宋体" w:eastAsia="宋体" w:cs="宋体"/>
                <w:spacing w:val="8"/>
                <w:szCs w:val="21"/>
              </w:rPr>
            </w:pPr>
            <w:r>
              <w:rPr>
                <w:rFonts w:hint="eastAsia" w:ascii="宋体" w:hAnsi="宋体" w:cs="宋体"/>
                <w:kern w:val="0"/>
                <w:szCs w:val="21"/>
              </w:rPr>
              <w:t>预算资金：一定时期(本年度或项目期)内预算安排到具体项目的资金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 w:type="dxa"/>
            <w:vMerge w:val="continue"/>
          </w:tcPr>
          <w:p>
            <w:pPr>
              <w:jc w:val="center"/>
              <w:rPr>
                <w:rFonts w:ascii="宋体" w:hAnsi="宋体" w:eastAsia="宋体" w:cs="宋体"/>
                <w:b/>
                <w:bCs/>
                <w:color w:val="000000"/>
                <w:sz w:val="24"/>
                <w:szCs w:val="22"/>
              </w:rPr>
            </w:pPr>
          </w:p>
        </w:tc>
        <w:tc>
          <w:tcPr>
            <w:tcW w:w="1181" w:type="dxa"/>
            <w:vMerge w:val="continue"/>
            <w:vAlign w:val="center"/>
          </w:tcPr>
          <w:p>
            <w:pPr>
              <w:widowControl/>
              <w:snapToGrid w:val="0"/>
              <w:jc w:val="center"/>
              <w:rPr>
                <w:rFonts w:ascii="宋体" w:hAnsi="宋体" w:eastAsia="宋体" w:cs="宋体"/>
                <w:spacing w:val="8"/>
                <w:szCs w:val="21"/>
                <w:shd w:val="clear" w:color="auto" w:fill="FFFFFF"/>
              </w:rPr>
            </w:pPr>
          </w:p>
        </w:tc>
        <w:tc>
          <w:tcPr>
            <w:tcW w:w="1258" w:type="dxa"/>
            <w:vAlign w:val="center"/>
          </w:tcPr>
          <w:p>
            <w:pPr>
              <w:widowControl/>
              <w:jc w:val="center"/>
              <w:rPr>
                <w:rFonts w:ascii="宋体" w:hAnsi="宋体" w:cs="宋体"/>
                <w:kern w:val="0"/>
                <w:szCs w:val="21"/>
              </w:rPr>
            </w:pPr>
            <w:r>
              <w:rPr>
                <w:rFonts w:hint="eastAsia" w:ascii="宋体" w:hAnsi="宋体" w:cs="宋体"/>
                <w:kern w:val="0"/>
                <w:szCs w:val="21"/>
              </w:rPr>
              <w:t>预算</w:t>
            </w:r>
          </w:p>
          <w:p>
            <w:pPr>
              <w:widowControl/>
              <w:jc w:val="center"/>
              <w:rPr>
                <w:rFonts w:ascii="宋体" w:hAnsi="宋体" w:cs="宋体"/>
                <w:kern w:val="0"/>
                <w:szCs w:val="21"/>
              </w:rPr>
            </w:pPr>
            <w:r>
              <w:rPr>
                <w:rFonts w:hint="eastAsia" w:ascii="宋体" w:hAnsi="宋体" w:cs="宋体"/>
                <w:kern w:val="0"/>
                <w:szCs w:val="21"/>
              </w:rPr>
              <w:t>执行率</w:t>
            </w:r>
          </w:p>
          <w:p>
            <w:pPr>
              <w:widowControl/>
              <w:jc w:val="center"/>
              <w:rPr>
                <w:rFonts w:ascii="宋体" w:hAnsi="宋体" w:eastAsia="宋体" w:cs="宋体"/>
                <w:spacing w:val="8"/>
                <w:szCs w:val="21"/>
                <w:shd w:val="clear" w:color="auto" w:fill="FFFFFF"/>
              </w:rPr>
            </w:pPr>
            <w:r>
              <w:rPr>
                <w:rFonts w:hint="eastAsia" w:asciiTheme="minorEastAsia" w:hAnsiTheme="minorEastAsia" w:cstheme="minorEastAsia"/>
                <w:kern w:val="0"/>
                <w:szCs w:val="21"/>
              </w:rPr>
              <w:t>（3分）</w:t>
            </w:r>
          </w:p>
        </w:tc>
        <w:tc>
          <w:tcPr>
            <w:tcW w:w="5564" w:type="dxa"/>
            <w:vAlign w:val="center"/>
          </w:tcPr>
          <w:p>
            <w:pPr>
              <w:widowControl/>
              <w:jc w:val="left"/>
              <w:rPr>
                <w:rFonts w:ascii="宋体" w:hAnsi="宋体" w:cs="宋体"/>
                <w:kern w:val="0"/>
                <w:szCs w:val="21"/>
              </w:rPr>
            </w:pPr>
            <w:r>
              <w:rPr>
                <w:rFonts w:hint="eastAsia" w:ascii="宋体" w:hAnsi="宋体" w:cs="宋体"/>
                <w:kern w:val="0"/>
                <w:szCs w:val="21"/>
              </w:rPr>
              <w:t>预算执行率=(实际支出资金/预算资金)×100%</w:t>
            </w:r>
          </w:p>
          <w:p>
            <w:pPr>
              <w:widowControl/>
              <w:jc w:val="left"/>
              <w:rPr>
                <w:rFonts w:ascii="宋体" w:hAnsi="宋体" w:cs="宋体"/>
                <w:kern w:val="0"/>
                <w:szCs w:val="21"/>
              </w:rPr>
            </w:pPr>
            <w:r>
              <w:rPr>
                <w:rFonts w:hint="eastAsia" w:ascii="宋体" w:hAnsi="宋体" w:cs="宋体"/>
                <w:kern w:val="0"/>
                <w:szCs w:val="21"/>
              </w:rPr>
              <w:t>实际支出资金：一定时期(本年度或项目期)内项目实际拨付的资金。</w:t>
            </w:r>
          </w:p>
          <w:p>
            <w:pPr>
              <w:widowControl/>
              <w:jc w:val="left"/>
              <w:rPr>
                <w:rFonts w:ascii="宋体" w:hAnsi="宋体" w:eastAsia="宋体" w:cs="宋体"/>
                <w:spacing w:val="8"/>
                <w:szCs w:val="21"/>
              </w:rPr>
            </w:pPr>
            <w:r>
              <w:rPr>
                <w:rFonts w:hint="eastAsia" w:asciiTheme="minorEastAsia" w:hAnsiTheme="minorEastAsia" w:cstheme="minorEastAsia"/>
                <w:kern w:val="0"/>
                <w:szCs w:val="21"/>
              </w:rPr>
              <w:t>预算执行率100%，得满分；每降低5个百分点，扣1分，扣完为止。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 w:type="dxa"/>
            <w:vMerge w:val="continue"/>
          </w:tcPr>
          <w:p>
            <w:pPr>
              <w:jc w:val="center"/>
              <w:rPr>
                <w:rFonts w:ascii="宋体" w:hAnsi="宋体" w:eastAsia="宋体" w:cs="宋体"/>
                <w:b/>
                <w:bCs/>
                <w:color w:val="000000"/>
                <w:sz w:val="24"/>
                <w:szCs w:val="22"/>
              </w:rPr>
            </w:pPr>
          </w:p>
        </w:tc>
        <w:tc>
          <w:tcPr>
            <w:tcW w:w="1181" w:type="dxa"/>
            <w:vMerge w:val="continue"/>
            <w:vAlign w:val="center"/>
          </w:tcPr>
          <w:p>
            <w:pPr>
              <w:widowControl/>
              <w:snapToGrid w:val="0"/>
              <w:jc w:val="center"/>
              <w:rPr>
                <w:rFonts w:ascii="宋体" w:hAnsi="宋体" w:eastAsia="宋体" w:cs="宋体"/>
                <w:spacing w:val="8"/>
                <w:szCs w:val="21"/>
                <w:shd w:val="clear" w:color="auto" w:fill="FFFFFF"/>
              </w:rPr>
            </w:pPr>
          </w:p>
        </w:tc>
        <w:tc>
          <w:tcPr>
            <w:tcW w:w="1258" w:type="dxa"/>
            <w:vAlign w:val="center"/>
          </w:tcPr>
          <w:p>
            <w:pPr>
              <w:widowControl/>
              <w:snapToGrid w:val="0"/>
              <w:jc w:val="center"/>
              <w:rPr>
                <w:rFonts w:asciiTheme="minorEastAsia" w:hAnsiTheme="minorEastAsia" w:cstheme="minorEastAsia"/>
                <w:kern w:val="0"/>
                <w:szCs w:val="21"/>
              </w:rPr>
            </w:pPr>
            <w:r>
              <w:rPr>
                <w:rFonts w:hint="eastAsia" w:asciiTheme="minorEastAsia" w:hAnsiTheme="minorEastAsia" w:cstheme="minorEastAsia"/>
                <w:kern w:val="0"/>
                <w:szCs w:val="21"/>
              </w:rPr>
              <w:t>资金使用</w:t>
            </w:r>
          </w:p>
          <w:p>
            <w:pPr>
              <w:widowControl/>
              <w:snapToGrid w:val="0"/>
              <w:jc w:val="center"/>
              <w:rPr>
                <w:rFonts w:asciiTheme="minorEastAsia" w:hAnsiTheme="minorEastAsia" w:cstheme="minorEastAsia"/>
                <w:kern w:val="0"/>
                <w:szCs w:val="21"/>
              </w:rPr>
            </w:pPr>
            <w:r>
              <w:rPr>
                <w:rFonts w:hint="eastAsia" w:asciiTheme="minorEastAsia" w:hAnsiTheme="minorEastAsia" w:cstheme="minorEastAsia"/>
                <w:kern w:val="0"/>
                <w:szCs w:val="21"/>
              </w:rPr>
              <w:t>合规性</w:t>
            </w:r>
          </w:p>
          <w:p>
            <w:pPr>
              <w:widowControl/>
              <w:snapToGrid w:val="0"/>
              <w:jc w:val="center"/>
              <w:rPr>
                <w:rFonts w:asciiTheme="minorEastAsia" w:hAnsiTheme="minorEastAsia" w:cstheme="minorEastAsia"/>
                <w:kern w:val="0"/>
                <w:szCs w:val="21"/>
              </w:rPr>
            </w:pPr>
            <w:r>
              <w:rPr>
                <w:rFonts w:hint="eastAsia" w:asciiTheme="minorEastAsia" w:hAnsiTheme="minorEastAsia" w:cstheme="minorEastAsia"/>
                <w:kern w:val="0"/>
                <w:szCs w:val="21"/>
              </w:rPr>
              <w:t>（4分）</w:t>
            </w:r>
          </w:p>
          <w:p>
            <w:pPr>
              <w:widowControl/>
              <w:snapToGrid w:val="0"/>
              <w:jc w:val="center"/>
              <w:rPr>
                <w:rFonts w:ascii="宋体" w:hAnsi="宋体" w:eastAsia="宋体" w:cs="宋体"/>
                <w:spacing w:val="8"/>
                <w:szCs w:val="21"/>
                <w:shd w:val="clear" w:color="auto" w:fill="FFFFFF"/>
              </w:rPr>
            </w:pPr>
          </w:p>
        </w:tc>
        <w:tc>
          <w:tcPr>
            <w:tcW w:w="5564" w:type="dxa"/>
            <w:vAlign w:val="center"/>
          </w:tcPr>
          <w:p>
            <w:pPr>
              <w:widowControl/>
              <w:snapToGrid w:val="0"/>
              <w:rPr>
                <w:rFonts w:asciiTheme="minorEastAsia" w:hAnsiTheme="minorEastAsia" w:cstheme="minorEastAsia"/>
                <w:kern w:val="0"/>
                <w:szCs w:val="21"/>
              </w:rPr>
            </w:pPr>
            <w:r>
              <w:rPr>
                <w:rFonts w:hint="eastAsia" w:asciiTheme="minorEastAsia" w:hAnsiTheme="minorEastAsia" w:cstheme="minorEastAsia"/>
                <w:kern w:val="0"/>
                <w:szCs w:val="21"/>
              </w:rPr>
              <w:t>①符合国家财经法规和财务管理制度规定以及有关部门资金管理办法的规定；</w:t>
            </w:r>
          </w:p>
          <w:p>
            <w:pPr>
              <w:widowControl/>
              <w:snapToGrid w:val="0"/>
              <w:rPr>
                <w:rFonts w:asciiTheme="minorEastAsia" w:hAnsiTheme="minorEastAsia" w:cstheme="minorEastAsia"/>
                <w:kern w:val="0"/>
                <w:szCs w:val="21"/>
              </w:rPr>
            </w:pPr>
            <w:r>
              <w:rPr>
                <w:rFonts w:hint="eastAsia" w:asciiTheme="minorEastAsia" w:hAnsiTheme="minorEastAsia" w:cstheme="minorEastAsia"/>
                <w:kern w:val="0"/>
                <w:szCs w:val="21"/>
              </w:rPr>
              <w:t>②资金拨付有完整的审批程序和手续；</w:t>
            </w:r>
          </w:p>
          <w:p>
            <w:pPr>
              <w:widowControl/>
              <w:snapToGrid w:val="0"/>
              <w:rPr>
                <w:rFonts w:asciiTheme="minorEastAsia" w:hAnsiTheme="minorEastAsia" w:cstheme="minorEastAsia"/>
                <w:kern w:val="0"/>
                <w:szCs w:val="21"/>
              </w:rPr>
            </w:pPr>
            <w:r>
              <w:rPr>
                <w:rFonts w:hint="eastAsia" w:asciiTheme="minorEastAsia" w:hAnsiTheme="minorEastAsia" w:cstheme="minorEastAsia"/>
                <w:kern w:val="0"/>
                <w:szCs w:val="21"/>
              </w:rPr>
              <w:t>③支出符合部门预算批复的用途；</w:t>
            </w:r>
          </w:p>
          <w:p>
            <w:pPr>
              <w:widowControl/>
              <w:snapToGrid w:val="0"/>
              <w:rPr>
                <w:rFonts w:asciiTheme="minorEastAsia" w:hAnsiTheme="minorEastAsia" w:cstheme="minorEastAsia"/>
                <w:kern w:val="0"/>
                <w:szCs w:val="21"/>
              </w:rPr>
            </w:pPr>
            <w:r>
              <w:rPr>
                <w:rFonts w:hint="eastAsia" w:asciiTheme="minorEastAsia" w:hAnsiTheme="minorEastAsia" w:cstheme="minorEastAsia"/>
                <w:kern w:val="0"/>
                <w:szCs w:val="21"/>
              </w:rPr>
              <w:t>④资金使用无截留、挤占、挪用、虚列支出等情况。</w:t>
            </w:r>
          </w:p>
          <w:p>
            <w:pPr>
              <w:widowControl/>
              <w:snapToGrid w:val="0"/>
              <w:rPr>
                <w:rFonts w:ascii="宋体" w:hAnsi="宋体" w:eastAsia="宋体" w:cs="宋体"/>
                <w:spacing w:val="8"/>
                <w:szCs w:val="21"/>
              </w:rPr>
            </w:pPr>
            <w:r>
              <w:rPr>
                <w:rFonts w:hint="eastAsia" w:asciiTheme="minorEastAsia" w:hAnsiTheme="minorEastAsia" w:cstheme="minorEastAsia"/>
                <w:kern w:val="0"/>
                <w:szCs w:val="21"/>
              </w:rPr>
              <w:t>以上四项都符合得满分；一项不符合扣1分。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 w:type="dxa"/>
            <w:vMerge w:val="continue"/>
          </w:tcPr>
          <w:p>
            <w:pPr>
              <w:jc w:val="center"/>
              <w:rPr>
                <w:rFonts w:ascii="宋体" w:hAnsi="宋体" w:eastAsia="宋体" w:cs="宋体"/>
                <w:b/>
                <w:bCs/>
                <w:color w:val="000000"/>
                <w:sz w:val="24"/>
                <w:szCs w:val="22"/>
              </w:rPr>
            </w:pPr>
          </w:p>
        </w:tc>
        <w:tc>
          <w:tcPr>
            <w:tcW w:w="1181" w:type="dxa"/>
            <w:vMerge w:val="restart"/>
            <w:vAlign w:val="center"/>
          </w:tcPr>
          <w:p>
            <w:pPr>
              <w:widowControl/>
              <w:snapToGrid w:val="0"/>
              <w:jc w:val="center"/>
              <w:rPr>
                <w:rFonts w:ascii="宋体" w:hAnsi="宋体" w:eastAsia="宋体" w:cs="宋体"/>
                <w:spacing w:val="8"/>
                <w:szCs w:val="21"/>
                <w:shd w:val="clear" w:color="auto" w:fill="FFFFFF"/>
              </w:rPr>
            </w:pPr>
            <w:r>
              <w:rPr>
                <w:rFonts w:hint="eastAsia" w:asciiTheme="majorEastAsia" w:hAnsiTheme="majorEastAsia" w:eastAsiaTheme="majorEastAsia" w:cstheme="majorEastAsia"/>
                <w:kern w:val="0"/>
                <w:szCs w:val="21"/>
              </w:rPr>
              <w:t>组织实施（5分）</w:t>
            </w:r>
          </w:p>
        </w:tc>
        <w:tc>
          <w:tcPr>
            <w:tcW w:w="1258" w:type="dxa"/>
            <w:vAlign w:val="center"/>
          </w:tcPr>
          <w:p>
            <w:pPr>
              <w:widowControl/>
              <w:snapToGrid w:val="0"/>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管理制度</w:t>
            </w:r>
          </w:p>
          <w:p>
            <w:pPr>
              <w:widowControl/>
              <w:snapToGrid w:val="0"/>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健全性</w:t>
            </w:r>
          </w:p>
          <w:p>
            <w:pPr>
              <w:widowControl/>
              <w:snapToGrid w:val="0"/>
              <w:jc w:val="center"/>
              <w:rPr>
                <w:rFonts w:ascii="宋体" w:hAnsi="宋体" w:eastAsia="宋体" w:cs="宋体"/>
                <w:spacing w:val="8"/>
                <w:szCs w:val="21"/>
                <w:shd w:val="clear" w:color="auto" w:fill="FFFFFF"/>
              </w:rPr>
            </w:pPr>
            <w:r>
              <w:rPr>
                <w:rFonts w:hint="eastAsia" w:asciiTheme="majorEastAsia" w:hAnsiTheme="majorEastAsia" w:eastAsiaTheme="majorEastAsia" w:cstheme="majorEastAsia"/>
                <w:kern w:val="0"/>
                <w:szCs w:val="21"/>
              </w:rPr>
              <w:t>（2分）</w:t>
            </w:r>
          </w:p>
        </w:tc>
        <w:tc>
          <w:tcPr>
            <w:tcW w:w="5564" w:type="dxa"/>
            <w:vAlign w:val="center"/>
          </w:tcPr>
          <w:p>
            <w:pPr>
              <w:widowControl/>
              <w:snapToGrid w:val="0"/>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①是否已制定完善的预算资金管理办法、内部财务管理制度、会计核算制度等管理制度；</w:t>
            </w:r>
          </w:p>
          <w:p>
            <w:pPr>
              <w:widowControl/>
              <w:snapToGrid w:val="0"/>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②相关管理制度是否得到有效执行。</w:t>
            </w:r>
          </w:p>
          <w:p>
            <w:pPr>
              <w:widowControl/>
              <w:snapToGrid w:val="0"/>
              <w:rPr>
                <w:rFonts w:ascii="宋体" w:hAnsi="宋体" w:eastAsia="宋体" w:cs="宋体"/>
                <w:spacing w:val="8"/>
                <w:szCs w:val="21"/>
              </w:rPr>
            </w:pPr>
            <w:r>
              <w:rPr>
                <w:rFonts w:hint="eastAsia" w:asciiTheme="majorEastAsia" w:hAnsiTheme="majorEastAsia" w:eastAsiaTheme="majorEastAsia" w:cstheme="majorEastAsia"/>
                <w:kern w:val="0"/>
                <w:szCs w:val="21"/>
              </w:rPr>
              <w:t>以上两项都符合得满分；一项不符合扣1分。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 w:type="dxa"/>
            <w:vMerge w:val="continue"/>
          </w:tcPr>
          <w:p>
            <w:pPr>
              <w:jc w:val="center"/>
              <w:rPr>
                <w:rFonts w:ascii="宋体" w:hAnsi="宋体" w:eastAsia="宋体" w:cs="宋体"/>
                <w:b/>
                <w:bCs/>
                <w:color w:val="000000"/>
                <w:sz w:val="24"/>
                <w:szCs w:val="22"/>
              </w:rPr>
            </w:pPr>
          </w:p>
        </w:tc>
        <w:tc>
          <w:tcPr>
            <w:tcW w:w="1181" w:type="dxa"/>
            <w:vMerge w:val="continue"/>
            <w:vAlign w:val="center"/>
          </w:tcPr>
          <w:p>
            <w:pPr>
              <w:widowControl/>
              <w:snapToGrid w:val="0"/>
              <w:jc w:val="center"/>
              <w:rPr>
                <w:rFonts w:ascii="宋体" w:hAnsi="宋体" w:eastAsia="宋体" w:cs="宋体"/>
                <w:b/>
                <w:bCs/>
                <w:sz w:val="24"/>
                <w:szCs w:val="22"/>
              </w:rPr>
            </w:pPr>
          </w:p>
        </w:tc>
        <w:tc>
          <w:tcPr>
            <w:tcW w:w="1258" w:type="dxa"/>
            <w:vAlign w:val="center"/>
          </w:tcPr>
          <w:p>
            <w:pPr>
              <w:widowControl/>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制度执行</w:t>
            </w:r>
          </w:p>
          <w:p>
            <w:pPr>
              <w:widowControl/>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有效性</w:t>
            </w:r>
          </w:p>
          <w:p>
            <w:pPr>
              <w:widowControl/>
              <w:jc w:val="center"/>
              <w:rPr>
                <w:rFonts w:ascii="宋体" w:hAnsi="宋体" w:eastAsia="宋体" w:cs="宋体"/>
                <w:spacing w:val="8"/>
                <w:szCs w:val="21"/>
                <w:shd w:val="clear" w:color="auto" w:fill="FFFFFF"/>
              </w:rPr>
            </w:pPr>
            <w:r>
              <w:rPr>
                <w:rFonts w:hint="eastAsia" w:asciiTheme="majorEastAsia" w:hAnsiTheme="majorEastAsia" w:eastAsiaTheme="majorEastAsia" w:cstheme="majorEastAsia"/>
                <w:kern w:val="0"/>
                <w:szCs w:val="21"/>
              </w:rPr>
              <w:t>（3分）</w:t>
            </w:r>
          </w:p>
        </w:tc>
        <w:tc>
          <w:tcPr>
            <w:tcW w:w="5564" w:type="dxa"/>
            <w:vAlign w:val="center"/>
          </w:tcPr>
          <w:p>
            <w:pP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①是否遵守相关法律法规和相关管理规定；</w:t>
            </w:r>
          </w:p>
          <w:p>
            <w:pP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②项目合同书、验收报告、技术鉴定等资料是否齐全并及时归档；</w:t>
            </w:r>
          </w:p>
          <w:p>
            <w:pP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③项目实施的人员条件、场地设备、信息支撑等是否落实到位。</w:t>
            </w:r>
          </w:p>
          <w:p>
            <w:pPr>
              <w:widowControl/>
              <w:jc w:val="left"/>
              <w:rPr>
                <w:rFonts w:ascii="宋体" w:hAnsi="宋体" w:eastAsia="宋体" w:cs="宋体"/>
                <w:spacing w:val="8"/>
                <w:szCs w:val="21"/>
              </w:rPr>
            </w:pPr>
            <w:r>
              <w:rPr>
                <w:rFonts w:hint="eastAsia" w:asciiTheme="minorEastAsia" w:hAnsiTheme="minorEastAsia" w:cstheme="minorEastAsia"/>
                <w:kern w:val="0"/>
                <w:szCs w:val="21"/>
              </w:rPr>
              <w:t>以上三项都符合得满分</w:t>
            </w:r>
            <w:r>
              <w:rPr>
                <w:rFonts w:hint="eastAsia" w:asciiTheme="majorEastAsia" w:hAnsiTheme="majorEastAsia" w:eastAsiaTheme="majorEastAsia" w:cstheme="majorEastAsia"/>
                <w:kern w:val="0"/>
                <w:szCs w:val="21"/>
              </w:rPr>
              <w:t>一项不符合扣1分。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899" w:type="dxa"/>
            <w:vMerge w:val="restart"/>
            <w:vAlign w:val="center"/>
          </w:tcPr>
          <w:p>
            <w:pPr>
              <w:jc w:val="center"/>
              <w:rPr>
                <w:rFonts w:ascii="宋体" w:hAnsi="宋体" w:eastAsia="宋体" w:cs="宋体"/>
                <w:b/>
                <w:bCs/>
                <w:color w:val="000000"/>
                <w:sz w:val="24"/>
                <w:szCs w:val="22"/>
              </w:rPr>
            </w:pPr>
            <w:r>
              <w:rPr>
                <w:rFonts w:hint="eastAsia" w:ascii="宋体" w:hAnsi="宋体" w:eastAsia="宋体" w:cs="宋体"/>
                <w:b/>
                <w:bCs/>
                <w:color w:val="000000"/>
                <w:sz w:val="24"/>
                <w:szCs w:val="22"/>
              </w:rPr>
              <w:t>产出</w:t>
            </w:r>
          </w:p>
          <w:p>
            <w:pPr>
              <w:jc w:val="center"/>
              <w:rPr>
                <w:rFonts w:ascii="宋体" w:hAnsi="宋体" w:eastAsia="宋体" w:cs="宋体"/>
                <w:b/>
                <w:bCs/>
                <w:color w:val="000000"/>
                <w:sz w:val="24"/>
                <w:szCs w:val="22"/>
              </w:rPr>
            </w:pPr>
            <w:r>
              <w:rPr>
                <w:rFonts w:hint="eastAsia" w:ascii="宋体" w:hAnsi="宋体" w:eastAsia="宋体" w:cs="宋体"/>
                <w:b/>
                <w:bCs/>
                <w:color w:val="000000"/>
                <w:sz w:val="24"/>
                <w:szCs w:val="22"/>
              </w:rPr>
              <w:t>（23分）</w:t>
            </w:r>
          </w:p>
        </w:tc>
        <w:tc>
          <w:tcPr>
            <w:tcW w:w="1181" w:type="dxa"/>
            <w:vMerge w:val="restart"/>
            <w:vAlign w:val="center"/>
          </w:tcPr>
          <w:p>
            <w:pPr>
              <w:widowControl/>
              <w:snapToGrid w:val="0"/>
              <w:jc w:val="center"/>
              <w:rPr>
                <w:rFonts w:asciiTheme="minorEastAsia" w:hAnsiTheme="minorEastAsia" w:cstheme="minorEastAsia"/>
                <w:kern w:val="0"/>
                <w:szCs w:val="21"/>
              </w:rPr>
            </w:pPr>
            <w:r>
              <w:rPr>
                <w:rFonts w:hint="eastAsia" w:ascii="宋体" w:hAnsi="宋体"/>
              </w:rPr>
              <w:t>产出数量</w:t>
            </w:r>
          </w:p>
          <w:p>
            <w:pPr>
              <w:widowControl/>
              <w:snapToGrid w:val="0"/>
              <w:jc w:val="center"/>
              <w:rPr>
                <w:rFonts w:asciiTheme="minorEastAsia" w:hAnsiTheme="minorEastAsia" w:cstheme="minorEastAsia"/>
                <w:kern w:val="0"/>
                <w:szCs w:val="21"/>
              </w:rPr>
            </w:pPr>
            <w:r>
              <w:rPr>
                <w:rFonts w:hint="eastAsia" w:asciiTheme="minorEastAsia" w:hAnsiTheme="minorEastAsia" w:cstheme="minorEastAsia"/>
                <w:kern w:val="0"/>
                <w:szCs w:val="21"/>
              </w:rPr>
              <w:t>（1</w:t>
            </w:r>
            <w:r>
              <w:rPr>
                <w:rFonts w:asciiTheme="minorEastAsia" w:hAnsiTheme="minorEastAsia" w:cstheme="minorEastAsia"/>
                <w:kern w:val="0"/>
                <w:szCs w:val="21"/>
              </w:rPr>
              <w:t>5</w:t>
            </w:r>
            <w:r>
              <w:rPr>
                <w:rFonts w:hint="eastAsia" w:asciiTheme="minorEastAsia" w:hAnsiTheme="minorEastAsia" w:cstheme="minorEastAsia"/>
                <w:kern w:val="0"/>
                <w:szCs w:val="21"/>
              </w:rPr>
              <w:t>分）</w:t>
            </w:r>
          </w:p>
          <w:p>
            <w:pPr>
              <w:widowControl/>
              <w:snapToGrid w:val="0"/>
              <w:jc w:val="center"/>
              <w:rPr>
                <w:rFonts w:ascii="宋体" w:hAnsi="宋体" w:eastAsia="宋体" w:cs="宋体"/>
                <w:spacing w:val="8"/>
                <w:szCs w:val="21"/>
                <w:shd w:val="clear" w:color="auto" w:fill="FFFFFF"/>
              </w:rPr>
            </w:pPr>
          </w:p>
        </w:tc>
        <w:tc>
          <w:tcPr>
            <w:tcW w:w="1258" w:type="dxa"/>
            <w:vAlign w:val="center"/>
          </w:tcPr>
          <w:p>
            <w:pPr>
              <w:widowControl/>
              <w:snapToGrid w:val="0"/>
              <w:jc w:val="center"/>
              <w:rPr>
                <w:rFonts w:asciiTheme="minorEastAsia" w:hAnsiTheme="minorEastAsia" w:cstheme="minorEastAsia"/>
                <w:kern w:val="0"/>
                <w:szCs w:val="21"/>
              </w:rPr>
            </w:pPr>
            <w:r>
              <w:rPr>
                <w:rFonts w:hint="eastAsia" w:asciiTheme="minorEastAsia" w:hAnsiTheme="minorEastAsia" w:cstheme="minorEastAsia"/>
                <w:kern w:val="0"/>
                <w:szCs w:val="21"/>
              </w:rPr>
              <w:t>禁毒品牌社区数</w:t>
            </w:r>
          </w:p>
          <w:p>
            <w:pPr>
              <w:widowControl/>
              <w:snapToGrid w:val="0"/>
              <w:jc w:val="center"/>
              <w:rPr>
                <w:rFonts w:ascii="宋体" w:hAnsi="宋体" w:eastAsia="宋体" w:cs="宋体"/>
                <w:spacing w:val="8"/>
                <w:szCs w:val="21"/>
                <w:shd w:val="clear" w:color="auto" w:fill="FFFFFF"/>
              </w:rPr>
            </w:pPr>
            <w:r>
              <w:rPr>
                <w:rFonts w:hint="eastAsia" w:asciiTheme="majorEastAsia" w:hAnsiTheme="majorEastAsia" w:eastAsiaTheme="majorEastAsia" w:cstheme="majorEastAsia"/>
                <w:kern w:val="0"/>
                <w:szCs w:val="21"/>
              </w:rPr>
              <w:t>（3分）</w:t>
            </w:r>
          </w:p>
        </w:tc>
        <w:tc>
          <w:tcPr>
            <w:tcW w:w="5564" w:type="dxa"/>
            <w:vAlign w:val="center"/>
          </w:tcPr>
          <w:p>
            <w:pPr>
              <w:widowControl/>
              <w:snapToGrid w:val="0"/>
              <w:rPr>
                <w:rFonts w:ascii="宋体" w:hAnsi="宋体" w:eastAsia="宋体" w:cs="宋体"/>
                <w:b/>
                <w:bCs/>
                <w:sz w:val="24"/>
                <w:szCs w:val="22"/>
              </w:rPr>
            </w:pPr>
            <w:r>
              <w:rPr>
                <w:rFonts w:hint="eastAsia" w:ascii="宋体" w:hAnsi="宋体" w:cs="宋体"/>
                <w:kern w:val="0"/>
                <w:szCs w:val="21"/>
              </w:rPr>
              <w:t>禁毒品牌社区数</w:t>
            </w:r>
            <w:r>
              <w:rPr>
                <w:rFonts w:hint="eastAsia" w:ascii="宋体" w:hAnsi="宋体" w:cs="宋体"/>
              </w:rPr>
              <w:t>达到3个得满分，未达到3个，每少1个扣1分。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899" w:type="dxa"/>
            <w:vMerge w:val="continue"/>
            <w:vAlign w:val="center"/>
          </w:tcPr>
          <w:p>
            <w:pPr>
              <w:jc w:val="center"/>
              <w:rPr>
                <w:rFonts w:ascii="宋体" w:hAnsi="宋体" w:eastAsia="宋体" w:cs="宋体"/>
                <w:b/>
                <w:bCs/>
                <w:color w:val="000000"/>
                <w:sz w:val="24"/>
                <w:szCs w:val="22"/>
              </w:rPr>
            </w:pPr>
          </w:p>
        </w:tc>
        <w:tc>
          <w:tcPr>
            <w:tcW w:w="1181" w:type="dxa"/>
            <w:vMerge w:val="continue"/>
            <w:vAlign w:val="center"/>
          </w:tcPr>
          <w:p>
            <w:pPr>
              <w:widowControl/>
              <w:snapToGrid w:val="0"/>
              <w:jc w:val="center"/>
              <w:rPr>
                <w:rFonts w:ascii="宋体" w:hAnsi="宋体" w:eastAsia="宋体" w:cs="宋体"/>
                <w:spacing w:val="8"/>
                <w:szCs w:val="21"/>
                <w:shd w:val="clear" w:color="auto" w:fill="FFFFFF"/>
              </w:rPr>
            </w:pPr>
          </w:p>
        </w:tc>
        <w:tc>
          <w:tcPr>
            <w:tcW w:w="1258" w:type="dxa"/>
            <w:vAlign w:val="center"/>
          </w:tcPr>
          <w:p>
            <w:pPr>
              <w:widowControl/>
              <w:snapToGrid w:val="0"/>
              <w:jc w:val="center"/>
              <w:rPr>
                <w:rFonts w:asciiTheme="minorEastAsia" w:hAnsiTheme="minorEastAsia" w:cstheme="minorEastAsia"/>
                <w:kern w:val="0"/>
                <w:szCs w:val="21"/>
              </w:rPr>
            </w:pPr>
            <w:r>
              <w:rPr>
                <w:rFonts w:hint="eastAsia" w:asciiTheme="minorEastAsia" w:hAnsiTheme="minorEastAsia" w:cstheme="minorEastAsia"/>
                <w:kern w:val="0"/>
                <w:szCs w:val="21"/>
              </w:rPr>
              <w:t>禁毒宣教室数</w:t>
            </w:r>
          </w:p>
          <w:p>
            <w:pPr>
              <w:widowControl/>
              <w:snapToGrid w:val="0"/>
              <w:jc w:val="center"/>
              <w:rPr>
                <w:rFonts w:ascii="宋体" w:hAnsi="宋体" w:eastAsia="宋体" w:cs="宋体"/>
                <w:spacing w:val="8"/>
                <w:szCs w:val="21"/>
                <w:shd w:val="clear" w:color="auto" w:fill="FFFFFF"/>
              </w:rPr>
            </w:pPr>
            <w:r>
              <w:rPr>
                <w:rFonts w:hint="eastAsia" w:asciiTheme="majorEastAsia" w:hAnsiTheme="majorEastAsia" w:eastAsiaTheme="majorEastAsia" w:cstheme="majorEastAsia"/>
                <w:kern w:val="0"/>
                <w:szCs w:val="21"/>
              </w:rPr>
              <w:t>（4分）</w:t>
            </w:r>
          </w:p>
        </w:tc>
        <w:tc>
          <w:tcPr>
            <w:tcW w:w="5564" w:type="dxa"/>
            <w:vAlign w:val="center"/>
          </w:tcPr>
          <w:p>
            <w:pPr>
              <w:widowControl/>
              <w:snapToGrid w:val="0"/>
              <w:rPr>
                <w:rFonts w:ascii="宋体" w:hAnsi="宋体" w:eastAsia="宋体" w:cs="宋体"/>
                <w:b/>
                <w:bCs/>
                <w:sz w:val="24"/>
                <w:szCs w:val="22"/>
              </w:rPr>
            </w:pPr>
            <w:r>
              <w:rPr>
                <w:rFonts w:hint="eastAsia" w:ascii="宋体" w:hAnsi="宋体" w:cs="宋体"/>
                <w:kern w:val="0"/>
                <w:szCs w:val="21"/>
              </w:rPr>
              <w:t>禁毒宣教室数达到10个得满分，</w:t>
            </w:r>
            <w:r>
              <w:rPr>
                <w:rFonts w:hint="eastAsia" w:ascii="宋体" w:hAnsi="宋体" w:cs="宋体"/>
              </w:rPr>
              <w:t>未达到10个，每少1个扣1分，扣完为止。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899" w:type="dxa"/>
            <w:vMerge w:val="continue"/>
            <w:vAlign w:val="center"/>
          </w:tcPr>
          <w:p>
            <w:pPr>
              <w:jc w:val="center"/>
              <w:rPr>
                <w:rFonts w:ascii="宋体" w:hAnsi="宋体" w:eastAsia="宋体" w:cs="宋体"/>
                <w:b/>
                <w:bCs/>
                <w:color w:val="000000"/>
                <w:sz w:val="24"/>
                <w:szCs w:val="22"/>
              </w:rPr>
            </w:pPr>
          </w:p>
        </w:tc>
        <w:tc>
          <w:tcPr>
            <w:tcW w:w="1181" w:type="dxa"/>
            <w:vMerge w:val="continue"/>
            <w:vAlign w:val="center"/>
          </w:tcPr>
          <w:p>
            <w:pPr>
              <w:widowControl/>
              <w:snapToGrid w:val="0"/>
              <w:jc w:val="center"/>
              <w:rPr>
                <w:rFonts w:ascii="宋体" w:hAnsi="宋体" w:eastAsia="宋体" w:cs="宋体"/>
                <w:spacing w:val="8"/>
                <w:szCs w:val="21"/>
                <w:shd w:val="clear" w:color="auto" w:fill="FFFFFF"/>
              </w:rPr>
            </w:pPr>
          </w:p>
        </w:tc>
        <w:tc>
          <w:tcPr>
            <w:tcW w:w="1258" w:type="dxa"/>
            <w:vAlign w:val="center"/>
          </w:tcPr>
          <w:p>
            <w:pPr>
              <w:widowControl/>
              <w:snapToGrid w:val="0"/>
              <w:jc w:val="center"/>
              <w:rPr>
                <w:rFonts w:ascii="宋体" w:hAnsi="宋体" w:cs="宋体"/>
              </w:rPr>
            </w:pPr>
            <w:r>
              <w:rPr>
                <w:rFonts w:hint="eastAsia" w:ascii="宋体" w:hAnsi="宋体" w:cs="宋体"/>
              </w:rPr>
              <w:t>建成林则徐禁毒教育基地数</w:t>
            </w:r>
          </w:p>
          <w:p>
            <w:pPr>
              <w:widowControl/>
              <w:snapToGrid w:val="0"/>
              <w:jc w:val="center"/>
              <w:rPr>
                <w:rFonts w:ascii="宋体" w:hAnsi="宋体" w:eastAsia="宋体" w:cs="宋体"/>
                <w:spacing w:val="8"/>
                <w:szCs w:val="21"/>
                <w:shd w:val="clear" w:color="auto" w:fill="FFFFFF"/>
              </w:rPr>
            </w:pPr>
            <w:r>
              <w:rPr>
                <w:rFonts w:hint="eastAsia" w:ascii="宋体" w:hAnsi="宋体" w:cs="宋体"/>
                <w:kern w:val="0"/>
                <w:szCs w:val="21"/>
              </w:rPr>
              <w:t>（2分）</w:t>
            </w:r>
          </w:p>
        </w:tc>
        <w:tc>
          <w:tcPr>
            <w:tcW w:w="5564" w:type="dxa"/>
            <w:vAlign w:val="center"/>
          </w:tcPr>
          <w:p>
            <w:pPr>
              <w:widowControl/>
              <w:snapToGrid w:val="0"/>
              <w:rPr>
                <w:rFonts w:ascii="宋体" w:hAnsi="宋体" w:eastAsia="宋体" w:cs="宋体"/>
                <w:spacing w:val="8"/>
                <w:szCs w:val="21"/>
                <w:shd w:val="clear" w:color="auto" w:fill="FFFFFF"/>
              </w:rPr>
            </w:pPr>
            <w:r>
              <w:rPr>
                <w:rFonts w:hint="eastAsia" w:ascii="宋体" w:hAnsi="宋体" w:cs="宋体"/>
                <w:kern w:val="0"/>
                <w:szCs w:val="21"/>
              </w:rPr>
              <w:t>建成1个林则徐禁毒教育基地并投入使用得满分，建成未投入使用得1分，未建成不得分。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899" w:type="dxa"/>
            <w:vMerge w:val="continue"/>
            <w:vAlign w:val="center"/>
          </w:tcPr>
          <w:p>
            <w:pPr>
              <w:jc w:val="center"/>
              <w:rPr>
                <w:rFonts w:ascii="宋体" w:hAnsi="宋体" w:eastAsia="宋体" w:cs="宋体"/>
                <w:b/>
                <w:bCs/>
                <w:color w:val="000000"/>
                <w:sz w:val="24"/>
                <w:szCs w:val="22"/>
              </w:rPr>
            </w:pPr>
          </w:p>
        </w:tc>
        <w:tc>
          <w:tcPr>
            <w:tcW w:w="1181" w:type="dxa"/>
            <w:vMerge w:val="continue"/>
            <w:vAlign w:val="center"/>
          </w:tcPr>
          <w:p>
            <w:pPr>
              <w:widowControl/>
              <w:snapToGrid w:val="0"/>
              <w:jc w:val="center"/>
              <w:rPr>
                <w:rFonts w:ascii="宋体" w:hAnsi="宋体" w:eastAsia="宋体" w:cs="宋体"/>
                <w:spacing w:val="8"/>
                <w:szCs w:val="21"/>
                <w:shd w:val="clear" w:color="auto" w:fill="FFFFFF"/>
              </w:rPr>
            </w:pPr>
          </w:p>
        </w:tc>
        <w:tc>
          <w:tcPr>
            <w:tcW w:w="1258" w:type="dxa"/>
            <w:vAlign w:val="center"/>
          </w:tcPr>
          <w:p>
            <w:pPr>
              <w:widowControl/>
              <w:snapToGrid w:val="0"/>
              <w:jc w:val="center"/>
              <w:rPr>
                <w:rFonts w:ascii="宋体" w:hAnsi="宋体" w:eastAsia="宋体" w:cs="宋体"/>
                <w:spacing w:val="8"/>
                <w:szCs w:val="21"/>
                <w:shd w:val="clear" w:color="auto" w:fill="FFFFFF"/>
              </w:rPr>
            </w:pPr>
            <w:r>
              <w:rPr>
                <w:rFonts w:hint="eastAsia" w:ascii="宋体" w:hAnsi="宋体" w:cs="宋体"/>
              </w:rPr>
              <w:t>补助社区戒毒康复工作站数</w:t>
            </w:r>
            <w:r>
              <w:rPr>
                <w:rFonts w:hint="eastAsia" w:ascii="宋体" w:hAnsi="宋体" w:cs="宋体"/>
                <w:kern w:val="0"/>
                <w:szCs w:val="21"/>
              </w:rPr>
              <w:t>（3分）</w:t>
            </w:r>
          </w:p>
        </w:tc>
        <w:tc>
          <w:tcPr>
            <w:tcW w:w="5564" w:type="dxa"/>
            <w:vAlign w:val="center"/>
          </w:tcPr>
          <w:p>
            <w:pPr>
              <w:widowControl/>
              <w:snapToGrid w:val="0"/>
              <w:rPr>
                <w:rFonts w:ascii="宋体" w:hAnsi="宋体" w:eastAsia="宋体" w:cs="宋体"/>
                <w:spacing w:val="8"/>
                <w:szCs w:val="21"/>
                <w:shd w:val="clear" w:color="auto" w:fill="FFFFFF"/>
              </w:rPr>
            </w:pPr>
            <w:r>
              <w:rPr>
                <w:rFonts w:hint="eastAsia" w:ascii="宋体" w:hAnsi="宋体" w:cs="宋体"/>
                <w:kern w:val="0"/>
                <w:szCs w:val="21"/>
              </w:rPr>
              <w:t>补助社区戒毒康复工作站达到8所得满分，</w:t>
            </w:r>
            <w:r>
              <w:rPr>
                <w:rFonts w:hint="eastAsia" w:ascii="宋体" w:hAnsi="宋体" w:cs="宋体"/>
              </w:rPr>
              <w:t>未达到8个，每少1个扣1分，扣完为止。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899" w:type="dxa"/>
            <w:vMerge w:val="continue"/>
            <w:vAlign w:val="center"/>
          </w:tcPr>
          <w:p>
            <w:pPr>
              <w:jc w:val="center"/>
              <w:rPr>
                <w:rFonts w:ascii="宋体" w:hAnsi="宋体" w:eastAsia="宋体" w:cs="宋体"/>
                <w:b/>
                <w:bCs/>
                <w:color w:val="000000"/>
                <w:sz w:val="24"/>
                <w:szCs w:val="22"/>
              </w:rPr>
            </w:pPr>
          </w:p>
        </w:tc>
        <w:tc>
          <w:tcPr>
            <w:tcW w:w="1181" w:type="dxa"/>
            <w:vMerge w:val="continue"/>
            <w:vAlign w:val="center"/>
          </w:tcPr>
          <w:p>
            <w:pPr>
              <w:widowControl/>
              <w:snapToGrid w:val="0"/>
              <w:jc w:val="center"/>
              <w:rPr>
                <w:rFonts w:ascii="宋体" w:hAnsi="宋体" w:eastAsia="宋体" w:cs="宋体"/>
                <w:spacing w:val="8"/>
                <w:szCs w:val="21"/>
                <w:shd w:val="clear" w:color="auto" w:fill="FFFFFF"/>
              </w:rPr>
            </w:pPr>
          </w:p>
        </w:tc>
        <w:tc>
          <w:tcPr>
            <w:tcW w:w="1258" w:type="dxa"/>
            <w:vAlign w:val="center"/>
          </w:tcPr>
          <w:p>
            <w:pPr>
              <w:widowControl/>
              <w:snapToGrid w:val="0"/>
              <w:jc w:val="center"/>
              <w:rPr>
                <w:rFonts w:ascii="宋体" w:hAnsi="宋体" w:cs="宋体"/>
              </w:rPr>
            </w:pPr>
            <w:r>
              <w:rPr>
                <w:rFonts w:hint="eastAsia" w:ascii="宋体" w:hAnsi="宋体" w:cs="宋体"/>
              </w:rPr>
              <w:t>设立大型宣传广告牌数</w:t>
            </w:r>
          </w:p>
          <w:p>
            <w:pPr>
              <w:widowControl/>
              <w:snapToGrid w:val="0"/>
              <w:jc w:val="center"/>
              <w:rPr>
                <w:rFonts w:ascii="宋体" w:hAnsi="宋体" w:eastAsia="宋体" w:cs="宋体"/>
                <w:spacing w:val="8"/>
                <w:szCs w:val="21"/>
                <w:shd w:val="clear" w:color="auto" w:fill="FFFFFF"/>
              </w:rPr>
            </w:pPr>
            <w:r>
              <w:rPr>
                <w:rFonts w:hint="eastAsia" w:ascii="宋体" w:hAnsi="宋体" w:cs="宋体"/>
              </w:rPr>
              <w:t>（3分</w:t>
            </w:r>
            <w:r>
              <w:rPr>
                <w:rFonts w:hint="eastAsia" w:ascii="宋体" w:hAnsi="宋体" w:cs="宋体"/>
                <w:kern w:val="0"/>
                <w:szCs w:val="21"/>
              </w:rPr>
              <w:t>）</w:t>
            </w:r>
          </w:p>
        </w:tc>
        <w:tc>
          <w:tcPr>
            <w:tcW w:w="5564" w:type="dxa"/>
            <w:vAlign w:val="center"/>
          </w:tcPr>
          <w:p>
            <w:pPr>
              <w:widowControl/>
              <w:snapToGrid w:val="0"/>
              <w:rPr>
                <w:rFonts w:ascii="宋体" w:hAnsi="宋体" w:eastAsia="宋体" w:cs="宋体"/>
                <w:spacing w:val="8"/>
                <w:szCs w:val="21"/>
                <w:shd w:val="clear" w:color="auto" w:fill="FFFFFF"/>
              </w:rPr>
            </w:pPr>
            <w:r>
              <w:rPr>
                <w:rFonts w:hint="eastAsia" w:ascii="宋体" w:hAnsi="宋体" w:cs="宋体"/>
              </w:rPr>
              <w:t>大型宣传广告牌数设置10处得满分，未达到10个，每少1个扣1分，扣完为止。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899" w:type="dxa"/>
            <w:vMerge w:val="continue"/>
          </w:tcPr>
          <w:p>
            <w:pPr>
              <w:jc w:val="center"/>
              <w:rPr>
                <w:rFonts w:ascii="宋体" w:hAnsi="宋体" w:eastAsia="宋体" w:cs="宋体"/>
                <w:b/>
                <w:bCs/>
                <w:color w:val="000000"/>
                <w:sz w:val="24"/>
                <w:szCs w:val="22"/>
              </w:rPr>
            </w:pPr>
          </w:p>
        </w:tc>
        <w:tc>
          <w:tcPr>
            <w:tcW w:w="1181" w:type="dxa"/>
            <w:vMerge w:val="restart"/>
            <w:vAlign w:val="center"/>
          </w:tcPr>
          <w:p>
            <w:pPr>
              <w:widowControl/>
              <w:snapToGrid w:val="0"/>
              <w:jc w:val="center"/>
              <w:rPr>
                <w:rFonts w:asciiTheme="minorEastAsia" w:hAnsiTheme="minorEastAsia" w:cstheme="minorEastAsia"/>
                <w:kern w:val="0"/>
                <w:szCs w:val="21"/>
              </w:rPr>
            </w:pPr>
            <w:r>
              <w:rPr>
                <w:rFonts w:hint="eastAsia" w:ascii="宋体" w:hAnsi="宋体"/>
              </w:rPr>
              <w:t>产出质量</w:t>
            </w:r>
          </w:p>
          <w:p>
            <w:pPr>
              <w:widowControl/>
              <w:snapToGrid w:val="0"/>
              <w:jc w:val="center"/>
              <w:rPr>
                <w:rFonts w:ascii="宋体" w:hAnsi="宋体" w:eastAsia="宋体" w:cs="宋体"/>
                <w:spacing w:val="8"/>
                <w:szCs w:val="21"/>
                <w:shd w:val="clear" w:color="auto" w:fill="FFFFFF"/>
              </w:rPr>
            </w:pPr>
            <w:r>
              <w:rPr>
                <w:rFonts w:hint="eastAsia" w:asciiTheme="minorEastAsia" w:hAnsiTheme="minorEastAsia" w:cstheme="minorEastAsia"/>
                <w:kern w:val="0"/>
                <w:szCs w:val="21"/>
              </w:rPr>
              <w:t>（8分）</w:t>
            </w:r>
          </w:p>
        </w:tc>
        <w:tc>
          <w:tcPr>
            <w:tcW w:w="1258" w:type="dxa"/>
            <w:vAlign w:val="center"/>
          </w:tcPr>
          <w:p>
            <w:pPr>
              <w:widowControl/>
              <w:snapToGrid w:val="0"/>
              <w:jc w:val="center"/>
              <w:rPr>
                <w:rFonts w:ascii="宋体" w:hAnsi="宋体" w:eastAsia="宋体" w:cs="宋体"/>
                <w:spacing w:val="8"/>
                <w:szCs w:val="21"/>
                <w:shd w:val="clear" w:color="auto" w:fill="FFFFFF"/>
              </w:rPr>
            </w:pPr>
            <w:r>
              <w:rPr>
                <w:rFonts w:hint="eastAsia" w:ascii="宋体" w:hAnsi="宋体" w:cs="宋体"/>
                <w:kern w:val="0"/>
                <w:szCs w:val="21"/>
              </w:rPr>
              <w:t>在册吸毒人员复吸率</w:t>
            </w:r>
            <w:r>
              <w:rPr>
                <w:rFonts w:hint="eastAsia" w:ascii="宋体" w:hAnsi="宋体" w:cs="宋体"/>
              </w:rPr>
              <w:t>（3分</w:t>
            </w:r>
            <w:r>
              <w:rPr>
                <w:rFonts w:hint="eastAsia" w:ascii="宋体" w:hAnsi="宋体" w:cs="宋体"/>
                <w:kern w:val="0"/>
                <w:szCs w:val="21"/>
              </w:rPr>
              <w:t>）</w:t>
            </w:r>
          </w:p>
        </w:tc>
        <w:tc>
          <w:tcPr>
            <w:tcW w:w="5564" w:type="dxa"/>
            <w:vAlign w:val="center"/>
          </w:tcPr>
          <w:p>
            <w:pPr>
              <w:widowControl/>
              <w:snapToGrid w:val="0"/>
              <w:rPr>
                <w:rFonts w:ascii="宋体" w:hAnsi="宋体" w:eastAsia="宋体" w:cs="宋体"/>
                <w:b/>
                <w:bCs/>
                <w:color w:val="000000"/>
                <w:sz w:val="24"/>
                <w:szCs w:val="22"/>
              </w:rPr>
            </w:pPr>
            <w:r>
              <w:rPr>
                <w:rFonts w:hint="eastAsia" w:ascii="宋体" w:hAnsi="宋体" w:cs="宋体"/>
                <w:kern w:val="0"/>
                <w:szCs w:val="21"/>
              </w:rPr>
              <w:t>在册吸毒人员复吸率</w:t>
            </w:r>
            <w:r>
              <w:rPr>
                <w:rFonts w:hint="eastAsia" w:ascii="宋体" w:hAnsi="宋体" w:cs="宋体"/>
                <w:kern w:val="0"/>
                <w:szCs w:val="21"/>
                <w:lang w:val="en-US" w:eastAsia="zh-CN"/>
              </w:rPr>
              <w:t>=查获有吸毒史人数/在册吸毒人员数，</w:t>
            </w:r>
            <w:r>
              <w:rPr>
                <w:rFonts w:hint="eastAsia" w:ascii="宋体" w:hAnsi="宋体" w:cs="宋体"/>
                <w:kern w:val="0"/>
                <w:szCs w:val="21"/>
              </w:rPr>
              <w:t>在册吸毒人员复吸率</w:t>
            </w:r>
            <w:r>
              <w:rPr>
                <w:rFonts w:hint="eastAsia" w:ascii="宋体" w:hAnsi="宋体" w:cs="宋体"/>
                <w:kern w:val="0"/>
                <w:szCs w:val="21"/>
                <w:lang w:val="en-US" w:eastAsia="zh-CN"/>
              </w:rPr>
              <w:t>较上年持平或增加不得分，较上年</w:t>
            </w:r>
            <w:r>
              <w:rPr>
                <w:rFonts w:hint="eastAsia" w:ascii="宋体" w:hAnsi="宋体" w:cs="宋体"/>
                <w:kern w:val="0"/>
                <w:szCs w:val="21"/>
              </w:rPr>
              <w:t>每</w:t>
            </w:r>
            <w:r>
              <w:rPr>
                <w:rFonts w:hint="eastAsia" w:ascii="宋体" w:hAnsi="宋体" w:cs="宋体"/>
                <w:kern w:val="0"/>
                <w:szCs w:val="21"/>
                <w:lang w:val="en-US" w:eastAsia="zh-CN"/>
              </w:rPr>
              <w:t>减少5</w:t>
            </w:r>
            <w:r>
              <w:rPr>
                <w:rFonts w:hint="eastAsia" w:ascii="宋体" w:hAnsi="宋体" w:cs="宋体"/>
                <w:kern w:val="0"/>
                <w:szCs w:val="21"/>
              </w:rPr>
              <w:t>个百分点</w:t>
            </w:r>
            <w:r>
              <w:rPr>
                <w:rFonts w:hint="eastAsia" w:ascii="宋体" w:hAnsi="宋体" w:cs="宋体"/>
                <w:kern w:val="0"/>
                <w:szCs w:val="21"/>
                <w:lang w:val="en-US" w:eastAsia="zh-CN"/>
              </w:rPr>
              <w:t>得</w:t>
            </w:r>
            <w:r>
              <w:rPr>
                <w:rFonts w:hint="eastAsia" w:ascii="宋体" w:hAnsi="宋体" w:cs="宋体"/>
                <w:kern w:val="0"/>
                <w:szCs w:val="21"/>
              </w:rPr>
              <w:t>1分，</w:t>
            </w:r>
            <w:r>
              <w:rPr>
                <w:rFonts w:hint="eastAsia" w:ascii="宋体" w:hAnsi="宋体" w:cs="宋体"/>
                <w:kern w:val="0"/>
                <w:szCs w:val="21"/>
                <w:lang w:val="en-US" w:eastAsia="zh-CN"/>
              </w:rPr>
              <w:t>得分为1分</w:t>
            </w:r>
            <w:r>
              <w:rPr>
                <w:rFonts w:hint="eastAsia" w:ascii="宋体" w:hAnsi="宋体" w:cs="宋体"/>
                <w:kern w:val="0"/>
                <w:szCs w:val="21"/>
              </w:rPr>
              <w:t>×</w:t>
            </w:r>
            <w:r>
              <w:rPr>
                <w:rFonts w:hint="eastAsia" w:ascii="宋体" w:hAnsi="宋体" w:cs="宋体"/>
                <w:kern w:val="0"/>
                <w:szCs w:val="21"/>
                <w:lang w:eastAsia="zh-CN"/>
              </w:rPr>
              <w:t>（</w:t>
            </w:r>
            <w:r>
              <w:rPr>
                <w:rFonts w:hint="eastAsia" w:ascii="宋体" w:hAnsi="宋体" w:cs="宋体"/>
                <w:kern w:val="0"/>
                <w:szCs w:val="21"/>
                <w:lang w:val="en-US" w:eastAsia="zh-CN"/>
              </w:rPr>
              <w:t>减少的百分比/5%</w:t>
            </w:r>
            <w:r>
              <w:rPr>
                <w:rFonts w:hint="eastAsia" w:ascii="宋体" w:hAnsi="宋体" w:cs="宋体"/>
                <w:kern w:val="0"/>
                <w:szCs w:val="21"/>
                <w:lang w:eastAsia="zh-CN"/>
              </w:rPr>
              <w:t>），</w:t>
            </w:r>
            <w:r>
              <w:rPr>
                <w:rFonts w:hint="eastAsia" w:ascii="宋体" w:hAnsi="宋体" w:cs="宋体"/>
                <w:kern w:val="0"/>
                <w:szCs w:val="21"/>
                <w:lang w:val="en-US" w:eastAsia="zh-CN"/>
              </w:rPr>
              <w:t>满分3分</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899" w:type="dxa"/>
            <w:vMerge w:val="continue"/>
          </w:tcPr>
          <w:p>
            <w:pPr>
              <w:jc w:val="center"/>
              <w:rPr>
                <w:rFonts w:ascii="宋体" w:hAnsi="宋体" w:eastAsia="宋体" w:cs="宋体"/>
                <w:b/>
                <w:bCs/>
                <w:color w:val="000000"/>
                <w:sz w:val="24"/>
                <w:szCs w:val="22"/>
              </w:rPr>
            </w:pPr>
          </w:p>
        </w:tc>
        <w:tc>
          <w:tcPr>
            <w:tcW w:w="1181" w:type="dxa"/>
            <w:vMerge w:val="continue"/>
            <w:vAlign w:val="center"/>
          </w:tcPr>
          <w:p>
            <w:pPr>
              <w:widowControl/>
              <w:snapToGrid w:val="0"/>
              <w:jc w:val="center"/>
              <w:rPr>
                <w:rFonts w:ascii="宋体" w:hAnsi="宋体" w:eastAsia="宋体" w:cs="宋体"/>
                <w:spacing w:val="8"/>
                <w:szCs w:val="21"/>
                <w:shd w:val="clear" w:color="auto" w:fill="FFFFFF"/>
              </w:rPr>
            </w:pPr>
          </w:p>
        </w:tc>
        <w:tc>
          <w:tcPr>
            <w:tcW w:w="1258" w:type="dxa"/>
            <w:vAlign w:val="center"/>
          </w:tcPr>
          <w:p>
            <w:pPr>
              <w:widowControl/>
              <w:snapToGrid w:val="0"/>
              <w:jc w:val="center"/>
              <w:rPr>
                <w:rFonts w:ascii="宋体" w:hAnsi="宋体" w:eastAsia="宋体" w:cs="宋体"/>
                <w:spacing w:val="8"/>
                <w:szCs w:val="21"/>
                <w:shd w:val="clear" w:color="auto" w:fill="FFFFFF"/>
              </w:rPr>
            </w:pPr>
            <w:r>
              <w:rPr>
                <w:rFonts w:hint="eastAsia" w:ascii="宋体" w:hAnsi="宋体" w:cs="宋体"/>
                <w:kern w:val="0"/>
                <w:szCs w:val="21"/>
              </w:rPr>
              <w:t>禁毒工作制度落实情况</w:t>
            </w:r>
            <w:r>
              <w:rPr>
                <w:rFonts w:hint="eastAsia" w:ascii="宋体" w:hAnsi="宋体" w:cs="宋体"/>
              </w:rPr>
              <w:t>（5分</w:t>
            </w:r>
            <w:r>
              <w:rPr>
                <w:rFonts w:hint="eastAsia" w:ascii="宋体" w:hAnsi="宋体" w:cs="宋体"/>
                <w:kern w:val="0"/>
                <w:szCs w:val="21"/>
              </w:rPr>
              <w:t>）</w:t>
            </w:r>
          </w:p>
        </w:tc>
        <w:tc>
          <w:tcPr>
            <w:tcW w:w="5564" w:type="dxa"/>
            <w:vAlign w:val="center"/>
          </w:tcPr>
          <w:p>
            <w:pPr>
              <w:widowControl/>
              <w:snapToGrid w:val="0"/>
              <w:rPr>
                <w:rFonts w:ascii="宋体" w:hAnsi="宋体" w:eastAsia="宋体" w:cs="宋体"/>
                <w:b/>
                <w:bCs/>
                <w:color w:val="000000"/>
                <w:sz w:val="24"/>
                <w:szCs w:val="22"/>
              </w:rPr>
            </w:pPr>
            <w:r>
              <w:rPr>
                <w:rFonts w:hint="eastAsia" w:ascii="宋体" w:hAnsi="宋体" w:cs="宋体"/>
                <w:kern w:val="0"/>
                <w:szCs w:val="21"/>
              </w:rPr>
              <w:t>1家单位未完成禁毒任务扣0.5分，扣完为止。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899" w:type="dxa"/>
            <w:vMerge w:val="restart"/>
            <w:vAlign w:val="center"/>
          </w:tcPr>
          <w:p>
            <w:pPr>
              <w:jc w:val="center"/>
              <w:rPr>
                <w:rFonts w:ascii="宋体" w:hAnsi="宋体" w:eastAsia="宋体" w:cs="宋体"/>
                <w:b/>
                <w:bCs/>
                <w:color w:val="000000"/>
                <w:sz w:val="24"/>
                <w:szCs w:val="22"/>
              </w:rPr>
            </w:pPr>
            <w:r>
              <w:rPr>
                <w:rFonts w:hint="eastAsia" w:ascii="宋体" w:hAnsi="宋体" w:eastAsia="宋体" w:cs="宋体"/>
                <w:b/>
                <w:bCs/>
                <w:color w:val="000000"/>
                <w:sz w:val="24"/>
                <w:szCs w:val="22"/>
              </w:rPr>
              <w:t>效益</w:t>
            </w:r>
          </w:p>
          <w:p>
            <w:pPr>
              <w:jc w:val="center"/>
              <w:rPr>
                <w:rFonts w:ascii="宋体" w:hAnsi="宋体" w:eastAsia="宋体" w:cs="宋体"/>
                <w:b/>
                <w:bCs/>
                <w:color w:val="000000"/>
                <w:sz w:val="24"/>
                <w:szCs w:val="22"/>
              </w:rPr>
            </w:pPr>
            <w:r>
              <w:rPr>
                <w:rFonts w:hint="eastAsia" w:ascii="宋体" w:hAnsi="宋体" w:eastAsia="宋体" w:cs="宋体"/>
                <w:b/>
                <w:bCs/>
                <w:color w:val="000000"/>
                <w:sz w:val="24"/>
                <w:szCs w:val="22"/>
              </w:rPr>
              <w:t>（45分）</w:t>
            </w:r>
          </w:p>
        </w:tc>
        <w:tc>
          <w:tcPr>
            <w:tcW w:w="1181" w:type="dxa"/>
            <w:vMerge w:val="restart"/>
            <w:vAlign w:val="center"/>
          </w:tcPr>
          <w:p>
            <w:pPr>
              <w:widowControl/>
              <w:snapToGrid w:val="0"/>
              <w:jc w:val="center"/>
              <w:rPr>
                <w:rFonts w:ascii="宋体" w:hAnsi="宋体" w:eastAsia="宋体" w:cs="宋体"/>
                <w:spacing w:val="8"/>
                <w:szCs w:val="21"/>
                <w:shd w:val="clear" w:color="auto" w:fill="FFFFFF"/>
              </w:rPr>
            </w:pPr>
            <w:r>
              <w:rPr>
                <w:rFonts w:hint="eastAsia" w:asciiTheme="minorEastAsia" w:hAnsiTheme="minorEastAsia" w:cstheme="minorEastAsia"/>
                <w:kern w:val="0"/>
                <w:szCs w:val="21"/>
              </w:rPr>
              <w:t>社会效益</w:t>
            </w:r>
            <w:r>
              <w:rPr>
                <w:rFonts w:hint="eastAsia" w:ascii="宋体" w:hAnsi="宋体" w:cs="宋体"/>
                <w:kern w:val="0"/>
                <w:szCs w:val="21"/>
              </w:rPr>
              <w:t>（18分）</w:t>
            </w:r>
          </w:p>
        </w:tc>
        <w:tc>
          <w:tcPr>
            <w:tcW w:w="1258" w:type="dxa"/>
            <w:vAlign w:val="center"/>
          </w:tcPr>
          <w:p>
            <w:pPr>
              <w:widowControl/>
              <w:snapToGrid w:val="0"/>
              <w:jc w:val="center"/>
              <w:rPr>
                <w:rFonts w:ascii="宋体" w:hAnsi="宋体" w:cs="宋体"/>
                <w:kern w:val="0"/>
                <w:szCs w:val="21"/>
              </w:rPr>
            </w:pPr>
            <w:r>
              <w:rPr>
                <w:rFonts w:hint="eastAsia" w:ascii="宋体" w:hAnsi="宋体" w:cs="宋体"/>
                <w:kern w:val="0"/>
                <w:szCs w:val="21"/>
              </w:rPr>
              <w:t>宣传报道在媒体发布情况</w:t>
            </w:r>
          </w:p>
          <w:p>
            <w:pPr>
              <w:widowControl/>
              <w:snapToGrid w:val="0"/>
              <w:jc w:val="center"/>
              <w:rPr>
                <w:rFonts w:ascii="宋体" w:hAnsi="宋体" w:eastAsia="宋体" w:cs="宋体"/>
                <w:spacing w:val="8"/>
                <w:szCs w:val="21"/>
                <w:shd w:val="clear" w:color="auto" w:fill="FFFFFF"/>
              </w:rPr>
            </w:pPr>
            <w:r>
              <w:rPr>
                <w:rFonts w:hint="eastAsia" w:ascii="宋体" w:hAnsi="宋体" w:cs="宋体"/>
              </w:rPr>
              <w:t>（5分</w:t>
            </w:r>
            <w:r>
              <w:rPr>
                <w:rFonts w:hint="eastAsia" w:ascii="宋体" w:hAnsi="宋体" w:cs="宋体"/>
                <w:kern w:val="0"/>
                <w:szCs w:val="21"/>
              </w:rPr>
              <w:t>）</w:t>
            </w:r>
          </w:p>
        </w:tc>
        <w:tc>
          <w:tcPr>
            <w:tcW w:w="5564" w:type="dxa"/>
            <w:vAlign w:val="center"/>
          </w:tcPr>
          <w:p>
            <w:pPr>
              <w:rPr>
                <w:rFonts w:ascii="宋体" w:hAnsi="宋体" w:eastAsia="宋体" w:cs="宋体"/>
                <w:b/>
                <w:bCs/>
                <w:color w:val="000000"/>
                <w:sz w:val="24"/>
                <w:szCs w:val="22"/>
              </w:rPr>
            </w:pPr>
            <w:r>
              <w:rPr>
                <w:rFonts w:hint="eastAsia" w:ascii="宋体" w:hAnsi="宋体" w:cs="宋体"/>
                <w:kern w:val="0"/>
                <w:szCs w:val="21"/>
              </w:rPr>
              <w:t>宣传报道在省级媒体平台发布1篇0.5分，在国家级媒体平台发布1篇得1分，满分5分。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899" w:type="dxa"/>
            <w:vMerge w:val="continue"/>
          </w:tcPr>
          <w:p>
            <w:pPr>
              <w:jc w:val="center"/>
              <w:rPr>
                <w:rFonts w:ascii="宋体" w:hAnsi="宋体" w:eastAsia="宋体" w:cs="宋体"/>
                <w:b/>
                <w:bCs/>
                <w:color w:val="000000"/>
                <w:sz w:val="24"/>
                <w:szCs w:val="22"/>
              </w:rPr>
            </w:pPr>
          </w:p>
        </w:tc>
        <w:tc>
          <w:tcPr>
            <w:tcW w:w="1181" w:type="dxa"/>
            <w:vMerge w:val="continue"/>
            <w:vAlign w:val="center"/>
          </w:tcPr>
          <w:p>
            <w:pPr>
              <w:widowControl/>
              <w:snapToGrid w:val="0"/>
              <w:rPr>
                <w:rFonts w:ascii="宋体" w:hAnsi="宋体" w:eastAsia="宋体" w:cs="宋体"/>
                <w:spacing w:val="8"/>
                <w:szCs w:val="21"/>
                <w:shd w:val="clear" w:color="auto" w:fill="FFFFFF"/>
              </w:rPr>
            </w:pPr>
          </w:p>
        </w:tc>
        <w:tc>
          <w:tcPr>
            <w:tcW w:w="1258" w:type="dxa"/>
            <w:vAlign w:val="center"/>
          </w:tcPr>
          <w:p>
            <w:pPr>
              <w:widowControl/>
              <w:snapToGrid w:val="0"/>
              <w:jc w:val="center"/>
              <w:rPr>
                <w:rFonts w:ascii="宋体" w:hAnsi="宋体" w:cs="宋体"/>
              </w:rPr>
            </w:pPr>
            <w:r>
              <w:rPr>
                <w:rFonts w:hint="eastAsia" w:ascii="宋体" w:hAnsi="宋体" w:cs="宋体"/>
              </w:rPr>
              <w:t>青少年</w:t>
            </w:r>
          </w:p>
          <w:p>
            <w:pPr>
              <w:widowControl/>
              <w:snapToGrid w:val="0"/>
              <w:jc w:val="center"/>
              <w:rPr>
                <w:rFonts w:ascii="宋体" w:hAnsi="宋体" w:cs="宋体"/>
              </w:rPr>
            </w:pPr>
            <w:r>
              <w:rPr>
                <w:rFonts w:hint="eastAsia" w:ascii="宋体" w:hAnsi="宋体" w:cs="宋体"/>
              </w:rPr>
              <w:t>接受禁毒</w:t>
            </w:r>
          </w:p>
          <w:p>
            <w:pPr>
              <w:widowControl/>
              <w:snapToGrid w:val="0"/>
              <w:jc w:val="center"/>
              <w:rPr>
                <w:rFonts w:ascii="宋体" w:hAnsi="宋体" w:cs="宋体"/>
              </w:rPr>
            </w:pPr>
            <w:r>
              <w:rPr>
                <w:rFonts w:hint="eastAsia" w:ascii="宋体" w:hAnsi="宋体" w:cs="宋体"/>
              </w:rPr>
              <w:t>教育课时</w:t>
            </w:r>
          </w:p>
          <w:p>
            <w:pPr>
              <w:widowControl/>
              <w:snapToGrid w:val="0"/>
              <w:jc w:val="center"/>
              <w:rPr>
                <w:rFonts w:ascii="宋体" w:hAnsi="宋体" w:eastAsia="宋体" w:cs="宋体"/>
                <w:spacing w:val="8"/>
                <w:szCs w:val="21"/>
                <w:shd w:val="clear" w:color="auto" w:fill="FFFFFF"/>
              </w:rPr>
            </w:pPr>
            <w:r>
              <w:rPr>
                <w:rFonts w:hint="eastAsia" w:ascii="宋体" w:hAnsi="宋体" w:cs="宋体"/>
              </w:rPr>
              <w:t>（4分</w:t>
            </w:r>
            <w:r>
              <w:rPr>
                <w:rFonts w:hint="eastAsia" w:ascii="宋体" w:hAnsi="宋体" w:cs="宋体"/>
                <w:kern w:val="0"/>
                <w:szCs w:val="21"/>
              </w:rPr>
              <w:t>）</w:t>
            </w:r>
          </w:p>
        </w:tc>
        <w:tc>
          <w:tcPr>
            <w:tcW w:w="5564" w:type="dxa"/>
            <w:vAlign w:val="center"/>
          </w:tcPr>
          <w:p>
            <w:pPr>
              <w:rPr>
                <w:rFonts w:ascii="宋体" w:hAnsi="宋体" w:eastAsia="宋体" w:cs="宋体"/>
                <w:spacing w:val="8"/>
                <w:szCs w:val="21"/>
                <w:shd w:val="clear" w:color="auto" w:fill="FFFFFF"/>
              </w:rPr>
            </w:pPr>
            <w:r>
              <w:rPr>
                <w:rFonts w:hint="eastAsia" w:ascii="宋体" w:hAnsi="宋体" w:cs="宋体"/>
              </w:rPr>
              <w:t>每学年达到2课时得满分，每减少</w:t>
            </w:r>
            <w:r>
              <w:rPr>
                <w:rFonts w:hint="eastAsia" w:ascii="宋体" w:hAnsi="宋体" w:cs="宋体"/>
                <w:kern w:val="0"/>
                <w:szCs w:val="21"/>
              </w:rPr>
              <w:t>1个课时扣2分。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899" w:type="dxa"/>
            <w:vMerge w:val="continue"/>
          </w:tcPr>
          <w:p>
            <w:pPr>
              <w:jc w:val="center"/>
              <w:rPr>
                <w:rFonts w:ascii="宋体" w:hAnsi="宋体" w:eastAsia="宋体" w:cs="宋体"/>
                <w:b/>
                <w:bCs/>
                <w:color w:val="000000"/>
                <w:sz w:val="24"/>
                <w:szCs w:val="22"/>
              </w:rPr>
            </w:pPr>
          </w:p>
        </w:tc>
        <w:tc>
          <w:tcPr>
            <w:tcW w:w="1181" w:type="dxa"/>
            <w:vMerge w:val="continue"/>
            <w:vAlign w:val="center"/>
          </w:tcPr>
          <w:p>
            <w:pPr>
              <w:widowControl/>
              <w:snapToGrid w:val="0"/>
              <w:rPr>
                <w:rFonts w:ascii="宋体" w:hAnsi="宋体" w:eastAsia="宋体" w:cs="宋体"/>
                <w:spacing w:val="8"/>
                <w:szCs w:val="21"/>
                <w:shd w:val="clear" w:color="auto" w:fill="FFFFFF"/>
              </w:rPr>
            </w:pPr>
          </w:p>
        </w:tc>
        <w:tc>
          <w:tcPr>
            <w:tcW w:w="1258" w:type="dxa"/>
            <w:vAlign w:val="center"/>
          </w:tcPr>
          <w:p>
            <w:pPr>
              <w:widowControl/>
              <w:snapToGrid w:val="0"/>
              <w:jc w:val="center"/>
              <w:rPr>
                <w:rFonts w:ascii="宋体" w:hAnsi="宋体" w:cs="宋体"/>
              </w:rPr>
            </w:pPr>
            <w:r>
              <w:rPr>
                <w:rFonts w:hint="eastAsia" w:ascii="宋体" w:hAnsi="宋体" w:cs="宋体"/>
              </w:rPr>
              <w:t>宣传形式多样化</w:t>
            </w:r>
          </w:p>
          <w:p>
            <w:pPr>
              <w:widowControl/>
              <w:snapToGrid w:val="0"/>
              <w:jc w:val="center"/>
              <w:rPr>
                <w:rFonts w:ascii="宋体" w:hAnsi="宋体" w:eastAsia="宋体" w:cs="宋体"/>
                <w:spacing w:val="8"/>
                <w:szCs w:val="21"/>
                <w:shd w:val="clear" w:color="auto" w:fill="FFFFFF"/>
              </w:rPr>
            </w:pPr>
            <w:r>
              <w:rPr>
                <w:rFonts w:hint="eastAsia" w:ascii="宋体" w:hAnsi="宋体" w:cs="宋体"/>
              </w:rPr>
              <w:t>（5分</w:t>
            </w:r>
            <w:r>
              <w:rPr>
                <w:rFonts w:hint="eastAsia" w:ascii="宋体" w:hAnsi="宋体" w:cs="宋体"/>
                <w:kern w:val="0"/>
                <w:szCs w:val="21"/>
              </w:rPr>
              <w:t>）</w:t>
            </w:r>
          </w:p>
        </w:tc>
        <w:tc>
          <w:tcPr>
            <w:tcW w:w="5564" w:type="dxa"/>
            <w:vAlign w:val="center"/>
          </w:tcPr>
          <w:p>
            <w:pPr>
              <w:rPr>
                <w:rFonts w:ascii="宋体" w:hAnsi="宋体" w:eastAsia="宋体" w:cs="宋体"/>
                <w:spacing w:val="8"/>
                <w:szCs w:val="21"/>
                <w:shd w:val="clear" w:color="auto" w:fill="FFFFFF"/>
              </w:rPr>
            </w:pPr>
            <w:r>
              <w:rPr>
                <w:rFonts w:hint="eastAsia" w:ascii="宋体" w:hAnsi="宋体" w:cs="宋体"/>
              </w:rPr>
              <w:t>宣传形式达到5种以上得满分，每减少</w:t>
            </w:r>
            <w:r>
              <w:rPr>
                <w:rFonts w:hint="eastAsia" w:ascii="宋体" w:hAnsi="宋体" w:cs="宋体"/>
                <w:kern w:val="0"/>
                <w:szCs w:val="21"/>
              </w:rPr>
              <w:t>1种扣1分。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899" w:type="dxa"/>
            <w:vMerge w:val="continue"/>
          </w:tcPr>
          <w:p>
            <w:pPr>
              <w:jc w:val="center"/>
              <w:rPr>
                <w:rFonts w:ascii="宋体" w:hAnsi="宋体" w:eastAsia="宋体" w:cs="宋体"/>
                <w:b/>
                <w:bCs/>
                <w:color w:val="000000"/>
                <w:sz w:val="24"/>
                <w:szCs w:val="22"/>
              </w:rPr>
            </w:pPr>
          </w:p>
        </w:tc>
        <w:tc>
          <w:tcPr>
            <w:tcW w:w="1181" w:type="dxa"/>
            <w:vMerge w:val="continue"/>
            <w:vAlign w:val="center"/>
          </w:tcPr>
          <w:p>
            <w:pPr>
              <w:widowControl/>
              <w:snapToGrid w:val="0"/>
              <w:rPr>
                <w:rFonts w:ascii="宋体" w:hAnsi="宋体" w:eastAsia="宋体" w:cs="宋体"/>
                <w:spacing w:val="8"/>
                <w:szCs w:val="21"/>
                <w:shd w:val="clear" w:color="auto" w:fill="FFFFFF"/>
              </w:rPr>
            </w:pPr>
          </w:p>
        </w:tc>
        <w:tc>
          <w:tcPr>
            <w:tcW w:w="1258" w:type="dxa"/>
            <w:vAlign w:val="center"/>
          </w:tcPr>
          <w:p>
            <w:pPr>
              <w:widowControl/>
              <w:snapToGrid w:val="0"/>
              <w:jc w:val="center"/>
              <w:rPr>
                <w:rFonts w:ascii="宋体" w:hAnsi="宋体" w:cs="宋体"/>
                <w:kern w:val="0"/>
                <w:szCs w:val="21"/>
              </w:rPr>
            </w:pPr>
            <w:r>
              <w:rPr>
                <w:rFonts w:hint="eastAsia" w:ascii="宋体" w:hAnsi="宋体" w:cs="宋体"/>
                <w:kern w:val="0"/>
                <w:szCs w:val="21"/>
              </w:rPr>
              <w:t>新四进</w:t>
            </w:r>
          </w:p>
          <w:p>
            <w:pPr>
              <w:widowControl/>
              <w:snapToGrid w:val="0"/>
              <w:jc w:val="center"/>
              <w:rPr>
                <w:rFonts w:ascii="宋体" w:hAnsi="宋体" w:cs="宋体"/>
                <w:kern w:val="0"/>
                <w:szCs w:val="21"/>
              </w:rPr>
            </w:pPr>
            <w:r>
              <w:rPr>
                <w:rFonts w:hint="eastAsia" w:ascii="宋体" w:hAnsi="宋体" w:cs="宋体"/>
                <w:kern w:val="0"/>
                <w:szCs w:val="21"/>
              </w:rPr>
              <w:t>全覆盖</w:t>
            </w:r>
          </w:p>
          <w:p>
            <w:pPr>
              <w:widowControl/>
              <w:snapToGrid w:val="0"/>
              <w:jc w:val="center"/>
              <w:rPr>
                <w:rFonts w:ascii="宋体" w:hAnsi="宋体" w:eastAsia="宋体" w:cs="宋体"/>
                <w:spacing w:val="8"/>
                <w:szCs w:val="21"/>
                <w:shd w:val="clear" w:color="auto" w:fill="FFFFFF"/>
              </w:rPr>
            </w:pPr>
            <w:r>
              <w:rPr>
                <w:rFonts w:hint="eastAsia" w:ascii="宋体" w:hAnsi="宋体" w:cs="宋体"/>
              </w:rPr>
              <w:t>（4分</w:t>
            </w:r>
            <w:r>
              <w:rPr>
                <w:rFonts w:hint="eastAsia" w:ascii="宋体" w:hAnsi="宋体" w:cs="宋体"/>
                <w:kern w:val="0"/>
                <w:szCs w:val="21"/>
              </w:rPr>
              <w:t>）</w:t>
            </w:r>
          </w:p>
        </w:tc>
        <w:tc>
          <w:tcPr>
            <w:tcW w:w="5564" w:type="dxa"/>
            <w:vAlign w:val="center"/>
          </w:tcPr>
          <w:p>
            <w:pPr>
              <w:rPr>
                <w:rFonts w:ascii="宋体" w:hAnsi="宋体" w:eastAsia="宋体" w:cs="宋体"/>
                <w:spacing w:val="8"/>
                <w:szCs w:val="21"/>
                <w:shd w:val="clear" w:color="auto" w:fill="FFFFFF"/>
              </w:rPr>
            </w:pPr>
            <w:r>
              <w:rPr>
                <w:rFonts w:hint="eastAsia" w:ascii="宋体" w:hAnsi="宋体" w:cs="宋体"/>
              </w:rPr>
              <w:t>实现进广场、进景区、进公共文化场所、进高速服务区</w:t>
            </w:r>
            <w:r>
              <w:rPr>
                <w:rFonts w:hint="eastAsia" w:ascii="宋体" w:hAnsi="宋体" w:cs="宋体"/>
                <w:kern w:val="0"/>
                <w:szCs w:val="21"/>
              </w:rPr>
              <w:t>新四进全覆盖得满分，未达到全覆盖，每</w:t>
            </w:r>
            <w:r>
              <w:rPr>
                <w:rFonts w:hint="eastAsia" w:ascii="宋体" w:hAnsi="宋体" w:cs="宋体"/>
              </w:rPr>
              <w:t>少</w:t>
            </w:r>
            <w:r>
              <w:rPr>
                <w:rFonts w:hint="eastAsia" w:ascii="宋体" w:hAnsi="宋体" w:cs="宋体"/>
                <w:kern w:val="0"/>
                <w:szCs w:val="21"/>
              </w:rPr>
              <w:t>1项扣1分。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99" w:type="dxa"/>
            <w:vMerge w:val="continue"/>
          </w:tcPr>
          <w:p>
            <w:pPr>
              <w:jc w:val="center"/>
              <w:rPr>
                <w:rFonts w:ascii="宋体" w:hAnsi="宋体" w:eastAsia="宋体" w:cs="宋体"/>
                <w:b/>
                <w:bCs/>
                <w:color w:val="000000"/>
                <w:sz w:val="24"/>
                <w:szCs w:val="22"/>
              </w:rPr>
            </w:pPr>
          </w:p>
        </w:tc>
        <w:tc>
          <w:tcPr>
            <w:tcW w:w="1181" w:type="dxa"/>
            <w:vMerge w:val="restart"/>
            <w:vAlign w:val="center"/>
          </w:tcPr>
          <w:p>
            <w:pPr>
              <w:widowControl/>
              <w:snapToGrid w:val="0"/>
              <w:jc w:val="center"/>
              <w:rPr>
                <w:rFonts w:asciiTheme="minorEastAsia" w:hAnsiTheme="minorEastAsia" w:cstheme="minorEastAsia"/>
                <w:kern w:val="0"/>
                <w:szCs w:val="21"/>
              </w:rPr>
            </w:pPr>
            <w:r>
              <w:rPr>
                <w:rFonts w:hint="eastAsia" w:asciiTheme="minorEastAsia" w:hAnsiTheme="minorEastAsia" w:cstheme="minorEastAsia"/>
                <w:kern w:val="0"/>
                <w:szCs w:val="21"/>
              </w:rPr>
              <w:t>可持续</w:t>
            </w:r>
          </w:p>
          <w:p>
            <w:pPr>
              <w:widowControl/>
              <w:snapToGrid w:val="0"/>
              <w:jc w:val="center"/>
              <w:rPr>
                <w:rFonts w:asciiTheme="minorEastAsia" w:hAnsiTheme="minorEastAsia" w:cstheme="minorEastAsia"/>
                <w:kern w:val="0"/>
                <w:szCs w:val="21"/>
              </w:rPr>
            </w:pPr>
            <w:r>
              <w:rPr>
                <w:rFonts w:hint="eastAsia" w:asciiTheme="minorEastAsia" w:hAnsiTheme="minorEastAsia" w:cstheme="minorEastAsia"/>
                <w:kern w:val="0"/>
                <w:szCs w:val="21"/>
              </w:rPr>
              <w:t>影响</w:t>
            </w:r>
          </w:p>
          <w:p>
            <w:pPr>
              <w:widowControl/>
              <w:snapToGrid w:val="0"/>
              <w:jc w:val="center"/>
              <w:rPr>
                <w:rFonts w:ascii="宋体" w:hAnsi="宋体" w:eastAsia="宋体" w:cs="宋体"/>
                <w:spacing w:val="8"/>
                <w:szCs w:val="21"/>
                <w:shd w:val="clear" w:color="auto" w:fill="FFFFFF"/>
              </w:rPr>
            </w:pPr>
            <w:r>
              <w:rPr>
                <w:rFonts w:hint="eastAsia" w:asciiTheme="minorEastAsia" w:hAnsiTheme="minorEastAsia" w:cstheme="minorEastAsia"/>
                <w:kern w:val="0"/>
                <w:szCs w:val="21"/>
              </w:rPr>
              <w:t>（15分）</w:t>
            </w:r>
          </w:p>
        </w:tc>
        <w:tc>
          <w:tcPr>
            <w:tcW w:w="1258" w:type="dxa"/>
            <w:vAlign w:val="center"/>
          </w:tcPr>
          <w:p>
            <w:pPr>
              <w:widowControl/>
              <w:snapToGrid w:val="0"/>
              <w:jc w:val="center"/>
              <w:rPr>
                <w:rFonts w:ascii="宋体" w:hAnsi="宋体" w:eastAsia="宋体" w:cs="宋体"/>
                <w:spacing w:val="8"/>
                <w:szCs w:val="21"/>
                <w:shd w:val="clear" w:color="auto" w:fill="FFFFFF"/>
              </w:rPr>
            </w:pPr>
            <w:r>
              <w:rPr>
                <w:rFonts w:hint="eastAsia" w:ascii="宋体" w:hAnsi="宋体" w:cs="宋体"/>
                <w:kern w:val="0"/>
                <w:szCs w:val="21"/>
              </w:rPr>
              <w:t>宣教次数</w:t>
            </w:r>
            <w:r>
              <w:rPr>
                <w:rFonts w:hint="eastAsia" w:ascii="宋体" w:hAnsi="宋体" w:cs="宋体"/>
              </w:rPr>
              <w:t>（5分</w:t>
            </w:r>
            <w:r>
              <w:rPr>
                <w:rFonts w:hint="eastAsia" w:ascii="宋体" w:hAnsi="宋体" w:cs="宋体"/>
                <w:kern w:val="0"/>
                <w:szCs w:val="21"/>
              </w:rPr>
              <w:t>）</w:t>
            </w:r>
          </w:p>
        </w:tc>
        <w:tc>
          <w:tcPr>
            <w:tcW w:w="5564" w:type="dxa"/>
            <w:vAlign w:val="center"/>
          </w:tcPr>
          <w:p>
            <w:pPr>
              <w:rPr>
                <w:rFonts w:ascii="宋体" w:hAnsi="宋体" w:eastAsia="宋体" w:cs="宋体"/>
                <w:spacing w:val="8"/>
                <w:szCs w:val="21"/>
                <w:shd w:val="clear" w:color="auto" w:fill="FFFFFF"/>
              </w:rPr>
            </w:pPr>
            <w:r>
              <w:rPr>
                <w:rFonts w:hint="eastAsia" w:ascii="宋体" w:hAnsi="宋体" w:cs="宋体"/>
                <w:szCs w:val="32"/>
              </w:rPr>
              <w:t>组织宣传教育活动1场</w:t>
            </w:r>
            <w:r>
              <w:rPr>
                <w:rFonts w:hint="eastAsia" w:ascii="宋体" w:hAnsi="宋体" w:cs="宋体"/>
              </w:rPr>
              <w:t>得0.1分，满分5分。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99" w:type="dxa"/>
            <w:vMerge w:val="continue"/>
          </w:tcPr>
          <w:p>
            <w:pPr>
              <w:jc w:val="center"/>
              <w:rPr>
                <w:rFonts w:ascii="宋体" w:hAnsi="宋体" w:eastAsia="宋体" w:cs="宋体"/>
                <w:b/>
                <w:bCs/>
                <w:color w:val="000000"/>
                <w:sz w:val="24"/>
                <w:szCs w:val="22"/>
              </w:rPr>
            </w:pPr>
          </w:p>
        </w:tc>
        <w:tc>
          <w:tcPr>
            <w:tcW w:w="1181" w:type="dxa"/>
            <w:vMerge w:val="continue"/>
            <w:vAlign w:val="center"/>
          </w:tcPr>
          <w:p>
            <w:pPr>
              <w:widowControl/>
              <w:snapToGrid w:val="0"/>
              <w:jc w:val="center"/>
              <w:rPr>
                <w:rFonts w:ascii="宋体" w:hAnsi="宋体" w:eastAsia="宋体" w:cs="宋体"/>
                <w:spacing w:val="8"/>
                <w:szCs w:val="21"/>
                <w:shd w:val="clear" w:color="auto" w:fill="FFFFFF"/>
              </w:rPr>
            </w:pPr>
          </w:p>
        </w:tc>
        <w:tc>
          <w:tcPr>
            <w:tcW w:w="1258" w:type="dxa"/>
            <w:vAlign w:val="center"/>
          </w:tcPr>
          <w:p>
            <w:pPr>
              <w:widowControl/>
              <w:snapToGrid w:val="0"/>
              <w:jc w:val="center"/>
              <w:rPr>
                <w:rFonts w:ascii="宋体" w:hAnsi="宋体" w:cs="宋体"/>
                <w:kern w:val="0"/>
                <w:szCs w:val="21"/>
              </w:rPr>
            </w:pPr>
            <w:r>
              <w:rPr>
                <w:rFonts w:hint="eastAsia" w:ascii="宋体" w:hAnsi="宋体" w:cs="宋体"/>
                <w:kern w:val="0"/>
                <w:szCs w:val="21"/>
              </w:rPr>
              <w:t>宣传</w:t>
            </w:r>
          </w:p>
          <w:p>
            <w:pPr>
              <w:widowControl/>
              <w:snapToGrid w:val="0"/>
              <w:jc w:val="center"/>
              <w:rPr>
                <w:rFonts w:ascii="宋体" w:hAnsi="宋体" w:cs="宋体"/>
                <w:kern w:val="0"/>
                <w:szCs w:val="21"/>
              </w:rPr>
            </w:pPr>
            <w:r>
              <w:rPr>
                <w:rFonts w:hint="eastAsia" w:ascii="宋体" w:hAnsi="宋体" w:cs="宋体"/>
                <w:kern w:val="0"/>
                <w:szCs w:val="21"/>
              </w:rPr>
              <w:t>覆盖率</w:t>
            </w:r>
          </w:p>
          <w:p>
            <w:pPr>
              <w:widowControl/>
              <w:snapToGrid w:val="0"/>
              <w:jc w:val="center"/>
              <w:rPr>
                <w:rFonts w:ascii="宋体" w:hAnsi="宋体" w:eastAsia="宋体" w:cs="宋体"/>
                <w:spacing w:val="8"/>
                <w:szCs w:val="21"/>
                <w:shd w:val="clear" w:color="auto" w:fill="FFFFFF"/>
              </w:rPr>
            </w:pPr>
            <w:r>
              <w:rPr>
                <w:rFonts w:hint="eastAsia" w:ascii="宋体" w:hAnsi="宋体" w:cs="宋体"/>
              </w:rPr>
              <w:t>（5分</w:t>
            </w:r>
            <w:r>
              <w:rPr>
                <w:rFonts w:hint="eastAsia" w:ascii="宋体" w:hAnsi="宋体" w:cs="宋体"/>
                <w:kern w:val="0"/>
                <w:szCs w:val="21"/>
              </w:rPr>
              <w:t>）</w:t>
            </w:r>
          </w:p>
        </w:tc>
        <w:tc>
          <w:tcPr>
            <w:tcW w:w="5564" w:type="dxa"/>
            <w:vAlign w:val="center"/>
          </w:tcPr>
          <w:p>
            <w:pPr>
              <w:rPr>
                <w:rFonts w:ascii="宋体" w:hAnsi="宋体" w:eastAsia="宋体" w:cs="宋体"/>
                <w:spacing w:val="8"/>
                <w:szCs w:val="21"/>
                <w:shd w:val="clear" w:color="auto" w:fill="FFFFFF"/>
              </w:rPr>
            </w:pPr>
            <w:r>
              <w:rPr>
                <w:rFonts w:hint="eastAsia" w:ascii="宋体" w:hAnsi="宋体" w:cs="宋体"/>
                <w:szCs w:val="32"/>
              </w:rPr>
              <w:t>根据调查问卷，对于禁毒宣传的群众知晓率≥90%得满分，群众知晓率＜90%每降低1%扣1分，扣完为止。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899" w:type="dxa"/>
            <w:vMerge w:val="continue"/>
          </w:tcPr>
          <w:p>
            <w:pPr>
              <w:jc w:val="center"/>
              <w:rPr>
                <w:rFonts w:ascii="宋体" w:hAnsi="宋体" w:eastAsia="宋体" w:cs="宋体"/>
                <w:b/>
                <w:bCs/>
                <w:color w:val="000000"/>
                <w:sz w:val="24"/>
                <w:szCs w:val="22"/>
              </w:rPr>
            </w:pPr>
          </w:p>
        </w:tc>
        <w:tc>
          <w:tcPr>
            <w:tcW w:w="1181" w:type="dxa"/>
            <w:vMerge w:val="continue"/>
            <w:vAlign w:val="center"/>
          </w:tcPr>
          <w:p>
            <w:pPr>
              <w:widowControl/>
              <w:snapToGrid w:val="0"/>
              <w:jc w:val="center"/>
              <w:rPr>
                <w:rFonts w:ascii="宋体" w:hAnsi="宋体" w:eastAsia="宋体" w:cs="宋体"/>
                <w:spacing w:val="8"/>
                <w:szCs w:val="21"/>
                <w:shd w:val="clear" w:color="auto" w:fill="FFFFFF"/>
              </w:rPr>
            </w:pPr>
          </w:p>
        </w:tc>
        <w:tc>
          <w:tcPr>
            <w:tcW w:w="1258" w:type="dxa"/>
            <w:vAlign w:val="center"/>
          </w:tcPr>
          <w:p>
            <w:pPr>
              <w:widowControl/>
              <w:snapToGrid w:val="0"/>
              <w:jc w:val="center"/>
              <w:rPr>
                <w:rFonts w:ascii="宋体" w:hAnsi="宋体" w:cs="宋体"/>
                <w:kern w:val="0"/>
                <w:szCs w:val="21"/>
              </w:rPr>
            </w:pPr>
            <w:r>
              <w:rPr>
                <w:rFonts w:hint="eastAsia" w:ascii="宋体" w:hAnsi="宋体" w:cs="宋体"/>
                <w:kern w:val="0"/>
                <w:szCs w:val="21"/>
              </w:rPr>
              <w:t>社工队伍建设</w:t>
            </w:r>
          </w:p>
          <w:p>
            <w:pPr>
              <w:widowControl/>
              <w:snapToGrid w:val="0"/>
              <w:jc w:val="center"/>
              <w:rPr>
                <w:rFonts w:ascii="宋体" w:hAnsi="宋体" w:eastAsia="宋体" w:cs="宋体"/>
                <w:spacing w:val="8"/>
                <w:szCs w:val="21"/>
                <w:shd w:val="clear" w:color="auto" w:fill="FFFFFF"/>
              </w:rPr>
            </w:pPr>
            <w:r>
              <w:rPr>
                <w:rFonts w:hint="eastAsia" w:ascii="宋体" w:hAnsi="宋体" w:cs="宋体"/>
              </w:rPr>
              <w:t>（5分</w:t>
            </w:r>
            <w:r>
              <w:rPr>
                <w:rFonts w:hint="eastAsia" w:ascii="宋体" w:hAnsi="宋体" w:cs="宋体"/>
                <w:kern w:val="0"/>
                <w:szCs w:val="21"/>
              </w:rPr>
              <w:t>）</w:t>
            </w:r>
          </w:p>
        </w:tc>
        <w:tc>
          <w:tcPr>
            <w:tcW w:w="5564" w:type="dxa"/>
            <w:vAlign w:val="center"/>
          </w:tcPr>
          <w:p>
            <w:pPr>
              <w:widowControl/>
              <w:snapToGrid w:val="0"/>
              <w:jc w:val="left"/>
              <w:rPr>
                <w:rFonts w:ascii="宋体" w:hAnsi="宋体" w:eastAsia="宋体" w:cs="宋体"/>
                <w:spacing w:val="8"/>
                <w:szCs w:val="21"/>
                <w:shd w:val="clear" w:color="auto" w:fill="FFFFFF"/>
              </w:rPr>
            </w:pPr>
            <w:r>
              <w:rPr>
                <w:rFonts w:hint="eastAsia" w:ascii="宋体" w:hAnsi="宋体" w:cs="宋体"/>
              </w:rPr>
              <w:t>社工队伍建设达到1</w:t>
            </w:r>
            <w:r>
              <w:rPr>
                <w:rFonts w:hint="eastAsia" w:ascii="宋体" w:hAnsi="宋体" w:cs="宋体"/>
                <w:lang w:val="en-US" w:eastAsia="zh-CN"/>
              </w:rPr>
              <w:t>3</w:t>
            </w:r>
            <w:r>
              <w:rPr>
                <w:rFonts w:hint="eastAsia" w:ascii="宋体" w:hAnsi="宋体" w:cs="宋体"/>
              </w:rPr>
              <w:t>名满分，未达到1</w:t>
            </w:r>
            <w:r>
              <w:rPr>
                <w:rFonts w:hint="eastAsia" w:ascii="宋体" w:hAnsi="宋体" w:cs="宋体"/>
                <w:lang w:val="en-US" w:eastAsia="zh-CN"/>
              </w:rPr>
              <w:t>3</w:t>
            </w:r>
            <w:r>
              <w:rPr>
                <w:rFonts w:hint="eastAsia" w:ascii="宋体" w:hAnsi="宋体" w:cs="宋体"/>
              </w:rPr>
              <w:t>名每少1名扣0.5分，扣完为止。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 w:type="dxa"/>
            <w:vMerge w:val="continue"/>
          </w:tcPr>
          <w:p>
            <w:pPr>
              <w:jc w:val="center"/>
              <w:rPr>
                <w:rFonts w:ascii="宋体" w:hAnsi="宋体" w:eastAsia="宋体" w:cs="宋体"/>
                <w:b/>
                <w:bCs/>
                <w:color w:val="000000"/>
                <w:sz w:val="24"/>
                <w:szCs w:val="22"/>
              </w:rPr>
            </w:pPr>
          </w:p>
        </w:tc>
        <w:tc>
          <w:tcPr>
            <w:tcW w:w="1181" w:type="dxa"/>
            <w:vMerge w:val="restart"/>
            <w:vAlign w:val="center"/>
          </w:tcPr>
          <w:p>
            <w:pPr>
              <w:widowControl/>
              <w:snapToGrid w:val="0"/>
              <w:jc w:val="center"/>
              <w:rPr>
                <w:rFonts w:asciiTheme="minorEastAsia" w:hAnsiTheme="minorEastAsia" w:cstheme="minorEastAsia"/>
                <w:kern w:val="0"/>
                <w:szCs w:val="21"/>
              </w:rPr>
            </w:pPr>
            <w:r>
              <w:rPr>
                <w:rFonts w:hint="eastAsia" w:asciiTheme="minorEastAsia" w:hAnsiTheme="minorEastAsia" w:cstheme="minorEastAsia"/>
                <w:kern w:val="0"/>
                <w:szCs w:val="21"/>
              </w:rPr>
              <w:t>满意度</w:t>
            </w:r>
          </w:p>
          <w:p>
            <w:pPr>
              <w:widowControl/>
              <w:snapToGrid w:val="0"/>
              <w:jc w:val="center"/>
              <w:rPr>
                <w:rFonts w:ascii="宋体" w:hAnsi="宋体" w:eastAsia="宋体" w:cs="宋体"/>
                <w:spacing w:val="8"/>
                <w:szCs w:val="21"/>
                <w:shd w:val="clear" w:color="auto" w:fill="FFFFFF"/>
              </w:rPr>
            </w:pPr>
            <w:r>
              <w:rPr>
                <w:rFonts w:hint="eastAsia" w:asciiTheme="minorEastAsia" w:hAnsiTheme="minorEastAsia" w:cstheme="minorEastAsia"/>
                <w:kern w:val="0"/>
                <w:szCs w:val="21"/>
              </w:rPr>
              <w:t>（12分）</w:t>
            </w:r>
          </w:p>
        </w:tc>
        <w:tc>
          <w:tcPr>
            <w:tcW w:w="1258" w:type="dxa"/>
            <w:vAlign w:val="center"/>
          </w:tcPr>
          <w:p>
            <w:pPr>
              <w:widowControl/>
              <w:snapToGrid w:val="0"/>
              <w:jc w:val="center"/>
              <w:rPr>
                <w:rFonts w:asciiTheme="minorEastAsia" w:hAnsiTheme="minorEastAsia" w:cstheme="minorEastAsia"/>
                <w:kern w:val="0"/>
                <w:szCs w:val="21"/>
              </w:rPr>
            </w:pPr>
            <w:r>
              <w:rPr>
                <w:rFonts w:hint="eastAsia" w:asciiTheme="minorEastAsia" w:hAnsiTheme="minorEastAsia" w:cstheme="minorEastAsia"/>
                <w:kern w:val="0"/>
                <w:szCs w:val="21"/>
              </w:rPr>
              <w:t>上级主管部门</w:t>
            </w:r>
          </w:p>
          <w:p>
            <w:pPr>
              <w:widowControl/>
              <w:snapToGrid w:val="0"/>
              <w:jc w:val="center"/>
              <w:rPr>
                <w:rFonts w:asciiTheme="minorEastAsia" w:hAnsiTheme="minorEastAsia" w:cstheme="minorEastAsia"/>
                <w:kern w:val="0"/>
                <w:szCs w:val="21"/>
              </w:rPr>
            </w:pPr>
            <w:r>
              <w:rPr>
                <w:rFonts w:hint="eastAsia" w:asciiTheme="minorEastAsia" w:hAnsiTheme="minorEastAsia" w:cstheme="minorEastAsia"/>
                <w:kern w:val="0"/>
                <w:szCs w:val="21"/>
              </w:rPr>
              <w:t>满意度</w:t>
            </w:r>
          </w:p>
          <w:p>
            <w:pPr>
              <w:widowControl/>
              <w:snapToGrid w:val="0"/>
              <w:jc w:val="center"/>
              <w:rPr>
                <w:rFonts w:ascii="宋体" w:hAnsi="宋体" w:eastAsia="宋体" w:cs="宋体"/>
                <w:spacing w:val="8"/>
                <w:szCs w:val="21"/>
                <w:shd w:val="clear" w:color="auto" w:fill="FFFFFF"/>
              </w:rPr>
            </w:pPr>
            <w:r>
              <w:t>（</w:t>
            </w:r>
            <w:r>
              <w:rPr>
                <w:rFonts w:hint="eastAsia" w:asciiTheme="minorEastAsia" w:hAnsiTheme="minorEastAsia" w:cstheme="minorEastAsia"/>
                <w:kern w:val="0"/>
                <w:szCs w:val="21"/>
              </w:rPr>
              <w:t>6分</w:t>
            </w:r>
            <w:r>
              <w:rPr>
                <w:rFonts w:hint="eastAsia" w:asciiTheme="majorEastAsia" w:hAnsiTheme="majorEastAsia" w:eastAsiaTheme="majorEastAsia" w:cstheme="majorEastAsia"/>
                <w:kern w:val="0"/>
                <w:szCs w:val="21"/>
              </w:rPr>
              <w:t>）</w:t>
            </w:r>
          </w:p>
        </w:tc>
        <w:tc>
          <w:tcPr>
            <w:tcW w:w="5564" w:type="dxa"/>
            <w:vAlign w:val="center"/>
          </w:tcPr>
          <w:p>
            <w:pPr>
              <w:widowControl/>
              <w:snapToGrid w:val="0"/>
              <w:jc w:val="left"/>
              <w:rPr>
                <w:rFonts w:ascii="宋体" w:hAnsi="宋体" w:eastAsia="宋体" w:cs="宋体"/>
                <w:spacing w:val="8"/>
                <w:szCs w:val="21"/>
              </w:rPr>
            </w:pPr>
            <w:r>
              <w:rPr>
                <w:rFonts w:hint="eastAsia" w:ascii="宋体" w:hAnsi="宋体"/>
                <w:kern w:val="0"/>
                <w:sz w:val="20"/>
                <w:szCs w:val="20"/>
              </w:rPr>
              <w:t>摘掉“禁毒重点关注地区”帽子得6分，未摘帽但获得市级（含）以上领导表扬得3分。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 w:type="dxa"/>
            <w:vMerge w:val="continue"/>
          </w:tcPr>
          <w:p>
            <w:pPr>
              <w:jc w:val="center"/>
              <w:rPr>
                <w:rFonts w:ascii="宋体" w:hAnsi="宋体" w:eastAsia="宋体" w:cs="宋体"/>
                <w:b/>
                <w:bCs/>
                <w:color w:val="000000"/>
                <w:sz w:val="24"/>
                <w:szCs w:val="22"/>
              </w:rPr>
            </w:pPr>
          </w:p>
        </w:tc>
        <w:tc>
          <w:tcPr>
            <w:tcW w:w="1181" w:type="dxa"/>
            <w:vMerge w:val="continue"/>
            <w:vAlign w:val="center"/>
          </w:tcPr>
          <w:p>
            <w:pPr>
              <w:widowControl/>
              <w:snapToGrid w:val="0"/>
              <w:jc w:val="center"/>
              <w:rPr>
                <w:rFonts w:ascii="宋体" w:hAnsi="宋体" w:eastAsia="宋体" w:cs="宋体"/>
                <w:spacing w:val="8"/>
                <w:szCs w:val="21"/>
                <w:shd w:val="clear" w:color="auto" w:fill="FFFFFF"/>
              </w:rPr>
            </w:pPr>
          </w:p>
        </w:tc>
        <w:tc>
          <w:tcPr>
            <w:tcW w:w="1258" w:type="dxa"/>
            <w:vAlign w:val="center"/>
          </w:tcPr>
          <w:p>
            <w:pPr>
              <w:widowControl/>
              <w:snapToGrid w:val="0"/>
              <w:jc w:val="center"/>
              <w:rPr>
                <w:rFonts w:asciiTheme="minorEastAsia" w:hAnsiTheme="minorEastAsia" w:cstheme="minorEastAsia"/>
                <w:kern w:val="0"/>
                <w:szCs w:val="21"/>
              </w:rPr>
            </w:pPr>
            <w:r>
              <w:rPr>
                <w:rFonts w:hint="eastAsia" w:asciiTheme="minorEastAsia" w:hAnsiTheme="minorEastAsia" w:cstheme="minorEastAsia"/>
                <w:kern w:val="0"/>
                <w:szCs w:val="21"/>
              </w:rPr>
              <w:t>群众</w:t>
            </w:r>
          </w:p>
          <w:p>
            <w:pPr>
              <w:widowControl/>
              <w:snapToGrid w:val="0"/>
              <w:jc w:val="center"/>
              <w:rPr>
                <w:rFonts w:asciiTheme="minorEastAsia" w:hAnsiTheme="minorEastAsia" w:cstheme="minorEastAsia"/>
                <w:kern w:val="0"/>
                <w:szCs w:val="21"/>
              </w:rPr>
            </w:pPr>
            <w:r>
              <w:rPr>
                <w:rFonts w:hint="eastAsia" w:asciiTheme="minorEastAsia" w:hAnsiTheme="minorEastAsia" w:cstheme="minorEastAsia"/>
                <w:kern w:val="0"/>
                <w:szCs w:val="21"/>
              </w:rPr>
              <w:t>满意度</w:t>
            </w:r>
          </w:p>
          <w:p>
            <w:pPr>
              <w:widowControl/>
              <w:snapToGrid w:val="0"/>
              <w:jc w:val="center"/>
              <w:rPr>
                <w:rFonts w:ascii="宋体" w:hAnsi="宋体" w:eastAsia="宋体" w:cs="宋体"/>
                <w:spacing w:val="8"/>
                <w:szCs w:val="21"/>
                <w:shd w:val="clear" w:color="auto" w:fill="FFFFFF"/>
              </w:rPr>
            </w:pPr>
            <w:r>
              <w:rPr>
                <w:rFonts w:hint="eastAsia" w:asciiTheme="minorEastAsia" w:hAnsiTheme="minorEastAsia" w:cstheme="minorEastAsia"/>
                <w:kern w:val="0"/>
                <w:szCs w:val="21"/>
              </w:rPr>
              <w:t>（6分）</w:t>
            </w:r>
          </w:p>
        </w:tc>
        <w:tc>
          <w:tcPr>
            <w:tcW w:w="5564" w:type="dxa"/>
            <w:vAlign w:val="center"/>
          </w:tcPr>
          <w:p>
            <w:pPr>
              <w:widowControl/>
              <w:snapToGrid w:val="0"/>
              <w:rPr>
                <w:rFonts w:ascii="宋体" w:hAnsi="宋体" w:eastAsia="宋体" w:cs="宋体"/>
                <w:spacing w:val="8"/>
                <w:szCs w:val="21"/>
              </w:rPr>
            </w:pPr>
            <w:r>
              <w:rPr>
                <w:rFonts w:hint="eastAsia" w:asciiTheme="minorEastAsia" w:hAnsiTheme="minorEastAsia" w:cstheme="minorEastAsia"/>
                <w:kern w:val="0"/>
                <w:szCs w:val="21"/>
              </w:rPr>
              <w:t>根据问卷调查数据打分，群众对禁毒宣传方式和力度</w:t>
            </w:r>
            <w:r>
              <w:rPr>
                <w:rFonts w:hint="eastAsia" w:asciiTheme="minorEastAsia" w:hAnsiTheme="minorEastAsia" w:cstheme="minorEastAsia"/>
                <w:kern w:val="0"/>
                <w:szCs w:val="21"/>
                <w:lang w:val="en-US" w:eastAsia="zh-CN"/>
              </w:rPr>
              <w:t>的</w:t>
            </w:r>
            <w:r>
              <w:rPr>
                <w:rFonts w:hint="eastAsia" w:asciiTheme="minorEastAsia" w:hAnsiTheme="minorEastAsia" w:cstheme="minorEastAsia"/>
                <w:kern w:val="0"/>
                <w:szCs w:val="21"/>
              </w:rPr>
              <w:t>满意度≥90%得满分，满意度＜90%，每降低2%扣1分，扣完为止。</w:t>
            </w:r>
          </w:p>
        </w:tc>
      </w:tr>
    </w:tbl>
    <w:p>
      <w:pPr>
        <w:spacing w:line="360" w:lineRule="auto"/>
        <w:ind w:firstLine="482" w:firstLineChars="200"/>
        <w:rPr>
          <w:rFonts w:hint="eastAsia" w:ascii="宋体" w:hAnsi="宋体" w:eastAsia="宋体" w:cs="宋体"/>
          <w:b/>
          <w:bCs/>
          <w:color w:val="000000"/>
          <w:sz w:val="24"/>
          <w:szCs w:val="22"/>
        </w:rPr>
      </w:pPr>
      <w:r>
        <w:rPr>
          <w:rFonts w:hint="eastAsia" w:ascii="宋体" w:hAnsi="宋体" w:eastAsia="宋体" w:cs="宋体"/>
          <w:b/>
          <w:bCs/>
          <w:color w:val="000000"/>
          <w:sz w:val="24"/>
          <w:szCs w:val="22"/>
        </w:rPr>
        <w:t>3.绩效评价方法的选用</w:t>
      </w:r>
    </w:p>
    <w:p>
      <w:pPr>
        <w:pStyle w:val="4"/>
        <w:spacing w:line="360" w:lineRule="auto"/>
        <w:ind w:firstLine="480" w:firstLineChars="200"/>
        <w:rPr>
          <w:rFonts w:hAnsi="宋体" w:cs="宋体"/>
          <w:sz w:val="24"/>
          <w:szCs w:val="24"/>
        </w:rPr>
      </w:pPr>
      <w:r>
        <w:rPr>
          <w:rFonts w:hint="eastAsia" w:hAnsi="宋体" w:cs="宋体"/>
          <w:sz w:val="24"/>
          <w:szCs w:val="24"/>
        </w:rPr>
        <w:t>根据财政部</w:t>
      </w:r>
      <w:r>
        <w:rPr>
          <w:rFonts w:hint="eastAsia" w:hAnsi="宋体"/>
          <w:sz w:val="24"/>
        </w:rPr>
        <w:t>《项目支出绩效评价管理办法》</w:t>
      </w:r>
      <w:r>
        <w:rPr>
          <w:rFonts w:hint="eastAsia" w:hAnsi="宋体" w:cs="宋体"/>
          <w:sz w:val="24"/>
        </w:rPr>
        <w:t>（</w:t>
      </w:r>
      <w:r>
        <w:rPr>
          <w:rFonts w:hAnsi="宋体" w:cs="宋体"/>
          <w:sz w:val="24"/>
        </w:rPr>
        <w:t>财预〔2020〕10号</w:t>
      </w:r>
      <w:r>
        <w:rPr>
          <w:rFonts w:hint="eastAsia" w:hAnsi="宋体" w:cs="宋体"/>
          <w:sz w:val="24"/>
        </w:rPr>
        <w:t>）</w:t>
      </w:r>
      <w:r>
        <w:rPr>
          <w:rFonts w:hint="eastAsia" w:hAnsi="宋体" w:cs="宋体"/>
          <w:sz w:val="24"/>
          <w:szCs w:val="24"/>
        </w:rPr>
        <w:t>规定的绩效评价方法，泉州市丰泽区2019年度禁毒工作专项经费绩效评价主要采用比较法、公众评判法和目标评价法。</w:t>
      </w:r>
    </w:p>
    <w:p>
      <w:pPr>
        <w:pStyle w:val="4"/>
        <w:spacing w:line="360" w:lineRule="auto"/>
        <w:ind w:firstLine="480" w:firstLineChars="200"/>
        <w:rPr>
          <w:rFonts w:hAnsi="宋体" w:eastAsia="宋体" w:cs="宋体"/>
          <w:color w:val="000000"/>
          <w:sz w:val="24"/>
          <w:szCs w:val="24"/>
        </w:rPr>
      </w:pPr>
      <w:r>
        <w:rPr>
          <w:rFonts w:hint="eastAsia" w:hAnsi="宋体" w:cs="宋体"/>
          <w:sz w:val="24"/>
          <w:szCs w:val="24"/>
        </w:rPr>
        <w:t>（</w:t>
      </w:r>
      <w:r>
        <w:rPr>
          <w:rFonts w:hAnsi="宋体" w:cs="宋体"/>
          <w:sz w:val="24"/>
          <w:szCs w:val="24"/>
        </w:rPr>
        <w:t>1</w:t>
      </w:r>
      <w:r>
        <w:rPr>
          <w:rFonts w:hint="eastAsia" w:hAnsi="宋体" w:cs="宋体"/>
          <w:sz w:val="24"/>
          <w:szCs w:val="24"/>
        </w:rPr>
        <w:t>）</w:t>
      </w:r>
      <w:r>
        <w:rPr>
          <w:rFonts w:hAnsi="宋体" w:cs="宋体"/>
          <w:sz w:val="24"/>
          <w:szCs w:val="24"/>
        </w:rPr>
        <w:t>比较法</w:t>
      </w:r>
      <w:r>
        <w:rPr>
          <w:rFonts w:hint="eastAsia" w:hAnsi="宋体" w:cs="宋体"/>
          <w:sz w:val="24"/>
          <w:szCs w:val="24"/>
        </w:rPr>
        <w:t>。</w:t>
      </w:r>
      <w:r>
        <w:rPr>
          <w:rFonts w:hAnsi="宋体" w:cs="宋体"/>
          <w:sz w:val="24"/>
          <w:szCs w:val="24"/>
        </w:rPr>
        <w:t>指通过实际支出、实施效果等与绩效目标、历史情况、不同地区同类支出等的比较，综合分析绩效目标实现程度。</w:t>
      </w:r>
      <w:r>
        <w:rPr>
          <w:rFonts w:hint="eastAsia" w:hAnsi="宋体" w:eastAsia="宋体" w:cs="宋体"/>
          <w:color w:val="000000"/>
          <w:sz w:val="24"/>
          <w:szCs w:val="24"/>
        </w:rPr>
        <w:t>资金绩效评价将以项目单位年初所设绩效目标、</w:t>
      </w:r>
      <w:r>
        <w:rPr>
          <w:rFonts w:hint="eastAsia" w:hAnsi="宋体" w:cs="宋体"/>
          <w:sz w:val="24"/>
          <w:szCs w:val="24"/>
        </w:rPr>
        <w:t>《泉州市丰泽区禁毒委员会关于印发&lt;丰泽区2019年禁毒重点整治攻坚行动实施方案&gt;的通知》（泉丰禁委</w:t>
      </w:r>
      <w:r>
        <w:rPr>
          <w:rFonts w:hAnsi="宋体" w:cs="宋体"/>
          <w:sz w:val="24"/>
          <w:szCs w:val="24"/>
        </w:rPr>
        <w:t>〔201</w:t>
      </w:r>
      <w:r>
        <w:rPr>
          <w:rFonts w:hint="eastAsia" w:hAnsi="宋体" w:cs="宋体"/>
          <w:sz w:val="24"/>
          <w:szCs w:val="24"/>
        </w:rPr>
        <w:t>9</w:t>
      </w:r>
      <w:r>
        <w:rPr>
          <w:rFonts w:hAnsi="宋体" w:cs="宋体"/>
          <w:sz w:val="24"/>
          <w:szCs w:val="24"/>
        </w:rPr>
        <w:t>〕</w:t>
      </w:r>
      <w:r>
        <w:rPr>
          <w:rFonts w:hint="eastAsia" w:hAnsi="宋体" w:cs="宋体"/>
          <w:sz w:val="24"/>
          <w:szCs w:val="24"/>
        </w:rPr>
        <w:t>2</w:t>
      </w:r>
      <w:r>
        <w:rPr>
          <w:rFonts w:hAnsi="宋体" w:cs="宋体"/>
          <w:sz w:val="24"/>
          <w:szCs w:val="24"/>
        </w:rPr>
        <w:t>号</w:t>
      </w:r>
      <w:r>
        <w:rPr>
          <w:rFonts w:hint="eastAsia" w:hAnsi="宋体" w:cs="宋体"/>
          <w:sz w:val="24"/>
          <w:szCs w:val="24"/>
        </w:rPr>
        <w:t>）</w:t>
      </w:r>
      <w:r>
        <w:rPr>
          <w:rFonts w:hint="eastAsia" w:hAnsi="宋体" w:eastAsia="宋体" w:cs="宋体"/>
          <w:color w:val="000000"/>
          <w:sz w:val="24"/>
          <w:szCs w:val="24"/>
        </w:rPr>
        <w:t>要求为标准，将项目执行单位实际支出、产出数量和质量等与之比较，综合分析绩效目标实现程度。</w:t>
      </w:r>
    </w:p>
    <w:p>
      <w:pPr>
        <w:pStyle w:val="4"/>
        <w:spacing w:line="360" w:lineRule="auto"/>
        <w:ind w:firstLine="480" w:firstLineChars="200"/>
        <w:rPr>
          <w:rFonts w:hAnsi="宋体" w:eastAsia="宋体" w:cs="宋体"/>
          <w:color w:val="000000"/>
          <w:sz w:val="24"/>
          <w:szCs w:val="24"/>
        </w:rPr>
      </w:pPr>
      <w:r>
        <w:rPr>
          <w:rFonts w:hint="eastAsia" w:hAnsi="宋体" w:eastAsia="宋体" w:cs="宋体"/>
          <w:color w:val="000000"/>
          <w:sz w:val="24"/>
          <w:szCs w:val="24"/>
        </w:rPr>
        <w:t>（2）公众评判法。指通过专家评估、公众问卷及抽样调查等对财政资金效果进行评判，评价绩效目标实现程度。服务对象满意度即通过问卷调查方式获取相关数据资料。通过问卷回答情况了解服务对象的真实感受，从而对该专项资金支出的社会效益和满意度进行评判。</w:t>
      </w:r>
    </w:p>
    <w:p>
      <w:pPr>
        <w:pStyle w:val="4"/>
        <w:spacing w:line="360" w:lineRule="auto"/>
        <w:ind w:firstLine="480" w:firstLineChars="200"/>
        <w:rPr>
          <w:rFonts w:hAnsi="宋体" w:cs="宋体"/>
          <w:sz w:val="24"/>
          <w:szCs w:val="24"/>
        </w:rPr>
      </w:pPr>
      <w:r>
        <w:rPr>
          <w:rFonts w:hint="eastAsia" w:hAnsi="宋体" w:cs="宋体"/>
          <w:sz w:val="24"/>
          <w:szCs w:val="24"/>
        </w:rPr>
        <w:t>（3）</w:t>
      </w:r>
      <w:r>
        <w:rPr>
          <w:rFonts w:hAnsi="宋体" w:cs="宋体"/>
          <w:sz w:val="24"/>
          <w:szCs w:val="24"/>
        </w:rPr>
        <w:t>目标评价法</w:t>
      </w:r>
      <w:r>
        <w:rPr>
          <w:rFonts w:hint="eastAsia" w:hAnsi="宋体" w:cs="宋体"/>
          <w:sz w:val="24"/>
          <w:szCs w:val="24"/>
        </w:rPr>
        <w:t>。指</w:t>
      </w:r>
      <w:r>
        <w:rPr>
          <w:rFonts w:hAnsi="宋体" w:cs="宋体"/>
          <w:sz w:val="24"/>
          <w:szCs w:val="24"/>
        </w:rPr>
        <w:t>将当期经济效益或社会效益水平与其预先目标标准进行对比分析的方法</w:t>
      </w:r>
      <w:r>
        <w:rPr>
          <w:rFonts w:hint="eastAsia" w:hAnsi="宋体" w:cs="宋体"/>
          <w:sz w:val="24"/>
          <w:szCs w:val="24"/>
        </w:rPr>
        <w:t>。该方法主要用于社会效益和可持续影响的评价。</w:t>
      </w:r>
    </w:p>
    <w:p>
      <w:pPr>
        <w:spacing w:line="360" w:lineRule="auto"/>
        <w:ind w:firstLine="482" w:firstLineChars="200"/>
        <w:rPr>
          <w:rFonts w:ascii="宋体" w:hAnsi="宋体" w:eastAsia="宋体" w:cs="宋体"/>
          <w:b/>
          <w:bCs/>
          <w:color w:val="000000"/>
          <w:sz w:val="24"/>
          <w:szCs w:val="22"/>
        </w:rPr>
      </w:pPr>
      <w:r>
        <w:rPr>
          <w:rFonts w:hint="eastAsia" w:ascii="宋体" w:hAnsi="宋体" w:eastAsia="宋体" w:cs="宋体"/>
          <w:b/>
          <w:bCs/>
          <w:color w:val="000000"/>
          <w:sz w:val="24"/>
          <w:szCs w:val="22"/>
        </w:rPr>
        <w:t>4.评价标准</w:t>
      </w:r>
    </w:p>
    <w:p>
      <w:pPr>
        <w:pStyle w:val="4"/>
        <w:spacing w:line="360" w:lineRule="auto"/>
        <w:ind w:firstLine="480" w:firstLineChars="200"/>
        <w:rPr>
          <w:rFonts w:hAnsi="宋体" w:cs="宋体"/>
          <w:sz w:val="24"/>
          <w:szCs w:val="24"/>
        </w:rPr>
      </w:pPr>
      <w:r>
        <w:rPr>
          <w:rFonts w:hint="eastAsia" w:hAnsi="宋体" w:cs="宋体"/>
          <w:sz w:val="24"/>
          <w:szCs w:val="24"/>
        </w:rPr>
        <w:t>专项资金绩效评价标准是衡量专项资金绩效目标完成程度的尺度。依据财政部制定的</w:t>
      </w:r>
      <w:r>
        <w:rPr>
          <w:rFonts w:hint="eastAsia" w:hAnsi="宋体"/>
          <w:sz w:val="24"/>
        </w:rPr>
        <w:t>《项目支出绩效评价管理办法》</w:t>
      </w:r>
      <w:r>
        <w:rPr>
          <w:rFonts w:hint="eastAsia" w:hAnsi="宋体" w:cs="宋体"/>
          <w:sz w:val="24"/>
        </w:rPr>
        <w:t>（</w:t>
      </w:r>
      <w:r>
        <w:rPr>
          <w:rFonts w:hAnsi="宋体" w:cs="宋体"/>
          <w:sz w:val="24"/>
        </w:rPr>
        <w:t>财预〔2020〕10号</w:t>
      </w:r>
      <w:r>
        <w:rPr>
          <w:rFonts w:hint="eastAsia" w:hAnsi="宋体" w:cs="宋体"/>
          <w:sz w:val="24"/>
        </w:rPr>
        <w:t>）</w:t>
      </w:r>
      <w:r>
        <w:rPr>
          <w:rFonts w:hint="eastAsia" w:hAnsi="宋体" w:cs="宋体"/>
          <w:sz w:val="24"/>
          <w:szCs w:val="24"/>
        </w:rPr>
        <w:t>、福建省财政厅制定的《福建省财政支出绩效评价管理办法》（闽财绩</w:t>
      </w:r>
      <w:r>
        <w:rPr>
          <w:rFonts w:hAnsi="宋体" w:cs="宋体"/>
          <w:sz w:val="24"/>
          <w:szCs w:val="24"/>
        </w:rPr>
        <w:t>〔201</w:t>
      </w:r>
      <w:r>
        <w:rPr>
          <w:rFonts w:hint="eastAsia" w:hAnsi="宋体" w:cs="宋体"/>
          <w:sz w:val="24"/>
          <w:szCs w:val="24"/>
        </w:rPr>
        <w:t>5</w:t>
      </w:r>
      <w:r>
        <w:rPr>
          <w:rFonts w:hAnsi="宋体" w:cs="宋体"/>
          <w:sz w:val="24"/>
          <w:szCs w:val="24"/>
        </w:rPr>
        <w:t>〕</w:t>
      </w:r>
      <w:r>
        <w:rPr>
          <w:rFonts w:hint="eastAsia" w:hAnsi="宋体" w:cs="宋体"/>
          <w:sz w:val="24"/>
          <w:szCs w:val="24"/>
        </w:rPr>
        <w:t>4号）文件精神，绩效评价标准有以下4种：</w:t>
      </w:r>
    </w:p>
    <w:p>
      <w:pPr>
        <w:pStyle w:val="4"/>
        <w:spacing w:line="360" w:lineRule="auto"/>
        <w:ind w:firstLine="480" w:firstLineChars="200"/>
        <w:rPr>
          <w:rFonts w:hAnsi="宋体" w:cs="宋体"/>
          <w:sz w:val="24"/>
          <w:szCs w:val="24"/>
        </w:rPr>
      </w:pPr>
      <w:r>
        <w:rPr>
          <w:rFonts w:hint="eastAsia" w:hAnsi="宋体" w:cs="宋体"/>
          <w:sz w:val="24"/>
          <w:szCs w:val="24"/>
        </w:rPr>
        <w:t>（1）计划标准。是指以预先制定的目标、计划、预算、定额等数据作为评价的标准。</w:t>
      </w:r>
    </w:p>
    <w:p>
      <w:pPr>
        <w:pStyle w:val="4"/>
        <w:spacing w:line="360" w:lineRule="auto"/>
        <w:ind w:firstLine="480" w:firstLineChars="200"/>
        <w:rPr>
          <w:rFonts w:hAnsi="宋体" w:cs="宋体"/>
          <w:sz w:val="24"/>
          <w:szCs w:val="24"/>
        </w:rPr>
      </w:pPr>
      <w:r>
        <w:rPr>
          <w:rFonts w:hint="eastAsia" w:hAnsi="宋体" w:cs="宋体"/>
          <w:sz w:val="24"/>
          <w:szCs w:val="24"/>
        </w:rPr>
        <w:t>（2）行业标准。是指参照国家公布的行业指标数据制定的评价标准。</w:t>
      </w:r>
    </w:p>
    <w:p>
      <w:pPr>
        <w:pStyle w:val="4"/>
        <w:spacing w:line="360" w:lineRule="auto"/>
        <w:ind w:firstLine="480" w:firstLineChars="200"/>
        <w:rPr>
          <w:rFonts w:hAnsi="宋体" w:cs="宋体"/>
          <w:sz w:val="24"/>
          <w:szCs w:val="24"/>
        </w:rPr>
      </w:pPr>
      <w:r>
        <w:rPr>
          <w:rFonts w:hint="eastAsia" w:hAnsi="宋体" w:cs="宋体"/>
          <w:sz w:val="24"/>
          <w:szCs w:val="24"/>
        </w:rPr>
        <w:t>（3）历史标准。是指参照同类指标的历史数据制定的评价标准。</w:t>
      </w:r>
    </w:p>
    <w:p>
      <w:pPr>
        <w:pStyle w:val="4"/>
        <w:spacing w:line="360" w:lineRule="auto"/>
        <w:ind w:firstLine="480" w:firstLineChars="200"/>
        <w:rPr>
          <w:rFonts w:hAnsi="宋体" w:cs="宋体"/>
          <w:sz w:val="24"/>
          <w:szCs w:val="24"/>
        </w:rPr>
      </w:pPr>
      <w:r>
        <w:rPr>
          <w:rFonts w:hint="eastAsia" w:hAnsi="宋体" w:cs="宋体"/>
          <w:sz w:val="24"/>
          <w:szCs w:val="24"/>
        </w:rPr>
        <w:t>（4）其他经财政部门确认的标准。</w:t>
      </w:r>
    </w:p>
    <w:p>
      <w:pPr>
        <w:pStyle w:val="4"/>
        <w:spacing w:line="360" w:lineRule="auto"/>
        <w:ind w:firstLine="480" w:firstLineChars="200"/>
        <w:rPr>
          <w:rFonts w:hAnsi="宋体" w:cs="宋体"/>
          <w:sz w:val="24"/>
          <w:szCs w:val="24"/>
        </w:rPr>
      </w:pPr>
      <w:r>
        <w:rPr>
          <w:rFonts w:hint="eastAsia" w:hAnsi="宋体" w:cs="宋体"/>
          <w:sz w:val="24"/>
          <w:szCs w:val="24"/>
        </w:rPr>
        <w:t>工作组根据泉州市丰泽区2019年度禁毒工作专项经费项目实施的实际情况，主要采用计划标准和历史标准对该项目绩效目标完成度进行评价。</w:t>
      </w:r>
    </w:p>
    <w:p>
      <w:pPr>
        <w:pStyle w:val="10"/>
        <w:ind w:firstLine="562"/>
        <w:outlineLvl w:val="1"/>
      </w:pPr>
      <w:bookmarkStart w:id="6" w:name="_Toc28781"/>
      <w:r>
        <w:rPr>
          <w:rFonts w:hint="eastAsia"/>
        </w:rPr>
        <w:t>（三）绩效评价工作过程</w:t>
      </w:r>
      <w:bookmarkEnd w:id="6"/>
    </w:p>
    <w:p>
      <w:pPr>
        <w:pStyle w:val="4"/>
        <w:spacing w:line="360" w:lineRule="auto"/>
        <w:ind w:firstLine="480" w:firstLineChars="200"/>
        <w:rPr>
          <w:rFonts w:hAnsi="宋体" w:cs="宋体"/>
          <w:sz w:val="24"/>
          <w:szCs w:val="24"/>
        </w:rPr>
      </w:pPr>
      <w:r>
        <w:rPr>
          <w:rFonts w:hAnsi="宋体" w:cs="宋体"/>
          <w:sz w:val="24"/>
          <w:szCs w:val="24"/>
        </w:rPr>
        <w:t>20</w:t>
      </w:r>
      <w:r>
        <w:rPr>
          <w:rFonts w:hint="eastAsia" w:hAnsi="宋体" w:cs="宋体"/>
          <w:sz w:val="24"/>
          <w:szCs w:val="24"/>
        </w:rPr>
        <w:t>20年11月</w:t>
      </w:r>
      <w:r>
        <w:rPr>
          <w:rFonts w:hAnsi="宋体" w:cs="宋体"/>
          <w:sz w:val="24"/>
          <w:szCs w:val="24"/>
        </w:rPr>
        <w:t>1</w:t>
      </w:r>
      <w:r>
        <w:rPr>
          <w:rFonts w:hint="eastAsia" w:hAnsi="宋体" w:cs="宋体"/>
          <w:sz w:val="24"/>
          <w:szCs w:val="24"/>
        </w:rPr>
        <w:t>0日前，成立泉州市丰泽区2019年度禁毒工作专项经费绩效评价工作组，制定工作实施方案。</w:t>
      </w:r>
    </w:p>
    <w:p>
      <w:pPr>
        <w:pStyle w:val="4"/>
        <w:spacing w:line="360" w:lineRule="auto"/>
        <w:ind w:firstLine="480" w:firstLineChars="200"/>
        <w:rPr>
          <w:rFonts w:hAnsi="宋体" w:cs="宋体"/>
          <w:sz w:val="24"/>
          <w:szCs w:val="24"/>
        </w:rPr>
      </w:pPr>
      <w:r>
        <w:rPr>
          <w:rFonts w:hAnsi="宋体" w:cs="宋体"/>
          <w:sz w:val="24"/>
          <w:szCs w:val="24"/>
        </w:rPr>
        <w:t>20</w:t>
      </w:r>
      <w:r>
        <w:rPr>
          <w:rFonts w:hint="eastAsia" w:hAnsi="宋体" w:cs="宋体"/>
          <w:sz w:val="24"/>
          <w:szCs w:val="24"/>
        </w:rPr>
        <w:t>20年11月30日前，评价工作组开展实地调研座谈，采集数据资料。工作组前往丰泽区禁毒办进行调研座谈，查阅相关的档案、资料，抽取项目实地收集相关基础数据等。同时，组织工作组成员通过发放调查网络问卷或数据收集，获取服务对象满意度数据以及与项目执行后的社会效益相关的数据资料。</w:t>
      </w:r>
    </w:p>
    <w:p>
      <w:pPr>
        <w:pStyle w:val="4"/>
        <w:spacing w:line="360" w:lineRule="auto"/>
        <w:ind w:firstLine="480" w:firstLineChars="200"/>
        <w:rPr>
          <w:rFonts w:hAnsi="宋体" w:cs="宋体"/>
          <w:sz w:val="24"/>
          <w:szCs w:val="24"/>
        </w:rPr>
      </w:pPr>
      <w:r>
        <w:rPr>
          <w:rFonts w:hint="eastAsia" w:hAnsi="宋体" w:cs="宋体"/>
          <w:sz w:val="24"/>
          <w:szCs w:val="24"/>
        </w:rPr>
        <w:t>2020年12月5日前，拟定绩效评价指标体系，完成反馈和修改。工作组拟定各项目绩效评价指标体系，与丰泽区财政局、丰泽区禁毒办相关部门商讨指标体系，根据反馈意见，修订绩效评价指标体系。</w:t>
      </w:r>
    </w:p>
    <w:p>
      <w:pPr>
        <w:pStyle w:val="4"/>
        <w:spacing w:line="360" w:lineRule="auto"/>
        <w:ind w:firstLine="480" w:firstLineChars="200"/>
        <w:rPr>
          <w:rFonts w:hAnsi="宋体" w:cs="宋体"/>
          <w:sz w:val="24"/>
          <w:szCs w:val="24"/>
        </w:rPr>
      </w:pPr>
      <w:r>
        <w:rPr>
          <w:rFonts w:hint="eastAsia" w:hAnsi="宋体" w:cs="宋体"/>
          <w:sz w:val="24"/>
          <w:szCs w:val="24"/>
        </w:rPr>
        <w:t>2020年12月10日前，根据评价需要补充新的数据资料。根据修订后的指标体系以及初步评价过程中出现的新问题，与区禁毒办工作人员进行交流讨论，进一步搜集绩效评价所需的数据和资料。</w:t>
      </w:r>
    </w:p>
    <w:p>
      <w:pPr>
        <w:pStyle w:val="4"/>
        <w:spacing w:line="360" w:lineRule="auto"/>
        <w:ind w:firstLine="480" w:firstLineChars="200"/>
        <w:rPr>
          <w:rFonts w:hAnsi="宋体" w:cs="宋体"/>
          <w:sz w:val="24"/>
          <w:szCs w:val="24"/>
        </w:rPr>
      </w:pPr>
      <w:r>
        <w:rPr>
          <w:rFonts w:hint="eastAsia" w:hAnsi="宋体" w:cs="宋体"/>
          <w:sz w:val="24"/>
          <w:szCs w:val="24"/>
        </w:rPr>
        <w:t>2020年12月15日前，全面分析并撰写报告初稿。根据已确定的指标体系，对禁毒工作专项经费的使用情况、使用效益和服务对象满意度进行全面分析，并完成的绩效评价报告初稿。</w:t>
      </w:r>
    </w:p>
    <w:p>
      <w:pPr>
        <w:pStyle w:val="4"/>
        <w:spacing w:line="360" w:lineRule="auto"/>
        <w:ind w:firstLine="480" w:firstLineChars="200"/>
        <w:rPr>
          <w:rFonts w:hAnsi="宋体" w:cs="宋体"/>
          <w:sz w:val="24"/>
          <w:szCs w:val="24"/>
        </w:rPr>
      </w:pPr>
      <w:r>
        <w:rPr>
          <w:rFonts w:hint="eastAsia" w:hAnsi="宋体" w:cs="宋体"/>
          <w:sz w:val="24"/>
          <w:szCs w:val="24"/>
        </w:rPr>
        <w:t>2020年12月25日前，根据反馈意见修改并完成报告终稿。工作组向丰泽区财政局提交评价报告初稿，并征询财政局、区禁毒办等相关职能部门的意见，根据意见对初稿进行修改，完成各专项资金绩效评价报告。</w:t>
      </w:r>
    </w:p>
    <w:p>
      <w:pPr>
        <w:pStyle w:val="8"/>
        <w:spacing w:beforeLines="100" w:afterLines="100"/>
        <w:outlineLvl w:val="0"/>
      </w:pPr>
      <w:bookmarkStart w:id="7" w:name="_Toc15761"/>
      <w:r>
        <w:rPr>
          <w:rFonts w:hint="eastAsia" w:ascii="黑体" w:hAnsi="黑体" w:eastAsia="黑体" w:cs="黑体"/>
          <w:b w:val="0"/>
          <w:bCs/>
        </w:rPr>
        <w:t>三、综合评价情况及评价结论</w:t>
      </w:r>
      <w:bookmarkEnd w:id="7"/>
    </w:p>
    <w:p>
      <w:pPr>
        <w:spacing w:line="360" w:lineRule="auto"/>
        <w:ind w:firstLine="480" w:firstLineChars="200"/>
        <w:rPr>
          <w:rFonts w:ascii="宋体" w:hAnsi="宋体" w:cs="宋体"/>
          <w:sz w:val="24"/>
        </w:rPr>
      </w:pPr>
      <w:r>
        <w:rPr>
          <w:rFonts w:hint="eastAsia" w:ascii="宋体" w:hAnsi="宋体" w:cs="宋体"/>
          <w:sz w:val="24"/>
        </w:rPr>
        <w:t>泉州市丰泽区2019年度禁毒工作专项经费项目立项依据充分，资金到位及时，能有效开展禁毒宣传，让广大群众认识毒品的危害性，禁毒宣教室成为向青少年学生进行禁毒宣传教育的新窗口，禁毒宣传效果较好。由此可见，该项财政支出为广泛开展禁毒宣传、提高广大群众的拒毒防毒意识发挥了积极的作用。</w:t>
      </w:r>
    </w:p>
    <w:p>
      <w:pPr>
        <w:pStyle w:val="4"/>
        <w:spacing w:line="360" w:lineRule="auto"/>
        <w:ind w:firstLine="480" w:firstLineChars="200"/>
        <w:rPr>
          <w:rFonts w:ascii="黑体" w:hAnsi="黑体" w:eastAsia="黑体" w:cs="黑体"/>
          <w:bCs/>
          <w:color w:val="FF0000"/>
        </w:rPr>
      </w:pPr>
      <w:r>
        <w:rPr>
          <w:rFonts w:hint="eastAsia" w:hAnsi="宋体" w:cs="宋体"/>
          <w:sz w:val="24"/>
        </w:rPr>
        <w:t>经过工作组的审慎和科学评估，</w:t>
      </w:r>
      <w:r>
        <w:rPr>
          <w:rFonts w:hint="eastAsia" w:hAnsi="宋体" w:cs="宋体"/>
          <w:sz w:val="24"/>
          <w:szCs w:val="24"/>
        </w:rPr>
        <w:t>泉州市丰泽区2019年度禁毒工作专项经费</w:t>
      </w:r>
      <w:r>
        <w:rPr>
          <w:rFonts w:hint="eastAsia" w:hAnsi="宋体" w:cs="宋体"/>
          <w:sz w:val="24"/>
        </w:rPr>
        <w:t>绩效总得分9</w:t>
      </w:r>
      <w:r>
        <w:rPr>
          <w:rFonts w:hint="eastAsia" w:hAnsi="宋体" w:cs="宋体"/>
          <w:sz w:val="24"/>
          <w:lang w:val="en-US" w:eastAsia="zh-CN"/>
        </w:rPr>
        <w:t>3.4</w:t>
      </w:r>
      <w:r>
        <w:rPr>
          <w:rFonts w:hint="eastAsia" w:hAnsi="宋体" w:cs="宋体"/>
          <w:sz w:val="24"/>
        </w:rPr>
        <w:t>分，评价等级结果为优，分指标分析详见第四部分。</w:t>
      </w:r>
    </w:p>
    <w:p>
      <w:pPr>
        <w:pStyle w:val="8"/>
        <w:spacing w:beforeLines="100" w:afterLines="100"/>
        <w:outlineLvl w:val="0"/>
        <w:rPr>
          <w:rFonts w:ascii="黑体" w:hAnsi="黑体" w:eastAsia="黑体" w:cs="黑体"/>
          <w:b w:val="0"/>
          <w:bCs/>
        </w:rPr>
      </w:pPr>
      <w:bookmarkStart w:id="8" w:name="_Toc25902"/>
      <w:r>
        <w:rPr>
          <w:rFonts w:hint="eastAsia" w:ascii="黑体" w:hAnsi="黑体" w:eastAsia="黑体" w:cs="黑体"/>
          <w:b w:val="0"/>
          <w:bCs/>
        </w:rPr>
        <w:t>四、绩效评价指标分析</w:t>
      </w:r>
      <w:bookmarkEnd w:id="8"/>
    </w:p>
    <w:p>
      <w:pPr>
        <w:pStyle w:val="10"/>
        <w:ind w:firstLine="562"/>
        <w:outlineLvl w:val="1"/>
        <w:rPr>
          <w:rFonts w:asciiTheme="minorEastAsia" w:hAnsiTheme="minorEastAsia" w:eastAsiaTheme="minorEastAsia" w:cstheme="minorEastAsia"/>
        </w:rPr>
      </w:pPr>
      <w:bookmarkStart w:id="9" w:name="_Toc32240"/>
      <w:r>
        <w:rPr>
          <w:rFonts w:hint="eastAsia" w:asciiTheme="minorEastAsia" w:hAnsiTheme="minorEastAsia" w:eastAsiaTheme="minorEastAsia" w:cstheme="minorEastAsia"/>
        </w:rPr>
        <w:t>（一）项目决策情况得1</w:t>
      </w: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rPr>
        <w:t>分（共18分）</w:t>
      </w:r>
      <w:bookmarkEnd w:id="9"/>
    </w:p>
    <w:p>
      <w:pPr>
        <w:pStyle w:val="4"/>
        <w:spacing w:line="360" w:lineRule="auto"/>
        <w:ind w:firstLine="480" w:firstLineChars="200"/>
        <w:rPr>
          <w:rFonts w:hAnsi="宋体" w:cs="宋体"/>
          <w:sz w:val="24"/>
        </w:rPr>
      </w:pPr>
      <w:r>
        <w:rPr>
          <w:rFonts w:hint="eastAsia" w:hAnsi="宋体" w:cs="宋体"/>
          <w:sz w:val="24"/>
        </w:rPr>
        <w:t>一级指标“决策”下设“项目立项”“绩效目标”“资金投入”三个二级指标。</w:t>
      </w:r>
    </w:p>
    <w:p>
      <w:pPr>
        <w:spacing w:line="360" w:lineRule="auto"/>
        <w:ind w:firstLine="482" w:firstLineChars="200"/>
        <w:rPr>
          <w:rFonts w:ascii="宋体" w:hAnsi="宋体" w:eastAsia="宋体" w:cs="宋体"/>
          <w:b/>
          <w:bCs/>
          <w:color w:val="000000"/>
          <w:sz w:val="24"/>
          <w:szCs w:val="22"/>
        </w:rPr>
      </w:pPr>
      <w:r>
        <w:rPr>
          <w:rFonts w:hint="eastAsia" w:ascii="宋体" w:hAnsi="宋体" w:eastAsia="宋体" w:cs="宋体"/>
          <w:b/>
          <w:bCs/>
          <w:color w:val="000000"/>
          <w:sz w:val="24"/>
          <w:szCs w:val="22"/>
        </w:rPr>
        <w:t>1.“项目立项”得6分（共6分）</w:t>
      </w:r>
    </w:p>
    <w:p>
      <w:pPr>
        <w:pStyle w:val="4"/>
        <w:spacing w:line="360" w:lineRule="auto"/>
        <w:ind w:firstLine="480" w:firstLineChars="200"/>
        <w:rPr>
          <w:rFonts w:hAnsi="宋体" w:cs="宋体"/>
          <w:sz w:val="24"/>
        </w:rPr>
      </w:pPr>
      <w:r>
        <w:rPr>
          <w:rFonts w:hint="eastAsia" w:hAnsi="宋体" w:cs="宋体"/>
          <w:sz w:val="24"/>
        </w:rPr>
        <w:t>“项目立项”通过“立项依据充分性”、“立项程序规范性”二个三级指标进行评价。</w:t>
      </w:r>
    </w:p>
    <w:p>
      <w:pPr>
        <w:pStyle w:val="4"/>
        <w:spacing w:line="360" w:lineRule="auto"/>
        <w:ind w:firstLine="480" w:firstLineChars="200"/>
        <w:rPr>
          <w:rFonts w:hAnsi="宋体" w:cs="宋体"/>
          <w:sz w:val="24"/>
        </w:rPr>
      </w:pPr>
      <w:r>
        <w:rPr>
          <w:rFonts w:hint="eastAsia" w:hAnsi="宋体" w:cs="宋体"/>
          <w:sz w:val="24"/>
        </w:rPr>
        <w:t>①立项依据充分性得3分（共3分）</w:t>
      </w:r>
    </w:p>
    <w:p>
      <w:pPr>
        <w:pStyle w:val="4"/>
        <w:spacing w:line="360" w:lineRule="auto"/>
        <w:ind w:firstLine="480" w:firstLineChars="200"/>
        <w:rPr>
          <w:rFonts w:hAnsi="宋体" w:cs="宋体"/>
          <w:sz w:val="24"/>
        </w:rPr>
      </w:pPr>
      <w:r>
        <w:rPr>
          <w:rFonts w:hint="eastAsia" w:hAnsi="宋体" w:cs="宋体"/>
          <w:sz w:val="24"/>
        </w:rPr>
        <w:t>“立项依据充分性”方面，禁毒工作专项经费项目立项是贯彻落实上级对丰泽区禁毒工作的批示精神，解决“毒品问题严重地区重点关注地区”摘帽问题，符合丰泽区政府与区禁毒办的工作任务需要；属于公共财政支持范围，符合中央、地方事权支出责任划分原则，该项目按照规定程序申请立项，依据充分，该项指标可得满分3分。</w:t>
      </w:r>
    </w:p>
    <w:p>
      <w:pPr>
        <w:pStyle w:val="4"/>
        <w:spacing w:line="360" w:lineRule="auto"/>
        <w:ind w:firstLine="480" w:firstLineChars="200"/>
        <w:rPr>
          <w:rFonts w:hAnsi="宋体" w:cs="宋体"/>
          <w:sz w:val="24"/>
        </w:rPr>
      </w:pPr>
      <w:r>
        <w:rPr>
          <w:rFonts w:hint="eastAsia" w:hAnsi="宋体" w:cs="宋体"/>
          <w:sz w:val="24"/>
        </w:rPr>
        <w:t>②立项程序规范性得3分（共3分）</w:t>
      </w:r>
    </w:p>
    <w:p>
      <w:pPr>
        <w:pStyle w:val="4"/>
        <w:spacing w:line="360" w:lineRule="auto"/>
        <w:ind w:firstLine="480" w:firstLineChars="200"/>
        <w:rPr>
          <w:rFonts w:hAnsi="宋体" w:cs="宋体"/>
          <w:sz w:val="24"/>
        </w:rPr>
      </w:pPr>
      <w:r>
        <w:rPr>
          <w:rFonts w:hint="eastAsia" w:hAnsi="宋体" w:cs="宋体"/>
          <w:sz w:val="24"/>
        </w:rPr>
        <w:t>“立项程序规范性”方面，该项支出经费的下拨严格按照泉州市丰泽区财政局文件《2019年财政性禁毒工作经费保障情况》的规定程序申请设立，审批文件齐全，经过必要的评估论证与集体决策，此项指标可得满分3分。</w:t>
      </w:r>
    </w:p>
    <w:p>
      <w:pPr>
        <w:spacing w:line="360" w:lineRule="auto"/>
        <w:ind w:firstLine="482" w:firstLineChars="200"/>
        <w:rPr>
          <w:rFonts w:ascii="宋体" w:hAnsi="宋体" w:eastAsia="宋体" w:cs="宋体"/>
          <w:b/>
          <w:bCs/>
          <w:color w:val="000000"/>
          <w:sz w:val="24"/>
          <w:szCs w:val="22"/>
        </w:rPr>
      </w:pPr>
      <w:r>
        <w:rPr>
          <w:rFonts w:hint="eastAsia" w:ascii="宋体" w:hAnsi="宋体" w:eastAsia="宋体" w:cs="宋体"/>
          <w:b/>
          <w:bCs/>
          <w:color w:val="000000"/>
          <w:sz w:val="24"/>
          <w:szCs w:val="22"/>
        </w:rPr>
        <w:t>2.绩效目标得4分（共6分）</w:t>
      </w:r>
    </w:p>
    <w:p>
      <w:pPr>
        <w:pStyle w:val="4"/>
        <w:spacing w:line="360" w:lineRule="auto"/>
        <w:ind w:firstLine="480" w:firstLineChars="200"/>
        <w:rPr>
          <w:rFonts w:hAnsi="宋体" w:cs="宋体"/>
          <w:sz w:val="24"/>
        </w:rPr>
      </w:pPr>
      <w:r>
        <w:rPr>
          <w:rFonts w:hint="eastAsia" w:hAnsi="宋体" w:cs="宋体"/>
          <w:sz w:val="24"/>
        </w:rPr>
        <w:t>“绩效目标”从“绩效目标合理性”、“绩效指标明确性”二个三级指标进行评价。</w:t>
      </w:r>
    </w:p>
    <w:p>
      <w:pPr>
        <w:pStyle w:val="4"/>
        <w:spacing w:line="360" w:lineRule="auto"/>
        <w:ind w:firstLine="480" w:firstLineChars="200"/>
        <w:rPr>
          <w:rFonts w:hAnsi="宋体" w:cs="宋体"/>
          <w:sz w:val="24"/>
        </w:rPr>
      </w:pPr>
      <w:r>
        <w:rPr>
          <w:rFonts w:hint="eastAsia" w:hAnsi="宋体" w:cs="宋体"/>
          <w:sz w:val="24"/>
        </w:rPr>
        <w:t>①绩效目标合理性得3分（共4分）</w:t>
      </w:r>
    </w:p>
    <w:p>
      <w:pPr>
        <w:pStyle w:val="4"/>
        <w:spacing w:line="360" w:lineRule="auto"/>
        <w:ind w:firstLine="480" w:firstLineChars="200"/>
        <w:rPr>
          <w:rFonts w:hAnsi="宋体" w:cs="宋体"/>
          <w:sz w:val="24"/>
          <w:szCs w:val="24"/>
        </w:rPr>
      </w:pPr>
      <w:r>
        <w:rPr>
          <w:rFonts w:hint="eastAsia" w:hAnsi="宋体" w:cs="宋体"/>
          <w:sz w:val="24"/>
        </w:rPr>
        <w:t>“绩效目标合理性”评价项目绩效目标的设置情况</w:t>
      </w:r>
      <w:r>
        <w:rPr>
          <w:rFonts w:hint="eastAsia" w:hAnsi="宋体" w:cs="宋体"/>
          <w:sz w:val="24"/>
          <w:szCs w:val="24"/>
        </w:rPr>
        <w:t>。丰泽区禁毒办对2019年度禁毒工作专项经费开展自评，对产出、效益和满意度等目标分类进行细化，共设置了8个绩效目标，目标设置情况如表3所示，其中“成本目标”的设置不够合理，因为街道工作站和学校禁毒宣教室补助金额是根据相关文件规定给予街道和学校相应补助，实际建设经费远高于补助经费，设置为成本目标并不妥当。此外，该项工作经费注重可持续影响，但未设置该项指标的相应目标值。</w:t>
      </w:r>
      <w:r>
        <w:rPr>
          <w:rFonts w:hint="eastAsia" w:hAnsi="宋体" w:cs="宋体"/>
          <w:sz w:val="24"/>
        </w:rPr>
        <w:t>“绩效目标合理性”</w:t>
      </w:r>
      <w:r>
        <w:rPr>
          <w:rFonts w:hint="eastAsia" w:hAnsi="宋体" w:cs="宋体"/>
          <w:sz w:val="24"/>
          <w:szCs w:val="24"/>
        </w:rPr>
        <w:t>扣1分，得3分。</w:t>
      </w:r>
    </w:p>
    <w:p>
      <w:pPr>
        <w:pStyle w:val="4"/>
        <w:spacing w:line="360" w:lineRule="auto"/>
        <w:jc w:val="center"/>
        <w:rPr>
          <w:rFonts w:hAnsi="宋体" w:eastAsia="宋体" w:cs="宋体"/>
          <w:b/>
          <w:bCs/>
          <w:color w:val="000000"/>
          <w:sz w:val="24"/>
          <w:szCs w:val="22"/>
        </w:rPr>
      </w:pPr>
      <w:r>
        <w:rPr>
          <w:rFonts w:hint="eastAsia" w:hAnsi="宋体" w:eastAsia="宋体" w:cs="宋体"/>
          <w:b/>
          <w:bCs/>
          <w:color w:val="000000"/>
          <w:sz w:val="24"/>
          <w:szCs w:val="22"/>
        </w:rPr>
        <w:t>表3  2019年度禁毒工作专项经费自评指标设置</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2"/>
        <w:gridCol w:w="1712"/>
        <w:gridCol w:w="3736"/>
        <w:gridCol w:w="2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2" w:type="dxa"/>
            <w:vAlign w:val="center"/>
          </w:tcPr>
          <w:p>
            <w:pPr>
              <w:pStyle w:val="4"/>
              <w:spacing w:line="360" w:lineRule="auto"/>
              <w:jc w:val="center"/>
              <w:rPr>
                <w:rFonts w:hAnsi="宋体" w:eastAsia="宋体" w:cs="宋体"/>
                <w:b/>
                <w:bCs/>
                <w:color w:val="000000"/>
                <w:sz w:val="24"/>
                <w:szCs w:val="22"/>
              </w:rPr>
            </w:pPr>
            <w:r>
              <w:rPr>
                <w:rFonts w:hint="eastAsia" w:hAnsi="宋体" w:eastAsia="宋体" w:cs="宋体"/>
                <w:b/>
                <w:bCs/>
                <w:color w:val="000000"/>
                <w:sz w:val="24"/>
                <w:szCs w:val="22"/>
              </w:rPr>
              <w:t>目标分类</w:t>
            </w:r>
          </w:p>
        </w:tc>
        <w:tc>
          <w:tcPr>
            <w:tcW w:w="1712" w:type="dxa"/>
            <w:vAlign w:val="center"/>
          </w:tcPr>
          <w:p>
            <w:pPr>
              <w:pStyle w:val="4"/>
              <w:spacing w:line="360" w:lineRule="auto"/>
              <w:jc w:val="center"/>
              <w:rPr>
                <w:rFonts w:hAnsi="宋体" w:eastAsia="宋体" w:cs="宋体"/>
                <w:b/>
                <w:bCs/>
                <w:color w:val="000000"/>
                <w:sz w:val="24"/>
                <w:szCs w:val="22"/>
              </w:rPr>
            </w:pPr>
            <w:r>
              <w:rPr>
                <w:rFonts w:hint="eastAsia" w:hAnsi="宋体" w:eastAsia="宋体" w:cs="宋体"/>
                <w:b/>
                <w:bCs/>
                <w:color w:val="000000"/>
                <w:sz w:val="24"/>
                <w:szCs w:val="22"/>
              </w:rPr>
              <w:t>分类细化</w:t>
            </w:r>
          </w:p>
        </w:tc>
        <w:tc>
          <w:tcPr>
            <w:tcW w:w="3736" w:type="dxa"/>
            <w:vAlign w:val="center"/>
          </w:tcPr>
          <w:p>
            <w:pPr>
              <w:pStyle w:val="4"/>
              <w:spacing w:line="360" w:lineRule="auto"/>
              <w:jc w:val="center"/>
              <w:rPr>
                <w:rFonts w:hAnsi="宋体" w:eastAsia="宋体" w:cs="宋体"/>
                <w:b/>
                <w:bCs/>
                <w:color w:val="000000"/>
                <w:sz w:val="24"/>
                <w:szCs w:val="22"/>
              </w:rPr>
            </w:pPr>
            <w:r>
              <w:rPr>
                <w:rFonts w:hint="eastAsia" w:hAnsi="宋体" w:eastAsia="宋体" w:cs="宋体"/>
                <w:b/>
                <w:bCs/>
                <w:color w:val="000000"/>
                <w:sz w:val="24"/>
                <w:szCs w:val="22"/>
              </w:rPr>
              <w:t>绩效目标内容</w:t>
            </w:r>
          </w:p>
        </w:tc>
        <w:tc>
          <w:tcPr>
            <w:tcW w:w="2064" w:type="dxa"/>
            <w:vAlign w:val="center"/>
          </w:tcPr>
          <w:p>
            <w:pPr>
              <w:pStyle w:val="4"/>
              <w:spacing w:line="360" w:lineRule="auto"/>
              <w:jc w:val="center"/>
              <w:rPr>
                <w:rFonts w:hAnsi="宋体" w:eastAsia="宋体" w:cs="宋体"/>
                <w:b/>
                <w:bCs/>
                <w:color w:val="000000"/>
                <w:sz w:val="24"/>
                <w:szCs w:val="22"/>
              </w:rPr>
            </w:pPr>
            <w:r>
              <w:rPr>
                <w:rFonts w:hint="eastAsia" w:hAnsi="宋体" w:eastAsia="宋体" w:cs="宋体"/>
                <w:b/>
                <w:bCs/>
                <w:color w:val="000000"/>
                <w:sz w:val="24"/>
                <w:szCs w:val="22"/>
              </w:rPr>
              <w:t>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492" w:type="dxa"/>
            <w:vMerge w:val="restart"/>
            <w:vAlign w:val="center"/>
          </w:tcPr>
          <w:p>
            <w:pPr>
              <w:pStyle w:val="4"/>
              <w:spacing w:line="360" w:lineRule="auto"/>
              <w:jc w:val="center"/>
              <w:rPr>
                <w:rFonts w:hAnsi="宋体" w:eastAsia="宋体" w:cs="宋体"/>
                <w:b/>
                <w:bCs/>
                <w:color w:val="000000"/>
                <w:sz w:val="24"/>
                <w:szCs w:val="22"/>
              </w:rPr>
            </w:pPr>
            <w:r>
              <w:rPr>
                <w:rFonts w:hint="eastAsia" w:hAnsi="宋体" w:eastAsia="宋体" w:cs="宋体"/>
                <w:b/>
                <w:bCs/>
                <w:color w:val="000000"/>
                <w:sz w:val="24"/>
                <w:szCs w:val="22"/>
              </w:rPr>
              <w:t>产出指标</w:t>
            </w:r>
          </w:p>
        </w:tc>
        <w:tc>
          <w:tcPr>
            <w:tcW w:w="1712" w:type="dxa"/>
            <w:vMerge w:val="restart"/>
            <w:vAlign w:val="center"/>
          </w:tcPr>
          <w:p>
            <w:pPr>
              <w:jc w:val="center"/>
              <w:rPr>
                <w:rFonts w:ascii="宋体" w:hAnsi="宋体" w:eastAsia="宋体" w:cs="宋体"/>
                <w:spacing w:val="8"/>
                <w:szCs w:val="21"/>
                <w:shd w:val="clear" w:color="auto" w:fill="FFFFFF"/>
              </w:rPr>
            </w:pPr>
            <w:r>
              <w:rPr>
                <w:rFonts w:hint="eastAsia" w:ascii="宋体" w:hAnsi="宋体" w:eastAsia="宋体" w:cs="宋体"/>
                <w:spacing w:val="8"/>
                <w:szCs w:val="21"/>
                <w:shd w:val="clear" w:color="auto" w:fill="FFFFFF"/>
              </w:rPr>
              <w:t>数量目标</w:t>
            </w:r>
          </w:p>
        </w:tc>
        <w:tc>
          <w:tcPr>
            <w:tcW w:w="3736" w:type="dxa"/>
            <w:vAlign w:val="center"/>
          </w:tcPr>
          <w:p>
            <w:pPr>
              <w:jc w:val="center"/>
              <w:rPr>
                <w:rFonts w:ascii="宋体" w:hAnsi="宋体" w:eastAsia="宋体" w:cs="宋体"/>
                <w:spacing w:val="8"/>
                <w:szCs w:val="21"/>
                <w:shd w:val="clear" w:color="auto" w:fill="FFFFFF"/>
              </w:rPr>
            </w:pPr>
            <w:r>
              <w:rPr>
                <w:rFonts w:hint="eastAsia" w:ascii="宋体" w:hAnsi="宋体" w:eastAsia="宋体" w:cs="宋体"/>
                <w:spacing w:val="8"/>
                <w:szCs w:val="21"/>
                <w:shd w:val="clear" w:color="auto" w:fill="FFFFFF"/>
              </w:rPr>
              <w:t>街道创建社区戒毒社区康复工作站</w:t>
            </w:r>
          </w:p>
        </w:tc>
        <w:tc>
          <w:tcPr>
            <w:tcW w:w="2064" w:type="dxa"/>
            <w:vAlign w:val="center"/>
          </w:tcPr>
          <w:p>
            <w:pPr>
              <w:jc w:val="center"/>
              <w:rPr>
                <w:rFonts w:ascii="宋体" w:hAnsi="宋体" w:eastAsia="宋体" w:cs="宋体"/>
                <w:spacing w:val="8"/>
                <w:szCs w:val="21"/>
                <w:shd w:val="clear" w:color="auto" w:fill="FFFFFF"/>
              </w:rPr>
            </w:pPr>
            <w:r>
              <w:rPr>
                <w:rFonts w:hint="eastAsia" w:ascii="宋体" w:hAnsi="宋体" w:eastAsia="宋体" w:cs="宋体"/>
                <w:spacing w:val="8"/>
                <w:szCs w:val="21"/>
                <w:shd w:val="clear" w:color="auto" w:fill="FFFFFF"/>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492" w:type="dxa"/>
            <w:vMerge w:val="continue"/>
            <w:vAlign w:val="center"/>
          </w:tcPr>
          <w:p>
            <w:pPr>
              <w:pStyle w:val="4"/>
              <w:spacing w:line="360" w:lineRule="auto"/>
              <w:jc w:val="center"/>
              <w:rPr>
                <w:rFonts w:hAnsi="宋体" w:eastAsia="宋体" w:cs="宋体"/>
                <w:b/>
                <w:bCs/>
                <w:color w:val="000000"/>
                <w:sz w:val="24"/>
                <w:szCs w:val="22"/>
              </w:rPr>
            </w:pPr>
          </w:p>
        </w:tc>
        <w:tc>
          <w:tcPr>
            <w:tcW w:w="1712" w:type="dxa"/>
            <w:vMerge w:val="continue"/>
            <w:vAlign w:val="center"/>
          </w:tcPr>
          <w:p>
            <w:pPr>
              <w:jc w:val="center"/>
              <w:rPr>
                <w:rFonts w:ascii="宋体" w:hAnsi="宋体" w:eastAsia="宋体" w:cs="宋体"/>
                <w:spacing w:val="8"/>
                <w:szCs w:val="21"/>
                <w:shd w:val="clear" w:color="auto" w:fill="FFFFFF"/>
              </w:rPr>
            </w:pPr>
          </w:p>
        </w:tc>
        <w:tc>
          <w:tcPr>
            <w:tcW w:w="3736" w:type="dxa"/>
            <w:vAlign w:val="center"/>
          </w:tcPr>
          <w:p>
            <w:pPr>
              <w:jc w:val="center"/>
              <w:rPr>
                <w:rFonts w:ascii="宋体" w:hAnsi="宋体" w:eastAsia="宋体" w:cs="宋体"/>
                <w:spacing w:val="8"/>
                <w:szCs w:val="21"/>
                <w:shd w:val="clear" w:color="auto" w:fill="FFFFFF"/>
              </w:rPr>
            </w:pPr>
            <w:r>
              <w:rPr>
                <w:rFonts w:hint="eastAsia" w:ascii="宋体" w:hAnsi="宋体" w:eastAsia="宋体" w:cs="宋体"/>
                <w:spacing w:val="8"/>
                <w:szCs w:val="21"/>
                <w:shd w:val="clear" w:color="auto" w:fill="FFFFFF"/>
              </w:rPr>
              <w:t>创建林则徐禁毒宣教室</w:t>
            </w:r>
          </w:p>
        </w:tc>
        <w:tc>
          <w:tcPr>
            <w:tcW w:w="2064" w:type="dxa"/>
            <w:vAlign w:val="center"/>
          </w:tcPr>
          <w:p>
            <w:pPr>
              <w:jc w:val="center"/>
              <w:rPr>
                <w:rFonts w:ascii="宋体" w:hAnsi="宋体" w:eastAsia="宋体" w:cs="宋体"/>
                <w:spacing w:val="8"/>
                <w:szCs w:val="21"/>
                <w:shd w:val="clear" w:color="auto" w:fill="FFFFFF"/>
              </w:rPr>
            </w:pPr>
            <w:r>
              <w:rPr>
                <w:rFonts w:hint="eastAsia" w:ascii="宋体" w:hAnsi="宋体" w:eastAsia="宋体" w:cs="宋体"/>
                <w:spacing w:val="8"/>
                <w:szCs w:val="21"/>
                <w:shd w:val="clear" w:color="auto" w:fill="FFFFFF"/>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2" w:type="dxa"/>
            <w:vMerge w:val="continue"/>
            <w:vAlign w:val="center"/>
          </w:tcPr>
          <w:p>
            <w:pPr>
              <w:pStyle w:val="4"/>
              <w:spacing w:line="360" w:lineRule="auto"/>
              <w:jc w:val="center"/>
              <w:rPr>
                <w:rFonts w:hAnsi="宋体" w:eastAsia="宋体" w:cs="宋体"/>
                <w:b/>
                <w:bCs/>
                <w:color w:val="000000"/>
                <w:sz w:val="24"/>
                <w:szCs w:val="22"/>
              </w:rPr>
            </w:pPr>
          </w:p>
        </w:tc>
        <w:tc>
          <w:tcPr>
            <w:tcW w:w="1712" w:type="dxa"/>
            <w:vMerge w:val="restart"/>
            <w:vAlign w:val="center"/>
          </w:tcPr>
          <w:p>
            <w:pPr>
              <w:jc w:val="center"/>
              <w:rPr>
                <w:rFonts w:ascii="宋体" w:hAnsi="宋体" w:eastAsia="宋体" w:cs="宋体"/>
                <w:spacing w:val="8"/>
                <w:szCs w:val="21"/>
                <w:shd w:val="clear" w:color="auto" w:fill="FFFFFF"/>
              </w:rPr>
            </w:pPr>
            <w:r>
              <w:rPr>
                <w:rFonts w:hint="eastAsia" w:ascii="宋体" w:hAnsi="宋体" w:eastAsia="宋体" w:cs="宋体"/>
                <w:spacing w:val="8"/>
                <w:szCs w:val="21"/>
                <w:shd w:val="clear" w:color="auto" w:fill="FFFFFF"/>
              </w:rPr>
              <w:t>成本目标</w:t>
            </w:r>
          </w:p>
        </w:tc>
        <w:tc>
          <w:tcPr>
            <w:tcW w:w="3736" w:type="dxa"/>
            <w:vAlign w:val="center"/>
          </w:tcPr>
          <w:p>
            <w:pPr>
              <w:jc w:val="center"/>
              <w:rPr>
                <w:rFonts w:ascii="宋体" w:hAnsi="宋体" w:eastAsia="宋体" w:cs="宋体"/>
                <w:spacing w:val="8"/>
                <w:szCs w:val="21"/>
                <w:shd w:val="clear" w:color="auto" w:fill="FFFFFF"/>
              </w:rPr>
            </w:pPr>
            <w:r>
              <w:rPr>
                <w:rFonts w:hint="eastAsia" w:ascii="宋体" w:hAnsi="宋体" w:eastAsia="宋体" w:cs="宋体"/>
                <w:spacing w:val="8"/>
                <w:szCs w:val="21"/>
                <w:shd w:val="clear" w:color="auto" w:fill="FFFFFF"/>
              </w:rPr>
              <w:t>街道工作站补助经费</w:t>
            </w:r>
          </w:p>
        </w:tc>
        <w:tc>
          <w:tcPr>
            <w:tcW w:w="2064" w:type="dxa"/>
            <w:vAlign w:val="center"/>
          </w:tcPr>
          <w:p>
            <w:pPr>
              <w:jc w:val="center"/>
              <w:rPr>
                <w:rFonts w:ascii="宋体" w:hAnsi="宋体" w:eastAsia="宋体" w:cs="宋体"/>
                <w:spacing w:val="8"/>
                <w:szCs w:val="21"/>
                <w:shd w:val="clear" w:color="auto" w:fill="FFFFFF"/>
              </w:rPr>
            </w:pPr>
            <w:r>
              <w:rPr>
                <w:rFonts w:hint="eastAsia" w:ascii="宋体" w:hAnsi="宋体" w:eastAsia="宋体" w:cs="宋体"/>
                <w:spacing w:val="8"/>
                <w:szCs w:val="21"/>
                <w:shd w:val="clear" w:color="auto" w:fill="FFFFFF"/>
              </w:rPr>
              <w:t>5万/个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2" w:type="dxa"/>
            <w:vMerge w:val="continue"/>
            <w:vAlign w:val="center"/>
          </w:tcPr>
          <w:p>
            <w:pPr>
              <w:pStyle w:val="4"/>
              <w:spacing w:line="360" w:lineRule="auto"/>
              <w:jc w:val="center"/>
              <w:rPr>
                <w:rFonts w:hAnsi="宋体" w:eastAsia="宋体" w:cs="宋体"/>
                <w:b/>
                <w:bCs/>
                <w:color w:val="000000"/>
                <w:sz w:val="24"/>
                <w:szCs w:val="22"/>
              </w:rPr>
            </w:pPr>
          </w:p>
        </w:tc>
        <w:tc>
          <w:tcPr>
            <w:tcW w:w="1712" w:type="dxa"/>
            <w:vMerge w:val="continue"/>
            <w:vAlign w:val="center"/>
          </w:tcPr>
          <w:p>
            <w:pPr>
              <w:jc w:val="center"/>
              <w:rPr>
                <w:rFonts w:ascii="宋体" w:hAnsi="宋体" w:eastAsia="宋体" w:cs="宋体"/>
                <w:spacing w:val="8"/>
                <w:szCs w:val="21"/>
                <w:shd w:val="clear" w:color="auto" w:fill="FFFFFF"/>
              </w:rPr>
            </w:pPr>
          </w:p>
        </w:tc>
        <w:tc>
          <w:tcPr>
            <w:tcW w:w="3736" w:type="dxa"/>
            <w:vAlign w:val="center"/>
          </w:tcPr>
          <w:p>
            <w:pPr>
              <w:jc w:val="center"/>
              <w:rPr>
                <w:rFonts w:ascii="宋体" w:hAnsi="宋体" w:eastAsia="宋体" w:cs="宋体"/>
                <w:spacing w:val="8"/>
                <w:szCs w:val="21"/>
                <w:shd w:val="clear" w:color="auto" w:fill="FFFFFF"/>
              </w:rPr>
            </w:pPr>
            <w:r>
              <w:rPr>
                <w:rFonts w:hint="eastAsia" w:ascii="宋体" w:hAnsi="宋体" w:eastAsia="宋体" w:cs="宋体"/>
                <w:spacing w:val="8"/>
                <w:szCs w:val="21"/>
                <w:shd w:val="clear" w:color="auto" w:fill="FFFFFF"/>
              </w:rPr>
              <w:t>学校禁毒宣教室补助经费</w:t>
            </w:r>
          </w:p>
        </w:tc>
        <w:tc>
          <w:tcPr>
            <w:tcW w:w="2064" w:type="dxa"/>
            <w:vAlign w:val="center"/>
          </w:tcPr>
          <w:p>
            <w:pPr>
              <w:jc w:val="center"/>
              <w:rPr>
                <w:rFonts w:ascii="宋体" w:hAnsi="宋体" w:eastAsia="宋体" w:cs="宋体"/>
                <w:spacing w:val="8"/>
                <w:szCs w:val="21"/>
                <w:shd w:val="clear" w:color="auto" w:fill="FFFFFF"/>
              </w:rPr>
            </w:pPr>
            <w:r>
              <w:rPr>
                <w:rFonts w:hint="eastAsia" w:ascii="宋体" w:hAnsi="宋体" w:eastAsia="宋体" w:cs="宋体"/>
                <w:spacing w:val="8"/>
                <w:szCs w:val="21"/>
                <w:shd w:val="clear" w:color="auto" w:fill="FFFFFF"/>
              </w:rPr>
              <w:t>2万/所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2" w:type="dxa"/>
            <w:vMerge w:val="restart"/>
            <w:vAlign w:val="center"/>
          </w:tcPr>
          <w:p>
            <w:pPr>
              <w:pStyle w:val="4"/>
              <w:spacing w:line="360" w:lineRule="auto"/>
              <w:jc w:val="center"/>
              <w:rPr>
                <w:rFonts w:hAnsi="宋体" w:eastAsia="宋体" w:cs="宋体"/>
                <w:b/>
                <w:bCs/>
                <w:color w:val="000000"/>
                <w:sz w:val="24"/>
                <w:szCs w:val="22"/>
              </w:rPr>
            </w:pPr>
            <w:r>
              <w:rPr>
                <w:rFonts w:hint="eastAsia" w:hAnsi="宋体" w:eastAsia="宋体" w:cs="宋体"/>
                <w:b/>
                <w:bCs/>
                <w:color w:val="000000"/>
                <w:sz w:val="24"/>
                <w:szCs w:val="22"/>
              </w:rPr>
              <w:t>效益指标</w:t>
            </w:r>
          </w:p>
        </w:tc>
        <w:tc>
          <w:tcPr>
            <w:tcW w:w="1712" w:type="dxa"/>
            <w:vMerge w:val="restart"/>
            <w:vAlign w:val="center"/>
          </w:tcPr>
          <w:p>
            <w:pPr>
              <w:jc w:val="center"/>
              <w:rPr>
                <w:rFonts w:ascii="宋体" w:hAnsi="宋体" w:eastAsia="宋体" w:cs="宋体"/>
                <w:spacing w:val="8"/>
                <w:szCs w:val="21"/>
                <w:shd w:val="clear" w:color="auto" w:fill="FFFFFF"/>
              </w:rPr>
            </w:pPr>
            <w:r>
              <w:rPr>
                <w:rFonts w:hint="eastAsia" w:ascii="宋体" w:hAnsi="宋体" w:eastAsia="宋体" w:cs="宋体"/>
                <w:spacing w:val="8"/>
                <w:szCs w:val="21"/>
                <w:shd w:val="clear" w:color="auto" w:fill="FFFFFF"/>
              </w:rPr>
              <w:t>社会效益目标</w:t>
            </w:r>
          </w:p>
        </w:tc>
        <w:tc>
          <w:tcPr>
            <w:tcW w:w="3736" w:type="dxa"/>
            <w:vAlign w:val="center"/>
          </w:tcPr>
          <w:p>
            <w:pPr>
              <w:jc w:val="center"/>
              <w:rPr>
                <w:rFonts w:ascii="宋体" w:hAnsi="宋体" w:eastAsia="宋体" w:cs="宋体"/>
                <w:spacing w:val="8"/>
                <w:szCs w:val="21"/>
                <w:shd w:val="clear" w:color="auto" w:fill="FFFFFF"/>
              </w:rPr>
            </w:pPr>
            <w:r>
              <w:rPr>
                <w:rFonts w:hint="eastAsia" w:ascii="宋体" w:hAnsi="宋体" w:eastAsia="宋体" w:cs="宋体"/>
                <w:spacing w:val="8"/>
                <w:szCs w:val="21"/>
                <w:shd w:val="clear" w:color="auto" w:fill="FFFFFF"/>
              </w:rPr>
              <w:t>创建10所林则徐禁毒宣教室</w:t>
            </w:r>
          </w:p>
        </w:tc>
        <w:tc>
          <w:tcPr>
            <w:tcW w:w="2064" w:type="dxa"/>
            <w:vAlign w:val="center"/>
          </w:tcPr>
          <w:p>
            <w:pPr>
              <w:jc w:val="center"/>
              <w:rPr>
                <w:rFonts w:ascii="宋体" w:hAnsi="宋体" w:eastAsia="宋体" w:cs="宋体"/>
                <w:spacing w:val="8"/>
                <w:szCs w:val="21"/>
                <w:shd w:val="clear" w:color="auto" w:fill="FFFFFF"/>
              </w:rPr>
            </w:pPr>
            <w:r>
              <w:rPr>
                <w:rFonts w:hint="eastAsia" w:ascii="宋体" w:hAnsi="宋体" w:eastAsia="宋体" w:cs="宋体"/>
                <w:spacing w:val="8"/>
                <w:szCs w:val="21"/>
                <w:shd w:val="clear" w:color="auto" w:fill="FFFFFF"/>
              </w:rPr>
              <w:t>提高对青少年毒品预防教育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2" w:type="dxa"/>
            <w:vMerge w:val="continue"/>
            <w:vAlign w:val="center"/>
          </w:tcPr>
          <w:p>
            <w:pPr>
              <w:pStyle w:val="4"/>
              <w:spacing w:line="360" w:lineRule="auto"/>
              <w:jc w:val="center"/>
              <w:rPr>
                <w:rFonts w:hAnsi="宋体" w:eastAsia="宋体" w:cs="宋体"/>
                <w:b/>
                <w:bCs/>
                <w:color w:val="000000"/>
                <w:sz w:val="24"/>
                <w:szCs w:val="22"/>
              </w:rPr>
            </w:pPr>
          </w:p>
        </w:tc>
        <w:tc>
          <w:tcPr>
            <w:tcW w:w="1712" w:type="dxa"/>
            <w:vMerge w:val="continue"/>
            <w:vAlign w:val="center"/>
          </w:tcPr>
          <w:p>
            <w:pPr>
              <w:jc w:val="center"/>
              <w:rPr>
                <w:rFonts w:ascii="宋体" w:hAnsi="宋体" w:eastAsia="宋体" w:cs="宋体"/>
                <w:spacing w:val="8"/>
                <w:szCs w:val="21"/>
                <w:shd w:val="clear" w:color="auto" w:fill="FFFFFF"/>
              </w:rPr>
            </w:pPr>
          </w:p>
        </w:tc>
        <w:tc>
          <w:tcPr>
            <w:tcW w:w="3736" w:type="dxa"/>
            <w:vAlign w:val="center"/>
          </w:tcPr>
          <w:p>
            <w:pPr>
              <w:jc w:val="center"/>
              <w:rPr>
                <w:rFonts w:ascii="宋体" w:hAnsi="宋体" w:eastAsia="宋体" w:cs="宋体"/>
                <w:spacing w:val="8"/>
                <w:szCs w:val="21"/>
                <w:shd w:val="clear" w:color="auto" w:fill="FFFFFF"/>
              </w:rPr>
            </w:pPr>
            <w:r>
              <w:rPr>
                <w:rFonts w:hint="eastAsia" w:ascii="宋体" w:hAnsi="宋体" w:eastAsia="宋体" w:cs="宋体"/>
                <w:spacing w:val="8"/>
                <w:szCs w:val="21"/>
                <w:shd w:val="clear" w:color="auto" w:fill="FFFFFF"/>
              </w:rPr>
              <w:t>建设丰泽区林则徐禁毒教育基地</w:t>
            </w:r>
          </w:p>
        </w:tc>
        <w:tc>
          <w:tcPr>
            <w:tcW w:w="2064" w:type="dxa"/>
            <w:vAlign w:val="center"/>
          </w:tcPr>
          <w:p>
            <w:pPr>
              <w:jc w:val="center"/>
              <w:rPr>
                <w:rFonts w:ascii="宋体" w:hAnsi="宋体" w:eastAsia="宋体" w:cs="宋体"/>
                <w:spacing w:val="8"/>
                <w:szCs w:val="21"/>
                <w:shd w:val="clear" w:color="auto" w:fill="FFFFFF"/>
              </w:rPr>
            </w:pPr>
            <w:r>
              <w:rPr>
                <w:rFonts w:hint="eastAsia" w:ascii="宋体" w:hAnsi="宋体" w:eastAsia="宋体" w:cs="宋体"/>
                <w:spacing w:val="8"/>
                <w:szCs w:val="21"/>
                <w:shd w:val="clear" w:color="auto" w:fill="FFFFFF"/>
              </w:rPr>
              <w:t>提高群众对毒品的认知和毒品的危害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2" w:type="dxa"/>
            <w:vMerge w:val="continue"/>
            <w:vAlign w:val="center"/>
          </w:tcPr>
          <w:p>
            <w:pPr>
              <w:pStyle w:val="4"/>
              <w:spacing w:line="360" w:lineRule="auto"/>
              <w:jc w:val="center"/>
              <w:rPr>
                <w:rFonts w:hAnsi="宋体" w:eastAsia="宋体" w:cs="宋体"/>
                <w:b/>
                <w:bCs/>
                <w:color w:val="000000"/>
                <w:sz w:val="24"/>
                <w:szCs w:val="22"/>
              </w:rPr>
            </w:pPr>
          </w:p>
        </w:tc>
        <w:tc>
          <w:tcPr>
            <w:tcW w:w="1712" w:type="dxa"/>
            <w:vMerge w:val="continue"/>
            <w:vAlign w:val="center"/>
          </w:tcPr>
          <w:p>
            <w:pPr>
              <w:widowControl/>
              <w:jc w:val="center"/>
              <w:textAlignment w:val="center"/>
              <w:rPr>
                <w:rFonts w:ascii="宋体" w:hAnsi="宋体" w:eastAsia="宋体" w:cs="宋体"/>
                <w:color w:val="000000"/>
                <w:kern w:val="0"/>
                <w:sz w:val="18"/>
                <w:szCs w:val="18"/>
              </w:rPr>
            </w:pPr>
          </w:p>
        </w:tc>
        <w:tc>
          <w:tcPr>
            <w:tcW w:w="3736" w:type="dxa"/>
            <w:vAlign w:val="center"/>
          </w:tcPr>
          <w:p>
            <w:pPr>
              <w:jc w:val="center"/>
              <w:rPr>
                <w:rFonts w:ascii="宋体" w:hAnsi="宋体" w:eastAsia="宋体" w:cs="宋体"/>
                <w:spacing w:val="8"/>
                <w:szCs w:val="21"/>
                <w:shd w:val="clear" w:color="auto" w:fill="FFFFFF"/>
              </w:rPr>
            </w:pPr>
            <w:r>
              <w:rPr>
                <w:rFonts w:hint="eastAsia" w:ascii="宋体" w:hAnsi="宋体" w:eastAsia="宋体" w:cs="宋体"/>
                <w:spacing w:val="8"/>
                <w:szCs w:val="21"/>
                <w:shd w:val="clear" w:color="auto" w:fill="FFFFFF"/>
              </w:rPr>
              <w:t>开展各型禁毒宣传活动</w:t>
            </w:r>
          </w:p>
        </w:tc>
        <w:tc>
          <w:tcPr>
            <w:tcW w:w="2064" w:type="dxa"/>
            <w:vAlign w:val="center"/>
          </w:tcPr>
          <w:p>
            <w:pPr>
              <w:jc w:val="center"/>
              <w:rPr>
                <w:rFonts w:ascii="宋体" w:hAnsi="宋体" w:eastAsia="宋体" w:cs="宋体"/>
                <w:spacing w:val="8"/>
                <w:szCs w:val="21"/>
                <w:shd w:val="clear" w:color="auto" w:fill="FFFFFF"/>
              </w:rPr>
            </w:pPr>
            <w:r>
              <w:rPr>
                <w:rFonts w:hint="eastAsia" w:ascii="宋体" w:hAnsi="宋体" w:eastAsia="宋体" w:cs="宋体"/>
                <w:spacing w:val="8"/>
                <w:szCs w:val="21"/>
                <w:shd w:val="clear" w:color="auto" w:fill="FFFFFF"/>
              </w:rPr>
              <w:t>泉丰禁办〔2019〕17号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2" w:type="dxa"/>
            <w:vAlign w:val="center"/>
          </w:tcPr>
          <w:p>
            <w:pPr>
              <w:pStyle w:val="4"/>
              <w:spacing w:line="360" w:lineRule="auto"/>
              <w:jc w:val="center"/>
              <w:rPr>
                <w:rFonts w:hAnsi="宋体" w:eastAsia="宋体" w:cs="宋体"/>
                <w:b/>
                <w:bCs/>
                <w:color w:val="000000"/>
                <w:sz w:val="24"/>
                <w:szCs w:val="22"/>
              </w:rPr>
            </w:pPr>
            <w:r>
              <w:rPr>
                <w:rFonts w:hint="eastAsia" w:hAnsi="宋体" w:eastAsia="宋体" w:cs="宋体"/>
                <w:b/>
                <w:bCs/>
                <w:color w:val="000000"/>
                <w:sz w:val="24"/>
                <w:szCs w:val="22"/>
              </w:rPr>
              <w:t>满意度指标</w:t>
            </w:r>
          </w:p>
        </w:tc>
        <w:tc>
          <w:tcPr>
            <w:tcW w:w="1712" w:type="dxa"/>
            <w:vAlign w:val="center"/>
          </w:tcPr>
          <w:p>
            <w:pPr>
              <w:widowControl/>
              <w:jc w:val="center"/>
              <w:textAlignment w:val="center"/>
              <w:rPr>
                <w:rFonts w:ascii="宋体" w:hAnsi="宋体" w:eastAsia="宋体" w:cs="宋体"/>
                <w:spacing w:val="8"/>
                <w:szCs w:val="21"/>
                <w:shd w:val="clear" w:color="auto" w:fill="FFFFFF"/>
              </w:rPr>
            </w:pPr>
            <w:r>
              <w:rPr>
                <w:rFonts w:hint="eastAsia" w:ascii="宋体" w:hAnsi="宋体" w:eastAsia="宋体" w:cs="宋体"/>
                <w:spacing w:val="8"/>
                <w:szCs w:val="21"/>
                <w:shd w:val="clear" w:color="auto" w:fill="FFFFFF"/>
              </w:rPr>
              <w:t>服务对象满意度指标</w:t>
            </w:r>
          </w:p>
        </w:tc>
        <w:tc>
          <w:tcPr>
            <w:tcW w:w="3736" w:type="dxa"/>
            <w:vAlign w:val="center"/>
          </w:tcPr>
          <w:p>
            <w:pPr>
              <w:jc w:val="center"/>
              <w:rPr>
                <w:rFonts w:ascii="宋体" w:hAnsi="宋体" w:eastAsia="宋体" w:cs="宋体"/>
                <w:spacing w:val="8"/>
                <w:szCs w:val="21"/>
                <w:shd w:val="clear" w:color="auto" w:fill="FFFFFF"/>
              </w:rPr>
            </w:pPr>
            <w:r>
              <w:rPr>
                <w:rFonts w:hint="eastAsia" w:ascii="宋体" w:hAnsi="宋体" w:eastAsia="宋体" w:cs="宋体"/>
                <w:spacing w:val="8"/>
                <w:szCs w:val="21"/>
                <w:shd w:val="clear" w:color="auto" w:fill="FFFFFF"/>
              </w:rPr>
              <w:t>收到投诉件</w:t>
            </w:r>
          </w:p>
        </w:tc>
        <w:tc>
          <w:tcPr>
            <w:tcW w:w="2064" w:type="dxa"/>
            <w:vAlign w:val="center"/>
          </w:tcPr>
          <w:p>
            <w:pPr>
              <w:jc w:val="center"/>
              <w:rPr>
                <w:rFonts w:ascii="宋体" w:hAnsi="宋体" w:eastAsia="宋体" w:cs="宋体"/>
                <w:spacing w:val="8"/>
                <w:szCs w:val="21"/>
                <w:shd w:val="clear" w:color="auto" w:fill="FFFFFF"/>
              </w:rPr>
            </w:pPr>
            <w:r>
              <w:rPr>
                <w:rFonts w:hint="eastAsia" w:ascii="宋体" w:hAnsi="宋体" w:eastAsia="宋体" w:cs="宋体"/>
                <w:spacing w:val="8"/>
                <w:szCs w:val="21"/>
                <w:shd w:val="clear" w:color="auto" w:fill="FFFFFF"/>
              </w:rPr>
              <w:t>0件</w:t>
            </w:r>
          </w:p>
        </w:tc>
      </w:tr>
    </w:tbl>
    <w:p>
      <w:pPr>
        <w:pStyle w:val="4"/>
        <w:spacing w:line="360" w:lineRule="auto"/>
        <w:ind w:firstLine="480" w:firstLineChars="200"/>
        <w:rPr>
          <w:rFonts w:hAnsi="宋体" w:cs="宋体"/>
          <w:sz w:val="24"/>
          <w:szCs w:val="24"/>
        </w:rPr>
      </w:pPr>
      <w:r>
        <w:rPr>
          <w:rFonts w:hint="eastAsia" w:hAnsi="宋体" w:cs="宋体"/>
          <w:sz w:val="24"/>
          <w:szCs w:val="24"/>
        </w:rPr>
        <w:t>②绩效指标明确性得1分（共2分）</w:t>
      </w:r>
    </w:p>
    <w:p>
      <w:pPr>
        <w:pStyle w:val="4"/>
        <w:spacing w:line="360" w:lineRule="auto"/>
        <w:ind w:firstLine="480" w:firstLineChars="200"/>
        <w:rPr>
          <w:rFonts w:hAnsi="宋体" w:cs="宋体"/>
          <w:sz w:val="24"/>
          <w:szCs w:val="24"/>
        </w:rPr>
      </w:pPr>
      <w:r>
        <w:rPr>
          <w:rFonts w:hint="eastAsia" w:hAnsi="宋体" w:cs="宋体"/>
          <w:sz w:val="24"/>
          <w:szCs w:val="24"/>
        </w:rPr>
        <w:t>“绩效指标明确性”评价项目绩效目标是否将绩效目标细化分解为具体的工作任务；是否通过清晰、可衡量的指标值予以体现。如表3所示，自评表中“社会效益目标”全部为定性目标，缺少定量目标，目标值不够清晰、难以衡量。该项指标扣1分，得1分。</w:t>
      </w:r>
    </w:p>
    <w:p>
      <w:pPr>
        <w:spacing w:line="360" w:lineRule="auto"/>
        <w:ind w:firstLine="482" w:firstLineChars="200"/>
        <w:rPr>
          <w:rFonts w:ascii="宋体" w:hAnsi="宋体" w:eastAsia="宋体" w:cs="宋体"/>
          <w:b/>
          <w:bCs/>
          <w:color w:val="000000"/>
          <w:sz w:val="24"/>
          <w:szCs w:val="22"/>
        </w:rPr>
      </w:pPr>
      <w:r>
        <w:rPr>
          <w:rFonts w:hint="eastAsia" w:ascii="宋体" w:hAnsi="宋体" w:eastAsia="宋体" w:cs="宋体"/>
          <w:b/>
          <w:bCs/>
          <w:color w:val="000000"/>
          <w:sz w:val="24"/>
          <w:szCs w:val="22"/>
        </w:rPr>
        <w:t>3.资金投入得</w:t>
      </w:r>
      <w:r>
        <w:rPr>
          <w:rFonts w:hint="eastAsia" w:ascii="宋体" w:hAnsi="宋体" w:eastAsia="宋体" w:cs="宋体"/>
          <w:b/>
          <w:bCs/>
          <w:color w:val="000000"/>
          <w:sz w:val="24"/>
          <w:szCs w:val="22"/>
          <w:lang w:val="en-US" w:eastAsia="zh-CN"/>
        </w:rPr>
        <w:t>5</w:t>
      </w:r>
      <w:r>
        <w:rPr>
          <w:rFonts w:hint="eastAsia" w:ascii="宋体" w:hAnsi="宋体" w:eastAsia="宋体" w:cs="宋体"/>
          <w:b/>
          <w:bCs/>
          <w:color w:val="000000"/>
          <w:sz w:val="24"/>
          <w:szCs w:val="22"/>
        </w:rPr>
        <w:t>分（共6分）</w:t>
      </w:r>
    </w:p>
    <w:p>
      <w:pPr>
        <w:pStyle w:val="4"/>
        <w:spacing w:line="360" w:lineRule="auto"/>
        <w:ind w:firstLine="480" w:firstLineChars="200"/>
        <w:rPr>
          <w:rFonts w:hAnsi="宋体" w:cs="宋体"/>
          <w:sz w:val="24"/>
        </w:rPr>
      </w:pPr>
      <w:r>
        <w:rPr>
          <w:rFonts w:hint="eastAsia" w:hAnsi="宋体" w:cs="宋体"/>
          <w:sz w:val="24"/>
        </w:rPr>
        <w:t>“资金投入”从“</w:t>
      </w:r>
      <w:r>
        <w:rPr>
          <w:rFonts w:hint="eastAsia" w:hAnsi="宋体" w:cs="宋体"/>
          <w:sz w:val="24"/>
          <w:szCs w:val="24"/>
        </w:rPr>
        <w:t>预算编制科学性</w:t>
      </w:r>
      <w:r>
        <w:rPr>
          <w:rFonts w:hint="eastAsia" w:hAnsi="宋体" w:cs="宋体"/>
          <w:sz w:val="24"/>
        </w:rPr>
        <w:t>”、“</w:t>
      </w:r>
      <w:r>
        <w:rPr>
          <w:rFonts w:hint="eastAsia" w:hAnsi="宋体" w:cs="宋体"/>
          <w:sz w:val="24"/>
          <w:szCs w:val="24"/>
        </w:rPr>
        <w:t>资金分配合理性</w:t>
      </w:r>
      <w:r>
        <w:rPr>
          <w:rFonts w:hint="eastAsia" w:hAnsi="宋体" w:cs="宋体"/>
          <w:sz w:val="24"/>
        </w:rPr>
        <w:t>”二个三级指标进行评价。</w:t>
      </w:r>
    </w:p>
    <w:p>
      <w:pPr>
        <w:pStyle w:val="4"/>
        <w:spacing w:line="360" w:lineRule="auto"/>
        <w:ind w:firstLine="480" w:firstLineChars="200"/>
        <w:rPr>
          <w:rFonts w:hAnsi="宋体" w:cs="宋体"/>
          <w:sz w:val="24"/>
          <w:szCs w:val="24"/>
        </w:rPr>
      </w:pPr>
      <w:r>
        <w:rPr>
          <w:rFonts w:hint="eastAsia" w:hAnsi="宋体" w:cs="宋体"/>
          <w:sz w:val="24"/>
          <w:szCs w:val="24"/>
        </w:rPr>
        <w:t>①预算编制科学性得2分（共2分）</w:t>
      </w:r>
    </w:p>
    <w:p>
      <w:pPr>
        <w:pStyle w:val="4"/>
        <w:spacing w:line="360" w:lineRule="auto"/>
        <w:ind w:firstLine="480" w:firstLineChars="200"/>
        <w:rPr>
          <w:rFonts w:hAnsi="宋体" w:cs="宋体"/>
          <w:sz w:val="24"/>
          <w:szCs w:val="24"/>
        </w:rPr>
      </w:pPr>
      <w:r>
        <w:rPr>
          <w:rFonts w:hint="eastAsia" w:hAnsi="宋体" w:cs="宋体"/>
          <w:sz w:val="24"/>
          <w:szCs w:val="24"/>
        </w:rPr>
        <w:t>“预算编制科学性”评价用于评价预算编制情况。因禁毒工作专项经费主要用于各街道社区（学校）禁毒宣传基地、工作站等建设补助，预算内容与项目内容相匹配，预算确定的项目投资额或资金量基本与工作任务相匹配。该项指标满分2分，得2分。</w:t>
      </w:r>
    </w:p>
    <w:p>
      <w:pPr>
        <w:pStyle w:val="4"/>
        <w:spacing w:line="360" w:lineRule="auto"/>
        <w:ind w:firstLine="480" w:firstLineChars="200"/>
        <w:rPr>
          <w:rFonts w:hAnsi="宋体" w:cs="宋体"/>
          <w:sz w:val="24"/>
          <w:szCs w:val="24"/>
        </w:rPr>
      </w:pPr>
      <w:r>
        <w:rPr>
          <w:rFonts w:hint="eastAsia" w:hAnsi="宋体" w:cs="宋体"/>
          <w:sz w:val="24"/>
          <w:szCs w:val="24"/>
        </w:rPr>
        <w:t>②资金分配合理性得</w:t>
      </w:r>
      <w:r>
        <w:rPr>
          <w:rFonts w:hint="eastAsia" w:hAnsi="宋体" w:cs="宋体"/>
          <w:sz w:val="24"/>
          <w:szCs w:val="24"/>
          <w:lang w:val="en-US" w:eastAsia="zh-CN"/>
        </w:rPr>
        <w:t>3</w:t>
      </w:r>
      <w:r>
        <w:rPr>
          <w:rFonts w:hint="eastAsia" w:hAnsi="宋体" w:cs="宋体"/>
          <w:sz w:val="24"/>
          <w:szCs w:val="24"/>
        </w:rPr>
        <w:t>分（共4分）</w:t>
      </w:r>
    </w:p>
    <w:p>
      <w:pPr>
        <w:pStyle w:val="4"/>
        <w:spacing w:line="360" w:lineRule="auto"/>
        <w:ind w:firstLine="480" w:firstLineChars="200"/>
        <w:rPr>
          <w:rFonts w:hAnsi="宋体" w:cs="宋体"/>
          <w:sz w:val="24"/>
          <w:szCs w:val="24"/>
        </w:rPr>
      </w:pPr>
      <w:r>
        <w:rPr>
          <w:rFonts w:hint="eastAsia" w:hAnsi="宋体" w:cs="宋体"/>
          <w:sz w:val="24"/>
          <w:szCs w:val="24"/>
        </w:rPr>
        <w:t>“资金分配合理性”评价</w:t>
      </w:r>
      <w:r>
        <w:rPr>
          <w:rFonts w:hint="eastAsia" w:hAnsi="宋体" w:eastAsia="宋体" w:cs="宋体"/>
          <w:sz w:val="24"/>
          <w:szCs w:val="24"/>
        </w:rPr>
        <w:t>财政资金在具体项目中的分配情况。</w:t>
      </w:r>
      <w:r>
        <w:rPr>
          <w:rFonts w:hint="eastAsia" w:hAnsi="宋体" w:cs="宋体"/>
          <w:sz w:val="24"/>
          <w:szCs w:val="24"/>
        </w:rPr>
        <w:t>禁毒工作专项经费中的宣传基地建设补助经费基本上按照各街道社区（学校）禁毒宣传基地、工作站的建设需求和街道社区收入情况予以分配补助，</w:t>
      </w:r>
      <w:r>
        <w:rPr>
          <w:rFonts w:hint="eastAsia" w:hAnsi="宋体" w:cs="宋体"/>
          <w:sz w:val="24"/>
          <w:szCs w:val="24"/>
          <w:lang w:val="en-US" w:eastAsia="zh-CN"/>
        </w:rPr>
        <w:t>但是总体经费分配上在办案经费投入相对较少，宣传与办案工作的</w:t>
      </w:r>
      <w:r>
        <w:rPr>
          <w:rFonts w:hint="eastAsia" w:hAnsi="宋体" w:cs="宋体"/>
          <w:sz w:val="24"/>
          <w:szCs w:val="24"/>
        </w:rPr>
        <w:t>资金分配</w:t>
      </w:r>
      <w:r>
        <w:rPr>
          <w:rFonts w:hint="eastAsia" w:hAnsi="宋体" w:cs="宋体"/>
          <w:sz w:val="24"/>
          <w:szCs w:val="24"/>
          <w:lang w:val="en-US" w:eastAsia="zh-CN"/>
        </w:rPr>
        <w:t>不够</w:t>
      </w:r>
      <w:r>
        <w:rPr>
          <w:rFonts w:hint="eastAsia" w:hAnsi="宋体" w:cs="宋体"/>
          <w:sz w:val="24"/>
          <w:szCs w:val="24"/>
        </w:rPr>
        <w:t>合理。该项指标</w:t>
      </w:r>
      <w:r>
        <w:rPr>
          <w:rFonts w:hint="eastAsia" w:hAnsi="宋体" w:cs="宋体"/>
          <w:sz w:val="24"/>
          <w:szCs w:val="24"/>
          <w:lang w:val="en-US" w:eastAsia="zh-CN"/>
        </w:rPr>
        <w:t>扣1分，</w:t>
      </w:r>
      <w:r>
        <w:rPr>
          <w:rFonts w:hint="eastAsia" w:hAnsi="宋体" w:cs="宋体"/>
          <w:sz w:val="24"/>
          <w:szCs w:val="24"/>
        </w:rPr>
        <w:t>得</w:t>
      </w:r>
      <w:r>
        <w:rPr>
          <w:rFonts w:hint="eastAsia" w:hAnsi="宋体" w:cs="宋体"/>
          <w:sz w:val="24"/>
          <w:szCs w:val="24"/>
          <w:lang w:val="en-US" w:eastAsia="zh-CN"/>
        </w:rPr>
        <w:t>3</w:t>
      </w:r>
      <w:r>
        <w:rPr>
          <w:rFonts w:hint="eastAsia" w:hAnsi="宋体" w:cs="宋体"/>
          <w:sz w:val="24"/>
          <w:szCs w:val="24"/>
        </w:rPr>
        <w:t>分。</w:t>
      </w:r>
    </w:p>
    <w:p>
      <w:pPr>
        <w:pStyle w:val="10"/>
        <w:ind w:firstLine="562"/>
        <w:outlineLvl w:val="1"/>
        <w:rPr>
          <w:rFonts w:asciiTheme="minorEastAsia" w:hAnsiTheme="minorEastAsia" w:eastAsiaTheme="minorEastAsia" w:cstheme="minorEastAsia"/>
        </w:rPr>
      </w:pPr>
      <w:bookmarkStart w:id="10" w:name="_Toc3789"/>
      <w:r>
        <w:rPr>
          <w:rFonts w:hint="eastAsia" w:asciiTheme="minorEastAsia" w:hAnsiTheme="minorEastAsia" w:eastAsiaTheme="minorEastAsia" w:cstheme="minorEastAsia"/>
        </w:rPr>
        <w:t>（二）项目过程指标得13分（共14分）</w:t>
      </w:r>
      <w:bookmarkEnd w:id="10"/>
      <w:bookmarkStart w:id="11" w:name="_Toc500226192"/>
    </w:p>
    <w:bookmarkEnd w:id="11"/>
    <w:p>
      <w:pPr>
        <w:pStyle w:val="4"/>
        <w:spacing w:line="360" w:lineRule="auto"/>
        <w:ind w:firstLine="480" w:firstLineChars="200"/>
        <w:rPr>
          <w:rFonts w:hAnsi="宋体" w:cs="宋体"/>
          <w:sz w:val="24"/>
          <w:szCs w:val="24"/>
        </w:rPr>
      </w:pPr>
      <w:r>
        <w:rPr>
          <w:rFonts w:hint="eastAsia" w:hAnsi="宋体" w:cs="宋体"/>
          <w:sz w:val="24"/>
          <w:szCs w:val="24"/>
        </w:rPr>
        <w:t>一级指标“过程”下设“资金管理”、“组织实施”二个二级指标。</w:t>
      </w:r>
    </w:p>
    <w:p>
      <w:pPr>
        <w:spacing w:line="360" w:lineRule="auto"/>
        <w:ind w:firstLine="482" w:firstLineChars="200"/>
        <w:rPr>
          <w:rFonts w:ascii="宋体" w:hAnsi="宋体" w:eastAsia="宋体" w:cs="宋体"/>
          <w:b/>
          <w:bCs/>
          <w:color w:val="000000"/>
          <w:sz w:val="24"/>
          <w:szCs w:val="22"/>
        </w:rPr>
      </w:pPr>
      <w:r>
        <w:rPr>
          <w:rFonts w:hint="eastAsia" w:ascii="宋体" w:hAnsi="宋体" w:eastAsia="宋体" w:cs="宋体"/>
          <w:b/>
          <w:bCs/>
          <w:color w:val="000000"/>
          <w:sz w:val="24"/>
          <w:szCs w:val="22"/>
        </w:rPr>
        <w:t>1.资金管理得8分（共9分）</w:t>
      </w:r>
    </w:p>
    <w:p>
      <w:pPr>
        <w:pStyle w:val="4"/>
        <w:spacing w:line="360" w:lineRule="auto"/>
        <w:ind w:firstLine="480" w:firstLineChars="200"/>
        <w:rPr>
          <w:rFonts w:hAnsi="宋体" w:cs="宋体"/>
          <w:sz w:val="24"/>
          <w:szCs w:val="24"/>
        </w:rPr>
      </w:pPr>
      <w:r>
        <w:rPr>
          <w:rFonts w:hint="eastAsia" w:hAnsi="宋体" w:cs="宋体"/>
          <w:sz w:val="24"/>
          <w:szCs w:val="24"/>
        </w:rPr>
        <w:t>“资金管理”从“资金到位率”、“预算执行率”和“资金使用合规性”三个三级指标进行评价。</w:t>
      </w:r>
    </w:p>
    <w:p>
      <w:pPr>
        <w:pStyle w:val="4"/>
        <w:spacing w:line="360" w:lineRule="auto"/>
        <w:ind w:firstLine="480" w:firstLineChars="200"/>
        <w:rPr>
          <w:rFonts w:hAnsi="宋体" w:cs="宋体"/>
          <w:sz w:val="24"/>
          <w:szCs w:val="24"/>
        </w:rPr>
      </w:pPr>
      <w:r>
        <w:rPr>
          <w:rFonts w:hint="eastAsia" w:hAnsi="宋体" w:cs="宋体"/>
          <w:sz w:val="24"/>
          <w:szCs w:val="24"/>
        </w:rPr>
        <w:t>①资金到位率得2分（共2分）</w:t>
      </w:r>
    </w:p>
    <w:p>
      <w:pPr>
        <w:pStyle w:val="4"/>
        <w:spacing w:line="360" w:lineRule="auto"/>
        <w:ind w:firstLine="480" w:firstLineChars="200"/>
        <w:rPr>
          <w:rFonts w:hAnsi="宋体" w:cs="宋体"/>
          <w:sz w:val="24"/>
          <w:szCs w:val="24"/>
        </w:rPr>
      </w:pPr>
      <w:r>
        <w:rPr>
          <w:rFonts w:hint="eastAsia" w:hAnsi="宋体" w:cs="宋体"/>
          <w:sz w:val="24"/>
          <w:szCs w:val="24"/>
        </w:rPr>
        <w:t>“资金到位率”指标用于说明资金到位情况。资金到位率=（实际到位资金/预算资金）×100%，预算资金在2019年度内全部及时到位得满分。2019年预算资金500万元全部实际到位，资金到位率为100%。该项指标得满分2分。</w:t>
      </w:r>
    </w:p>
    <w:p>
      <w:pPr>
        <w:pStyle w:val="4"/>
        <w:spacing w:line="360" w:lineRule="auto"/>
        <w:ind w:firstLine="480" w:firstLineChars="200"/>
        <w:rPr>
          <w:rFonts w:hAnsi="宋体" w:cs="宋体"/>
          <w:sz w:val="24"/>
          <w:szCs w:val="24"/>
        </w:rPr>
      </w:pPr>
      <w:r>
        <w:rPr>
          <w:rFonts w:hint="eastAsia" w:hAnsi="宋体" w:cs="宋体"/>
          <w:sz w:val="24"/>
          <w:szCs w:val="24"/>
        </w:rPr>
        <w:t>②预算执行率得2分（共3分）</w:t>
      </w:r>
    </w:p>
    <w:p>
      <w:pPr>
        <w:pStyle w:val="4"/>
        <w:spacing w:line="360" w:lineRule="auto"/>
        <w:ind w:firstLine="480" w:firstLineChars="200"/>
        <w:rPr>
          <w:rFonts w:hAnsi="宋体" w:cs="宋体"/>
          <w:sz w:val="24"/>
          <w:szCs w:val="24"/>
        </w:rPr>
      </w:pPr>
      <w:r>
        <w:rPr>
          <w:rFonts w:hint="eastAsia" w:hAnsi="宋体" w:cs="宋体"/>
          <w:sz w:val="24"/>
          <w:szCs w:val="24"/>
        </w:rPr>
        <w:t>“预算执行率”指标用于衡量资金使用情况，预算执行率=实际使用资金/年初预算数×100%，执行率应大于等于95%。根据自评表，至2020年3月11日实际支出资金为467.95万元，实际到位资金为500万元，预算执行率93.59%。根据评分标准，该项指标扣1分，得2分。</w:t>
      </w:r>
    </w:p>
    <w:p>
      <w:pPr>
        <w:pStyle w:val="4"/>
        <w:spacing w:line="360" w:lineRule="auto"/>
        <w:ind w:firstLine="480" w:firstLineChars="200"/>
        <w:rPr>
          <w:rFonts w:hAnsi="宋体" w:cs="宋体"/>
          <w:sz w:val="24"/>
          <w:szCs w:val="24"/>
        </w:rPr>
      </w:pPr>
      <w:r>
        <w:rPr>
          <w:rFonts w:hint="eastAsia" w:hAnsi="宋体" w:cs="宋体"/>
          <w:sz w:val="24"/>
          <w:szCs w:val="24"/>
        </w:rPr>
        <w:t>③资金使用合规性得4分（共4分）</w:t>
      </w:r>
    </w:p>
    <w:p>
      <w:pPr>
        <w:pStyle w:val="4"/>
        <w:spacing w:line="360" w:lineRule="auto"/>
        <w:ind w:firstLine="480" w:firstLineChars="200"/>
        <w:rPr>
          <w:rFonts w:hAnsi="宋体" w:cs="宋体"/>
          <w:sz w:val="24"/>
          <w:szCs w:val="24"/>
        </w:rPr>
      </w:pPr>
      <w:r>
        <w:rPr>
          <w:rFonts w:hint="eastAsia" w:hAnsi="宋体" w:cs="宋体"/>
          <w:sz w:val="24"/>
          <w:szCs w:val="24"/>
        </w:rPr>
        <w:t>“资金使用合规性”指标用于评价资金使用是否违规。评价工作组通过对2019年泉州市丰泽区禁毒工作专项经费的来源、拨付、使用情况等基本数据的了解，查阅了相关的预决算数据，认为本项目资金的使用符合相关制度规定，资金的拨付手续完整，符合部门预算批复的用途，项目</w:t>
      </w:r>
      <w:r>
        <w:rPr>
          <w:rFonts w:hint="eastAsia" w:hAnsi="宋体" w:cs="宋体"/>
          <w:sz w:val="24"/>
          <w:szCs w:val="24"/>
          <w:lang w:eastAsia="zh-CN"/>
        </w:rPr>
        <w:t>支出</w:t>
      </w:r>
      <w:r>
        <w:rPr>
          <w:rFonts w:hint="eastAsia" w:hAnsi="宋体" w:cs="宋体"/>
          <w:sz w:val="24"/>
          <w:szCs w:val="24"/>
        </w:rPr>
        <w:t>均</w:t>
      </w:r>
      <w:r>
        <w:rPr>
          <w:rFonts w:hint="eastAsia" w:hAnsi="宋体" w:cs="宋体"/>
          <w:sz w:val="24"/>
          <w:szCs w:val="24"/>
          <w:lang w:eastAsia="zh-CN"/>
        </w:rPr>
        <w:t>由</w:t>
      </w:r>
      <w:r>
        <w:rPr>
          <w:rFonts w:hint="eastAsia" w:hAnsi="宋体" w:cs="宋体"/>
          <w:sz w:val="24"/>
          <w:szCs w:val="24"/>
        </w:rPr>
        <w:t>区政府</w:t>
      </w:r>
      <w:r>
        <w:rPr>
          <w:rFonts w:hint="eastAsia" w:hAnsi="宋体" w:cs="宋体"/>
          <w:sz w:val="24"/>
          <w:szCs w:val="24"/>
          <w:lang w:eastAsia="zh-CN"/>
        </w:rPr>
        <w:t>下达</w:t>
      </w:r>
      <w:r>
        <w:rPr>
          <w:rFonts w:hint="eastAsia" w:hAnsi="宋体" w:cs="宋体"/>
          <w:sz w:val="24"/>
          <w:szCs w:val="24"/>
        </w:rPr>
        <w:t>指示，1万</w:t>
      </w:r>
      <w:r>
        <w:rPr>
          <w:rFonts w:hint="eastAsia" w:hAnsi="宋体" w:cs="宋体"/>
          <w:sz w:val="24"/>
          <w:szCs w:val="24"/>
          <w:lang w:eastAsia="zh-CN"/>
        </w:rPr>
        <w:t>元</w:t>
      </w:r>
      <w:r>
        <w:rPr>
          <w:rFonts w:hint="eastAsia" w:hAnsi="宋体" w:cs="宋体"/>
          <w:sz w:val="24"/>
          <w:szCs w:val="24"/>
        </w:rPr>
        <w:t>以内</w:t>
      </w:r>
      <w:r>
        <w:rPr>
          <w:rFonts w:hint="eastAsia" w:hAnsi="宋体" w:cs="宋体"/>
          <w:sz w:val="24"/>
          <w:szCs w:val="24"/>
          <w:lang w:eastAsia="zh-CN"/>
        </w:rPr>
        <w:t>支出</w:t>
      </w:r>
      <w:r>
        <w:rPr>
          <w:rFonts w:hint="eastAsia" w:hAnsi="宋体" w:cs="宋体"/>
          <w:sz w:val="24"/>
          <w:szCs w:val="24"/>
        </w:rPr>
        <w:t>的发票由区禁毒办常务副主任签字，1万</w:t>
      </w:r>
      <w:r>
        <w:rPr>
          <w:rFonts w:hint="eastAsia" w:hAnsi="宋体" w:cs="宋体"/>
          <w:sz w:val="24"/>
          <w:szCs w:val="24"/>
          <w:lang w:eastAsia="zh-CN"/>
        </w:rPr>
        <w:t>元</w:t>
      </w:r>
      <w:r>
        <w:rPr>
          <w:rFonts w:hint="eastAsia" w:hAnsi="宋体" w:cs="宋体"/>
          <w:sz w:val="24"/>
          <w:szCs w:val="24"/>
        </w:rPr>
        <w:t>以上</w:t>
      </w:r>
      <w:r>
        <w:rPr>
          <w:rFonts w:hint="eastAsia" w:hAnsi="宋体" w:cs="宋体"/>
          <w:sz w:val="24"/>
          <w:szCs w:val="24"/>
          <w:lang w:eastAsia="zh-CN"/>
        </w:rPr>
        <w:t>支出</w:t>
      </w:r>
      <w:r>
        <w:rPr>
          <w:rFonts w:hint="eastAsia" w:hAnsi="宋体" w:cs="宋体"/>
          <w:sz w:val="24"/>
          <w:szCs w:val="24"/>
        </w:rPr>
        <w:t>由区禁毒办主任</w:t>
      </w:r>
      <w:r>
        <w:rPr>
          <w:rFonts w:hint="eastAsia" w:hAnsi="宋体" w:cs="宋体"/>
          <w:sz w:val="24"/>
          <w:szCs w:val="24"/>
          <w:lang w:val="en-US" w:eastAsia="zh-CN"/>
        </w:rPr>
        <w:t>（由</w:t>
      </w:r>
      <w:r>
        <w:rPr>
          <w:rFonts w:hint="eastAsia" w:hAnsi="宋体" w:cs="宋体"/>
          <w:sz w:val="24"/>
          <w:szCs w:val="24"/>
        </w:rPr>
        <w:t>丰泽区副区长</w:t>
      </w:r>
      <w:r>
        <w:rPr>
          <w:rFonts w:hint="eastAsia" w:hAnsi="宋体" w:cs="宋体"/>
          <w:sz w:val="24"/>
          <w:szCs w:val="24"/>
          <w:lang w:eastAsia="zh-CN"/>
        </w:rPr>
        <w:t>即</w:t>
      </w:r>
      <w:r>
        <w:rPr>
          <w:rFonts w:hint="eastAsia" w:hAnsi="宋体" w:cs="宋体"/>
          <w:sz w:val="24"/>
          <w:szCs w:val="24"/>
        </w:rPr>
        <w:t>区公安</w:t>
      </w:r>
      <w:r>
        <w:rPr>
          <w:rFonts w:hint="eastAsia" w:hAnsi="宋体" w:cs="宋体"/>
          <w:sz w:val="24"/>
          <w:szCs w:val="24"/>
          <w:lang w:eastAsia="zh-CN"/>
        </w:rPr>
        <w:t>分</w:t>
      </w:r>
      <w:r>
        <w:rPr>
          <w:rFonts w:hint="eastAsia" w:hAnsi="宋体" w:cs="宋体"/>
          <w:sz w:val="24"/>
          <w:szCs w:val="24"/>
        </w:rPr>
        <w:t>局局长</w:t>
      </w:r>
      <w:r>
        <w:rPr>
          <w:rFonts w:hint="eastAsia" w:hAnsi="宋体" w:cs="宋体"/>
          <w:sz w:val="24"/>
          <w:szCs w:val="24"/>
          <w:lang w:eastAsia="zh-CN"/>
        </w:rPr>
        <w:t>兼任）</w:t>
      </w:r>
      <w:r>
        <w:rPr>
          <w:rFonts w:hint="eastAsia" w:hAnsi="宋体" w:cs="宋体"/>
          <w:sz w:val="24"/>
          <w:szCs w:val="24"/>
        </w:rPr>
        <w:t>签字，</w:t>
      </w:r>
      <w:r>
        <w:rPr>
          <w:rFonts w:hint="eastAsia" w:hAnsi="宋体" w:cs="宋体"/>
          <w:sz w:val="24"/>
          <w:szCs w:val="24"/>
          <w:lang w:eastAsia="zh-CN"/>
        </w:rPr>
        <w:t>之后经财务审核通过后再拨款。工作组</w:t>
      </w:r>
      <w:r>
        <w:rPr>
          <w:rFonts w:hint="eastAsia" w:hAnsi="宋体" w:cs="宋体"/>
          <w:sz w:val="24"/>
          <w:szCs w:val="24"/>
        </w:rPr>
        <w:t>未发现资金使用存在截留、挤占、挪用、虚列支出等情况。该项指标可得满分4分。</w:t>
      </w:r>
    </w:p>
    <w:p>
      <w:pPr>
        <w:spacing w:line="360" w:lineRule="auto"/>
        <w:ind w:firstLine="482" w:firstLineChars="200"/>
        <w:rPr>
          <w:rFonts w:ascii="宋体" w:hAnsi="宋体" w:eastAsia="宋体" w:cs="宋体"/>
          <w:b/>
          <w:bCs/>
          <w:color w:val="000000"/>
          <w:sz w:val="24"/>
          <w:szCs w:val="22"/>
        </w:rPr>
      </w:pPr>
      <w:r>
        <w:rPr>
          <w:rFonts w:hint="eastAsia" w:ascii="宋体" w:hAnsi="宋体" w:eastAsia="宋体" w:cs="宋体"/>
          <w:b/>
          <w:bCs/>
          <w:color w:val="000000"/>
          <w:sz w:val="24"/>
          <w:szCs w:val="22"/>
        </w:rPr>
        <w:t>2.组织实施得5分（共5分）</w:t>
      </w:r>
    </w:p>
    <w:p>
      <w:pPr>
        <w:pStyle w:val="4"/>
        <w:spacing w:line="360" w:lineRule="auto"/>
        <w:ind w:firstLine="480" w:firstLineChars="200"/>
        <w:rPr>
          <w:rFonts w:hAnsi="宋体" w:cs="宋体"/>
          <w:sz w:val="24"/>
          <w:szCs w:val="24"/>
        </w:rPr>
      </w:pPr>
      <w:r>
        <w:rPr>
          <w:rFonts w:hint="eastAsia" w:hAnsi="宋体" w:cs="宋体"/>
          <w:sz w:val="24"/>
          <w:szCs w:val="24"/>
        </w:rPr>
        <w:t>“组织实施”从“管理制度健全性”、“制度执行有效性”二个三级指标进行评价。</w:t>
      </w:r>
    </w:p>
    <w:p>
      <w:pPr>
        <w:pStyle w:val="4"/>
        <w:spacing w:line="360" w:lineRule="auto"/>
        <w:ind w:firstLine="480" w:firstLineChars="200"/>
        <w:rPr>
          <w:rFonts w:hAnsi="宋体" w:cs="宋体"/>
          <w:sz w:val="24"/>
          <w:szCs w:val="24"/>
        </w:rPr>
      </w:pPr>
      <w:r>
        <w:rPr>
          <w:rFonts w:hint="eastAsia" w:hAnsi="宋体" w:cs="宋体"/>
          <w:sz w:val="24"/>
          <w:szCs w:val="24"/>
        </w:rPr>
        <w:t>①管理制度健全性得2分（共2分）</w:t>
      </w:r>
    </w:p>
    <w:p>
      <w:pPr>
        <w:pStyle w:val="4"/>
        <w:spacing w:line="360" w:lineRule="auto"/>
        <w:ind w:firstLine="480" w:firstLineChars="200"/>
        <w:rPr>
          <w:rFonts w:hAnsi="宋体" w:cs="宋体"/>
          <w:sz w:val="24"/>
          <w:szCs w:val="24"/>
        </w:rPr>
      </w:pPr>
      <w:r>
        <w:rPr>
          <w:rFonts w:hint="eastAsia" w:hAnsi="宋体" w:cs="宋体"/>
          <w:sz w:val="24"/>
          <w:szCs w:val="24"/>
        </w:rPr>
        <w:t>“管理制度健全性”</w:t>
      </w:r>
      <w:r>
        <w:rPr>
          <w:rFonts w:hint="eastAsia" w:hAnsi="宋体" w:cs="宋体"/>
          <w:sz w:val="24"/>
        </w:rPr>
        <w:t>指标评价项目支出是否已制定或具有相应的财务和业务管理制度，财务和业务管理制度是否合法、合规、完整。区禁毒办根据区财政局的财政预算资金管理办法对专项经费进行管理。因</w:t>
      </w:r>
      <w:r>
        <w:rPr>
          <w:rFonts w:hint="eastAsia" w:hAnsi="宋体" w:cs="宋体"/>
          <w:sz w:val="24"/>
          <w:szCs w:val="24"/>
        </w:rPr>
        <w:t>区禁毒办没有专门的财务人员，故区禁毒办委托泉州丰泽区铭泽代理记账有限公司办理日常会计核算业务，登记明细账及总账，资金管理办法符合政府会计制度的规定，执行相关管理制度。根据评分标准，该项指标可得满分2分。</w:t>
      </w:r>
    </w:p>
    <w:p>
      <w:pPr>
        <w:pStyle w:val="4"/>
        <w:spacing w:line="360" w:lineRule="auto"/>
        <w:ind w:firstLine="480" w:firstLineChars="200"/>
        <w:rPr>
          <w:rFonts w:hAnsi="宋体" w:cs="宋体"/>
          <w:sz w:val="24"/>
          <w:szCs w:val="24"/>
        </w:rPr>
      </w:pPr>
      <w:r>
        <w:rPr>
          <w:rFonts w:hint="eastAsia" w:hAnsi="宋体" w:cs="宋体"/>
          <w:sz w:val="24"/>
          <w:szCs w:val="24"/>
        </w:rPr>
        <w:t>②制度执行有效性得3分（共3分）</w:t>
      </w:r>
    </w:p>
    <w:p>
      <w:pPr>
        <w:pStyle w:val="4"/>
        <w:spacing w:line="360" w:lineRule="auto"/>
        <w:ind w:firstLine="480" w:firstLineChars="200"/>
        <w:rPr>
          <w:rFonts w:hAnsi="宋体" w:cs="宋体"/>
          <w:sz w:val="24"/>
          <w:szCs w:val="24"/>
        </w:rPr>
      </w:pPr>
      <w:r>
        <w:rPr>
          <w:rFonts w:hint="eastAsia" w:hAnsi="宋体" w:cs="宋体"/>
          <w:sz w:val="24"/>
          <w:szCs w:val="24"/>
        </w:rPr>
        <w:t>“制度执行有效性”</w:t>
      </w:r>
      <w:r>
        <w:rPr>
          <w:rFonts w:hint="eastAsia" w:hAnsi="宋体" w:cs="宋体"/>
          <w:sz w:val="24"/>
        </w:rPr>
        <w:t>指标用于评价项目管理是否遵守相关法律法规和业务管理规定，项目资料是否齐全并及时归档，项目实施的人员条件、信息支撑等是否落实到位。通过工作组到区禁毒办、泉州九中禁毒宣教馆、丰泽区林则徐禁毒教育基地、泉秀街道华丰社区实地调研并查阅项目资料，项目合同书、验收报告、技术鉴定等资料齐全并及时归档，未发现存在未执行相关规定的问题。</w:t>
      </w:r>
      <w:r>
        <w:rPr>
          <w:rFonts w:hint="eastAsia" w:hAnsi="宋体" w:cs="宋体"/>
          <w:sz w:val="24"/>
          <w:szCs w:val="24"/>
        </w:rPr>
        <w:t>根据评分标准，该项指标可得满分3分。</w:t>
      </w:r>
    </w:p>
    <w:p>
      <w:pPr>
        <w:pStyle w:val="10"/>
        <w:ind w:firstLine="562"/>
        <w:outlineLvl w:val="1"/>
        <w:rPr>
          <w:rFonts w:asciiTheme="minorEastAsia" w:hAnsiTheme="minorEastAsia" w:eastAsiaTheme="minorEastAsia" w:cstheme="minorEastAsia"/>
        </w:rPr>
      </w:pPr>
      <w:bookmarkStart w:id="12" w:name="_Toc27901"/>
      <w:r>
        <w:rPr>
          <w:rFonts w:hint="eastAsia" w:asciiTheme="minorEastAsia" w:hAnsiTheme="minorEastAsia" w:eastAsiaTheme="minorEastAsia" w:cstheme="minorEastAsia"/>
        </w:rPr>
        <w:t>（三）项目产出情况得2</w:t>
      </w:r>
      <w:r>
        <w:rPr>
          <w:rFonts w:hint="eastAsia" w:asciiTheme="minorEastAsia" w:hAnsiTheme="minorEastAsia" w:eastAsiaTheme="minorEastAsia" w:cstheme="minorEastAsia"/>
          <w:lang w:val="en-US" w:eastAsia="zh-CN"/>
        </w:rPr>
        <w:t>1.4</w:t>
      </w:r>
      <w:r>
        <w:rPr>
          <w:rFonts w:hint="eastAsia" w:asciiTheme="minorEastAsia" w:hAnsiTheme="minorEastAsia" w:eastAsiaTheme="minorEastAsia" w:cstheme="minorEastAsia"/>
        </w:rPr>
        <w:t>分（共23分）</w:t>
      </w:r>
      <w:bookmarkEnd w:id="12"/>
    </w:p>
    <w:p>
      <w:pPr>
        <w:pStyle w:val="4"/>
        <w:spacing w:line="360" w:lineRule="auto"/>
        <w:ind w:firstLine="480" w:firstLineChars="200"/>
        <w:rPr>
          <w:rFonts w:hAnsi="宋体" w:cs="宋体"/>
          <w:sz w:val="24"/>
        </w:rPr>
      </w:pPr>
      <w:r>
        <w:rPr>
          <w:rFonts w:hint="eastAsia" w:hAnsi="宋体" w:cs="宋体"/>
          <w:sz w:val="24"/>
        </w:rPr>
        <w:t>一级指标“产出”下设“产出数量”、“产出质量”二个二级指标。</w:t>
      </w:r>
    </w:p>
    <w:p>
      <w:pPr>
        <w:spacing w:line="360" w:lineRule="auto"/>
        <w:ind w:firstLine="482" w:firstLineChars="200"/>
        <w:rPr>
          <w:rFonts w:ascii="宋体" w:hAnsi="宋体" w:eastAsia="宋体" w:cs="宋体"/>
          <w:b/>
          <w:bCs/>
          <w:color w:val="000000"/>
          <w:sz w:val="24"/>
          <w:szCs w:val="22"/>
        </w:rPr>
      </w:pPr>
      <w:r>
        <w:rPr>
          <w:rFonts w:hint="eastAsia" w:ascii="宋体" w:hAnsi="宋体" w:eastAsia="宋体" w:cs="宋体"/>
          <w:b/>
          <w:bCs/>
          <w:color w:val="000000"/>
          <w:sz w:val="24"/>
          <w:szCs w:val="22"/>
        </w:rPr>
        <w:t>1.产出数量得15分（共15分）</w:t>
      </w:r>
    </w:p>
    <w:p>
      <w:pPr>
        <w:pStyle w:val="4"/>
        <w:spacing w:line="360" w:lineRule="auto"/>
        <w:ind w:firstLine="480" w:firstLineChars="200"/>
        <w:rPr>
          <w:rFonts w:hAnsi="宋体" w:cs="宋体"/>
          <w:sz w:val="24"/>
        </w:rPr>
      </w:pPr>
      <w:r>
        <w:rPr>
          <w:rFonts w:hint="eastAsia" w:hAnsi="宋体" w:cs="宋体"/>
          <w:sz w:val="24"/>
        </w:rPr>
        <w:t>“产出数量”指标主要通过“禁毒品牌社区数”、“禁毒宣教室数”、“建成林则徐禁毒教育基地数”、“补助社区戒毒康复工作站数”和“设立大型宣传广告牌数”五个三级指标进行评价。</w:t>
      </w:r>
    </w:p>
    <w:p>
      <w:pPr>
        <w:pStyle w:val="4"/>
        <w:spacing w:line="360" w:lineRule="auto"/>
        <w:ind w:firstLine="480" w:firstLineChars="200"/>
        <w:rPr>
          <w:rFonts w:hAnsi="宋体" w:cs="宋体"/>
          <w:sz w:val="24"/>
        </w:rPr>
      </w:pPr>
      <w:r>
        <w:rPr>
          <w:rFonts w:hint="eastAsia" w:hAnsi="宋体" w:cs="宋体"/>
          <w:sz w:val="24"/>
        </w:rPr>
        <w:t>①禁毒品牌社区数得3分（共3分）</w:t>
      </w:r>
    </w:p>
    <w:p>
      <w:pPr>
        <w:pStyle w:val="4"/>
        <w:spacing w:line="360" w:lineRule="auto"/>
        <w:ind w:firstLine="480" w:firstLineChars="200"/>
        <w:rPr>
          <w:rFonts w:hAnsi="宋体" w:cs="宋体"/>
          <w:sz w:val="24"/>
        </w:rPr>
      </w:pPr>
      <w:r>
        <w:rPr>
          <w:rFonts w:hint="eastAsia" w:hAnsi="宋体" w:cs="宋体"/>
          <w:sz w:val="24"/>
        </w:rPr>
        <w:t>2019年度禁毒工作专项经费补助丰泽区街道、东湖街道少林社区和泉秀街道华丰社区建设禁毒品牌社区。根据评分标准，禁毒品牌社区数达到3个，该项指标得满分3分。</w:t>
      </w:r>
    </w:p>
    <w:p>
      <w:pPr>
        <w:pStyle w:val="4"/>
        <w:spacing w:line="360" w:lineRule="auto"/>
        <w:ind w:firstLine="480" w:firstLineChars="200"/>
        <w:rPr>
          <w:rFonts w:hAnsi="宋体" w:cs="宋体"/>
          <w:sz w:val="24"/>
        </w:rPr>
      </w:pPr>
      <w:r>
        <w:rPr>
          <w:rFonts w:hint="eastAsia" w:hAnsi="宋体" w:cs="宋体"/>
          <w:sz w:val="24"/>
        </w:rPr>
        <w:t>②禁毒宣教室数得4分（共4分）</w:t>
      </w:r>
    </w:p>
    <w:p>
      <w:pPr>
        <w:pStyle w:val="4"/>
        <w:spacing w:line="360" w:lineRule="auto"/>
        <w:ind w:firstLine="480" w:firstLineChars="200"/>
        <w:rPr>
          <w:rFonts w:hAnsi="宋体" w:cs="宋体"/>
          <w:sz w:val="24"/>
        </w:rPr>
      </w:pPr>
      <w:r>
        <w:rPr>
          <w:rFonts w:hint="eastAsia" w:hAnsi="宋体" w:cs="宋体"/>
          <w:sz w:val="24"/>
        </w:rPr>
        <w:t>2019年度禁毒工作专项经费补助10所学校创建禁毒宣教室各补助2万元，共计20万元，目前已经建成10所宣教室。根据评分标准，该指标得满分4分。</w:t>
      </w:r>
    </w:p>
    <w:p>
      <w:pPr>
        <w:pStyle w:val="4"/>
        <w:spacing w:line="360" w:lineRule="auto"/>
        <w:ind w:firstLine="480" w:firstLineChars="200"/>
        <w:rPr>
          <w:rFonts w:hAnsi="宋体" w:cs="宋体"/>
          <w:sz w:val="24"/>
        </w:rPr>
      </w:pPr>
      <w:r>
        <w:rPr>
          <w:rFonts w:hint="eastAsia" w:hAnsi="宋体" w:cs="宋体"/>
          <w:sz w:val="24"/>
        </w:rPr>
        <w:t>③建成林则徐禁毒教育基地数得2分（共2分）</w:t>
      </w:r>
    </w:p>
    <w:p>
      <w:pPr>
        <w:pStyle w:val="4"/>
        <w:spacing w:line="360" w:lineRule="auto"/>
        <w:ind w:firstLine="480" w:firstLineChars="200"/>
        <w:rPr>
          <w:rFonts w:hAnsi="宋体" w:cs="宋体"/>
          <w:sz w:val="24"/>
        </w:rPr>
      </w:pPr>
      <w:r>
        <w:rPr>
          <w:rFonts w:hint="eastAsia" w:hAnsi="宋体" w:cs="宋体"/>
          <w:sz w:val="24"/>
        </w:rPr>
        <w:t>根据禁毒工作专项经费补助的项目看，目前已经建成丰泽区林则徐禁毒教育基地和泉州九中林则徐宣传教育馆，并已经投入使用。根据评分标准，该指标满分得2分。</w:t>
      </w:r>
    </w:p>
    <w:p>
      <w:pPr>
        <w:pStyle w:val="4"/>
        <w:spacing w:line="360" w:lineRule="auto"/>
        <w:ind w:firstLine="480" w:firstLineChars="200"/>
        <w:rPr>
          <w:rFonts w:hAnsi="宋体" w:cs="宋体"/>
          <w:sz w:val="24"/>
        </w:rPr>
      </w:pPr>
      <w:r>
        <w:rPr>
          <w:rFonts w:hint="eastAsia" w:hAnsi="宋体" w:cs="宋体"/>
          <w:sz w:val="24"/>
        </w:rPr>
        <w:t>④补助社区戒毒康复工作站数得3分（共3分）</w:t>
      </w:r>
    </w:p>
    <w:p>
      <w:pPr>
        <w:pStyle w:val="4"/>
        <w:spacing w:line="360" w:lineRule="auto"/>
        <w:ind w:firstLine="480" w:firstLineChars="200"/>
        <w:rPr>
          <w:rFonts w:hAnsi="宋体" w:cs="宋体"/>
          <w:sz w:val="24"/>
          <w:szCs w:val="24"/>
        </w:rPr>
      </w:pPr>
      <w:r>
        <w:rPr>
          <w:rFonts w:hint="eastAsia" w:hAnsi="宋体" w:cs="宋体"/>
          <w:sz w:val="24"/>
        </w:rPr>
        <w:t>“补助社区戒毒康复工作站数”补助清源街道、东海街道</w:t>
      </w:r>
      <w:r>
        <w:rPr>
          <w:rFonts w:hint="eastAsia" w:hAnsi="宋体" w:cs="宋体"/>
          <w:sz w:val="24"/>
          <w:szCs w:val="24"/>
        </w:rPr>
        <w:t>、泉秀街道、东湖街道、丰泽街道、北峰街道、城东街道、华大街道8个街道各建设1个社区戒毒社区康复管理工作站。根据评分标准，该指标得满分3分。</w:t>
      </w:r>
    </w:p>
    <w:p>
      <w:pPr>
        <w:pStyle w:val="4"/>
        <w:spacing w:line="360" w:lineRule="auto"/>
        <w:ind w:firstLine="480" w:firstLineChars="200"/>
        <w:rPr>
          <w:rFonts w:hAnsi="宋体" w:cs="宋体"/>
          <w:sz w:val="24"/>
          <w:szCs w:val="24"/>
        </w:rPr>
      </w:pPr>
      <w:r>
        <w:rPr>
          <w:rFonts w:hint="eastAsia" w:hAnsi="宋体" w:cs="宋体"/>
          <w:sz w:val="24"/>
          <w:szCs w:val="24"/>
        </w:rPr>
        <w:t>⑤设立大型宣传广告牌数</w:t>
      </w:r>
      <w:r>
        <w:rPr>
          <w:rFonts w:hint="eastAsia" w:hAnsi="宋体" w:cs="宋体"/>
          <w:sz w:val="24"/>
        </w:rPr>
        <w:t>得3分（共3分）</w:t>
      </w:r>
    </w:p>
    <w:p>
      <w:pPr>
        <w:pStyle w:val="4"/>
        <w:spacing w:line="360" w:lineRule="auto"/>
        <w:ind w:firstLine="480" w:firstLineChars="200"/>
        <w:rPr>
          <w:rFonts w:hAnsi="宋体" w:cs="宋体"/>
          <w:sz w:val="24"/>
          <w:szCs w:val="24"/>
        </w:rPr>
      </w:pPr>
      <w:r>
        <w:rPr>
          <w:rFonts w:hint="eastAsia" w:hAnsi="宋体" w:cs="宋体"/>
          <w:sz w:val="24"/>
          <w:szCs w:val="24"/>
        </w:rPr>
        <w:t xml:space="preserve">“设立大型宣传广告牌数”衡量宣传广告是否到位，是否起到教育预防作用。根据区禁毒办提供的资料，目前各街道社区均设置了禁毒宣传广告牌，并有一定数量的大型宣传广告牌，不少于10处。根据评分标准，大型宣传广告牌数设置10处得满分，该指标可得满分3分。                        </w:t>
      </w:r>
    </w:p>
    <w:p>
      <w:pPr>
        <w:spacing w:line="360" w:lineRule="auto"/>
        <w:ind w:firstLine="482" w:firstLineChars="200"/>
        <w:rPr>
          <w:rFonts w:ascii="宋体" w:hAnsi="宋体" w:eastAsia="宋体" w:cs="宋体"/>
          <w:b/>
          <w:bCs/>
          <w:color w:val="000000"/>
          <w:sz w:val="24"/>
          <w:szCs w:val="22"/>
        </w:rPr>
      </w:pPr>
      <w:r>
        <w:rPr>
          <w:rFonts w:hint="eastAsia" w:ascii="宋体" w:hAnsi="宋体" w:eastAsia="宋体" w:cs="宋体"/>
          <w:b/>
          <w:bCs/>
          <w:color w:val="000000"/>
          <w:sz w:val="24"/>
          <w:szCs w:val="22"/>
        </w:rPr>
        <w:t>2.产出质量得</w:t>
      </w:r>
      <w:r>
        <w:rPr>
          <w:rFonts w:hint="eastAsia" w:ascii="宋体" w:hAnsi="宋体" w:eastAsia="宋体" w:cs="宋体"/>
          <w:b/>
          <w:bCs/>
          <w:color w:val="000000"/>
          <w:sz w:val="24"/>
          <w:szCs w:val="22"/>
          <w:lang w:val="en-US" w:eastAsia="zh-CN"/>
        </w:rPr>
        <w:t>6.4</w:t>
      </w:r>
      <w:r>
        <w:rPr>
          <w:rFonts w:hint="eastAsia" w:ascii="宋体" w:hAnsi="宋体" w:eastAsia="宋体" w:cs="宋体"/>
          <w:b/>
          <w:bCs/>
          <w:color w:val="000000"/>
          <w:sz w:val="24"/>
          <w:szCs w:val="22"/>
        </w:rPr>
        <w:t>分（共8分）</w:t>
      </w:r>
    </w:p>
    <w:p>
      <w:pPr>
        <w:pStyle w:val="4"/>
        <w:spacing w:line="360" w:lineRule="auto"/>
        <w:ind w:firstLine="480" w:firstLineChars="200"/>
        <w:rPr>
          <w:rFonts w:hAnsi="宋体" w:cs="宋体"/>
          <w:sz w:val="24"/>
          <w:szCs w:val="24"/>
        </w:rPr>
      </w:pPr>
      <w:r>
        <w:rPr>
          <w:rFonts w:hint="eastAsia" w:hAnsi="宋体" w:cs="宋体"/>
          <w:sz w:val="24"/>
          <w:szCs w:val="24"/>
        </w:rPr>
        <w:t>“产出质量”指标衡量，通过“在册吸毒人员复吸率”、“禁毒工作制度落实情况”二个三级指标进行评价。</w:t>
      </w:r>
    </w:p>
    <w:p>
      <w:pPr>
        <w:pStyle w:val="4"/>
        <w:spacing w:line="360" w:lineRule="auto"/>
        <w:ind w:firstLine="480" w:firstLineChars="200"/>
        <w:rPr>
          <w:rFonts w:hAnsi="宋体" w:cs="宋体"/>
          <w:sz w:val="24"/>
          <w:szCs w:val="24"/>
        </w:rPr>
      </w:pPr>
      <w:r>
        <w:rPr>
          <w:rFonts w:hint="eastAsia" w:hAnsi="宋体" w:cs="宋体"/>
          <w:sz w:val="24"/>
          <w:szCs w:val="24"/>
        </w:rPr>
        <w:t>①在册吸毒人员复吸率得</w:t>
      </w:r>
      <w:r>
        <w:rPr>
          <w:rFonts w:hint="eastAsia" w:hAnsi="宋体" w:cs="宋体"/>
          <w:sz w:val="24"/>
          <w:szCs w:val="24"/>
          <w:lang w:val="en-US" w:eastAsia="zh-CN"/>
        </w:rPr>
        <w:t>1.4</w:t>
      </w:r>
      <w:r>
        <w:rPr>
          <w:rFonts w:hint="eastAsia" w:hAnsi="宋体" w:cs="宋体"/>
          <w:sz w:val="24"/>
          <w:szCs w:val="24"/>
        </w:rPr>
        <w:t>分（共3分）</w:t>
      </w:r>
    </w:p>
    <w:p>
      <w:pPr>
        <w:pStyle w:val="4"/>
        <w:spacing w:line="360" w:lineRule="auto"/>
        <w:ind w:firstLine="480" w:firstLineChars="200"/>
        <w:rPr>
          <w:rFonts w:hAnsi="宋体" w:cs="宋体"/>
          <w:sz w:val="24"/>
          <w:szCs w:val="24"/>
        </w:rPr>
      </w:pPr>
      <w:r>
        <w:rPr>
          <w:rFonts w:hint="eastAsia" w:hAnsi="宋体" w:cs="宋体"/>
          <w:sz w:val="24"/>
          <w:szCs w:val="24"/>
          <w:lang w:val="en-US" w:eastAsia="zh-CN"/>
        </w:rPr>
        <w:t>根据</w:t>
      </w:r>
      <w:r>
        <w:rPr>
          <w:rFonts w:hint="eastAsia" w:ascii="宋体" w:hAnsi="宋体" w:eastAsia="宋体" w:cs="宋体"/>
          <w:bCs/>
          <w:sz w:val="24"/>
          <w:szCs w:val="24"/>
          <w:u w:val="none"/>
          <w:lang w:val="en-US" w:eastAsia="zh-CN"/>
        </w:rPr>
        <w:t>《2020年泉州市禁毒工作综合考评细则》</w:t>
      </w:r>
      <w:r>
        <w:rPr>
          <w:rFonts w:hint="eastAsia" w:hAnsi="宋体" w:eastAsia="宋体" w:cs="宋体"/>
          <w:bCs/>
          <w:sz w:val="24"/>
          <w:szCs w:val="24"/>
          <w:u w:val="none"/>
          <w:lang w:val="en-US" w:eastAsia="zh-CN"/>
        </w:rPr>
        <w:t>，</w:t>
      </w:r>
      <w:r>
        <w:rPr>
          <w:rFonts w:hint="eastAsia" w:hAnsi="宋体" w:cs="宋体"/>
          <w:sz w:val="24"/>
          <w:szCs w:val="24"/>
        </w:rPr>
        <w:t>2019年吸毒人员复吸率</w:t>
      </w:r>
      <w:r>
        <w:rPr>
          <w:rFonts w:hint="eastAsia" w:hAnsi="宋体" w:cs="宋体"/>
          <w:sz w:val="24"/>
          <w:szCs w:val="24"/>
          <w:lang w:val="en-US" w:eastAsia="zh-CN"/>
        </w:rPr>
        <w:t>为</w:t>
      </w:r>
      <w:r>
        <w:rPr>
          <w:rFonts w:hint="eastAsia" w:hAnsi="宋体" w:cs="宋体"/>
          <w:sz w:val="24"/>
          <w:szCs w:val="24"/>
        </w:rPr>
        <w:t>60.4%</w:t>
      </w:r>
      <w:r>
        <w:rPr>
          <w:rFonts w:hint="eastAsia" w:hAnsi="宋体" w:cs="宋体"/>
          <w:sz w:val="24"/>
          <w:szCs w:val="24"/>
          <w:lang w:eastAsia="zh-CN"/>
        </w:rPr>
        <w:t>（</w:t>
      </w:r>
      <w:r>
        <w:rPr>
          <w:rFonts w:hint="eastAsia" w:hAnsi="宋体" w:cs="宋体"/>
          <w:sz w:val="24"/>
          <w:szCs w:val="24"/>
        </w:rPr>
        <w:t>=180/298</w:t>
      </w:r>
      <w:r>
        <w:rPr>
          <w:rFonts w:hint="eastAsia" w:hAnsi="宋体" w:cs="宋体"/>
          <w:sz w:val="24"/>
          <w:szCs w:val="24"/>
          <w:lang w:eastAsia="zh-CN"/>
        </w:rPr>
        <w:t>），</w:t>
      </w:r>
      <w:r>
        <w:rPr>
          <w:rFonts w:hint="eastAsia" w:hAnsi="宋体" w:cs="宋体"/>
          <w:sz w:val="24"/>
          <w:szCs w:val="24"/>
          <w:lang w:val="en-US" w:eastAsia="zh-CN"/>
        </w:rPr>
        <w:t>较</w:t>
      </w:r>
      <w:r>
        <w:rPr>
          <w:rFonts w:hint="eastAsia" w:hAnsi="宋体" w:cs="宋体"/>
          <w:sz w:val="24"/>
          <w:szCs w:val="24"/>
        </w:rPr>
        <w:t>2018年吸毒人员复吸率67.4%</w:t>
      </w:r>
      <w:r>
        <w:rPr>
          <w:rFonts w:hint="eastAsia" w:hAnsi="宋体" w:cs="宋体"/>
          <w:sz w:val="24"/>
          <w:szCs w:val="24"/>
          <w:lang w:eastAsia="zh-CN"/>
        </w:rPr>
        <w:t>（</w:t>
      </w:r>
      <w:r>
        <w:rPr>
          <w:rFonts w:hint="eastAsia" w:hAnsi="宋体" w:cs="宋体"/>
          <w:sz w:val="24"/>
          <w:szCs w:val="24"/>
        </w:rPr>
        <w:t>=93/138</w:t>
      </w:r>
      <w:r>
        <w:rPr>
          <w:rFonts w:hint="eastAsia" w:hAnsi="宋体" w:cs="宋体"/>
          <w:sz w:val="24"/>
          <w:szCs w:val="24"/>
          <w:lang w:eastAsia="zh-CN"/>
        </w:rPr>
        <w:t>）</w:t>
      </w:r>
      <w:r>
        <w:rPr>
          <w:rFonts w:hint="eastAsia" w:hAnsi="宋体" w:cs="宋体"/>
          <w:sz w:val="24"/>
          <w:szCs w:val="24"/>
          <w:lang w:val="en-US" w:eastAsia="zh-CN"/>
        </w:rPr>
        <w:t>减少了7%</w:t>
      </w:r>
      <w:r>
        <w:rPr>
          <w:rFonts w:hint="eastAsia" w:hAnsi="宋体" w:cs="宋体"/>
          <w:sz w:val="24"/>
          <w:szCs w:val="24"/>
        </w:rPr>
        <w:t>。根据评分标准，该指标</w:t>
      </w:r>
      <w:r>
        <w:rPr>
          <w:rFonts w:hint="eastAsia" w:hAnsi="宋体" w:cs="宋体"/>
          <w:sz w:val="24"/>
          <w:szCs w:val="24"/>
          <w:lang w:val="en-US" w:eastAsia="zh-CN"/>
        </w:rPr>
        <w:t>可</w:t>
      </w:r>
      <w:r>
        <w:rPr>
          <w:rFonts w:hint="eastAsia" w:hAnsi="宋体" w:cs="宋体"/>
          <w:sz w:val="24"/>
          <w:szCs w:val="24"/>
        </w:rPr>
        <w:t>得</w:t>
      </w:r>
      <w:r>
        <w:rPr>
          <w:rFonts w:hint="eastAsia" w:hAnsi="宋体" w:cs="宋体"/>
          <w:sz w:val="24"/>
          <w:szCs w:val="24"/>
          <w:lang w:val="en-US" w:eastAsia="zh-CN"/>
        </w:rPr>
        <w:t>1.4</w:t>
      </w:r>
      <w:r>
        <w:rPr>
          <w:rFonts w:hint="eastAsia" w:hAnsi="宋体" w:cs="宋体"/>
          <w:sz w:val="24"/>
          <w:szCs w:val="24"/>
        </w:rPr>
        <w:t>分。</w:t>
      </w:r>
    </w:p>
    <w:p>
      <w:pPr>
        <w:pStyle w:val="4"/>
        <w:spacing w:line="360" w:lineRule="auto"/>
        <w:ind w:firstLine="480" w:firstLineChars="200"/>
        <w:rPr>
          <w:rFonts w:hAnsi="宋体" w:cs="宋体"/>
          <w:sz w:val="24"/>
          <w:szCs w:val="24"/>
        </w:rPr>
      </w:pPr>
      <w:r>
        <w:rPr>
          <w:rFonts w:hint="eastAsia" w:hAnsi="宋体" w:cs="宋体"/>
          <w:sz w:val="24"/>
          <w:szCs w:val="24"/>
        </w:rPr>
        <w:t>②禁毒工作制度落实情况得5分（共5分）</w:t>
      </w:r>
    </w:p>
    <w:p>
      <w:pPr>
        <w:pStyle w:val="4"/>
        <w:spacing w:line="360" w:lineRule="auto"/>
        <w:ind w:firstLine="480" w:firstLineChars="200"/>
        <w:rPr>
          <w:rFonts w:hAnsi="宋体" w:cs="宋体"/>
          <w:sz w:val="24"/>
          <w:szCs w:val="24"/>
        </w:rPr>
      </w:pPr>
      <w:r>
        <w:rPr>
          <w:rFonts w:hint="eastAsia" w:hAnsi="宋体" w:cs="宋体"/>
          <w:sz w:val="24"/>
          <w:szCs w:val="24"/>
        </w:rPr>
        <w:t>按照禁毒重点整治攻坚行动实施方案要求，区禁毒委各成员单位、各街道根据要求均能够结合本单位工作职责，制定相应的禁毒整治方案，逐一细化工作措施，确保工作时效，被区级以上含区级挂牌整治的毒品问题严重的街道，均能够立即制定整治方案，按时整改，由区禁毒办组织验收。根据区禁毒办提供的资料，各单位均能按照要求完成禁毒任务，该指标得满分5分。</w:t>
      </w:r>
    </w:p>
    <w:p>
      <w:pPr>
        <w:pStyle w:val="10"/>
        <w:ind w:firstLine="562"/>
        <w:outlineLvl w:val="1"/>
        <w:rPr>
          <w:rFonts w:asciiTheme="minorEastAsia" w:hAnsiTheme="minorEastAsia" w:eastAsiaTheme="minorEastAsia" w:cstheme="minorEastAsia"/>
        </w:rPr>
      </w:pPr>
      <w:bookmarkStart w:id="13" w:name="_Toc31108"/>
      <w:r>
        <w:rPr>
          <w:rFonts w:hint="eastAsia" w:asciiTheme="minorEastAsia" w:hAnsiTheme="minorEastAsia" w:eastAsiaTheme="minorEastAsia" w:cstheme="minorEastAsia"/>
        </w:rPr>
        <w:t>（四）项目效益情况得4</w:t>
      </w: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rPr>
        <w:t>分（共45分）</w:t>
      </w:r>
      <w:bookmarkEnd w:id="13"/>
    </w:p>
    <w:p>
      <w:pPr>
        <w:pStyle w:val="4"/>
        <w:spacing w:line="360" w:lineRule="auto"/>
        <w:ind w:firstLine="480" w:firstLineChars="200"/>
        <w:rPr>
          <w:rFonts w:hAnsi="宋体" w:cs="宋体"/>
          <w:sz w:val="24"/>
          <w:szCs w:val="24"/>
        </w:rPr>
      </w:pPr>
      <w:r>
        <w:rPr>
          <w:rFonts w:hint="eastAsia" w:hAnsi="宋体" w:cs="宋体"/>
          <w:sz w:val="24"/>
          <w:szCs w:val="24"/>
        </w:rPr>
        <w:t>“效益”指标通过“社会效益”、“可持续影响”和“满意度”三个三级指标进行评价。</w:t>
      </w:r>
    </w:p>
    <w:p>
      <w:pPr>
        <w:spacing w:line="360" w:lineRule="auto"/>
        <w:ind w:firstLine="482" w:firstLineChars="200"/>
        <w:rPr>
          <w:rFonts w:ascii="宋体" w:hAnsi="宋体" w:eastAsia="宋体" w:cs="宋体"/>
          <w:b/>
          <w:bCs/>
          <w:color w:val="000000"/>
          <w:sz w:val="24"/>
          <w:szCs w:val="22"/>
        </w:rPr>
      </w:pPr>
      <w:r>
        <w:rPr>
          <w:rFonts w:hint="eastAsia" w:ascii="宋体" w:hAnsi="宋体" w:eastAsia="宋体" w:cs="宋体"/>
          <w:b/>
          <w:bCs/>
          <w:color w:val="000000"/>
          <w:sz w:val="24"/>
          <w:szCs w:val="22"/>
        </w:rPr>
        <w:t xml:space="preserve">1.社会效益得18分（共18分） </w:t>
      </w:r>
    </w:p>
    <w:p>
      <w:pPr>
        <w:pStyle w:val="4"/>
        <w:spacing w:line="360" w:lineRule="auto"/>
        <w:ind w:firstLine="480" w:firstLineChars="200"/>
        <w:rPr>
          <w:rFonts w:hAnsi="宋体" w:cs="宋体"/>
          <w:sz w:val="24"/>
          <w:szCs w:val="24"/>
        </w:rPr>
      </w:pPr>
      <w:r>
        <w:rPr>
          <w:rFonts w:hint="eastAsia" w:hAnsi="宋体" w:cs="宋体"/>
          <w:sz w:val="24"/>
          <w:szCs w:val="24"/>
        </w:rPr>
        <w:t>“社会效益”通过“宣传报道在媒体发布情况”、“青少年接受禁毒教育课时”、“宣传形式多样化”和“新四进全覆盖”四个三级指标衡量。</w:t>
      </w:r>
    </w:p>
    <w:p>
      <w:pPr>
        <w:pStyle w:val="4"/>
        <w:spacing w:line="360" w:lineRule="auto"/>
        <w:ind w:firstLine="480" w:firstLineChars="200"/>
        <w:rPr>
          <w:rFonts w:hAnsi="宋体" w:cs="宋体"/>
          <w:sz w:val="24"/>
          <w:szCs w:val="24"/>
        </w:rPr>
      </w:pPr>
      <w:r>
        <w:rPr>
          <w:rFonts w:hint="eastAsia" w:hAnsi="宋体" w:cs="宋体"/>
          <w:sz w:val="24"/>
          <w:szCs w:val="24"/>
        </w:rPr>
        <w:t>①宣传报道在媒体发布情况得5分（共5分）</w:t>
      </w:r>
    </w:p>
    <w:p>
      <w:pPr>
        <w:pStyle w:val="4"/>
        <w:spacing w:line="360" w:lineRule="auto"/>
        <w:ind w:firstLine="480" w:firstLineChars="200"/>
        <w:rPr>
          <w:rFonts w:hAnsi="宋体" w:cs="宋体"/>
          <w:sz w:val="24"/>
          <w:szCs w:val="24"/>
        </w:rPr>
      </w:pPr>
      <w:r>
        <w:rPr>
          <w:rFonts w:hint="eastAsia" w:hAnsi="宋体" w:cs="宋体"/>
          <w:sz w:val="24"/>
          <w:szCs w:val="24"/>
        </w:rPr>
        <w:t>丰泽区2019年度禁毒工作宣传被正义网、人民日报、中国禁毒报、中国禁毒网、北青网、福建司法微信公众号、福建禁毒信息网、福建日报东南网等近10家国家级和省级媒体平台报道。根据评分标准，该项指标可得满分5分。</w:t>
      </w:r>
    </w:p>
    <w:p>
      <w:pPr>
        <w:pStyle w:val="4"/>
        <w:spacing w:line="360" w:lineRule="auto"/>
        <w:ind w:firstLine="480" w:firstLineChars="200"/>
        <w:rPr>
          <w:rFonts w:hAnsi="宋体" w:cs="宋体"/>
          <w:sz w:val="24"/>
          <w:szCs w:val="24"/>
        </w:rPr>
      </w:pPr>
      <w:r>
        <w:rPr>
          <w:rFonts w:hint="eastAsia" w:hAnsi="宋体" w:cs="宋体"/>
          <w:sz w:val="24"/>
          <w:szCs w:val="24"/>
        </w:rPr>
        <w:t>②青少年接受禁毒教育课时得4分（共4分）</w:t>
      </w:r>
    </w:p>
    <w:p>
      <w:pPr>
        <w:pStyle w:val="4"/>
        <w:spacing w:line="360" w:lineRule="auto"/>
        <w:ind w:firstLine="480" w:firstLineChars="200"/>
        <w:rPr>
          <w:rFonts w:hAnsi="宋体" w:cs="宋体"/>
          <w:sz w:val="24"/>
          <w:szCs w:val="24"/>
        </w:rPr>
      </w:pPr>
      <w:r>
        <w:rPr>
          <w:rFonts w:hint="eastAsia" w:hAnsi="宋体" w:cs="宋体"/>
          <w:sz w:val="24"/>
          <w:szCs w:val="24"/>
        </w:rPr>
        <w:t>丰泽区教育局制定毒品预防教育计划，全区各所学校从小学五年级到高二将毒品预防教育纳入常规课程，根据教育局反馈的资料，各所学校课表中均有对毒品预防教育的课程安排，每学年达到2课时，该项指标可得满分4分。</w:t>
      </w:r>
    </w:p>
    <w:p>
      <w:pPr>
        <w:pStyle w:val="4"/>
        <w:spacing w:line="360" w:lineRule="auto"/>
        <w:ind w:firstLine="480" w:firstLineChars="200"/>
        <w:rPr>
          <w:rFonts w:hAnsi="宋体" w:cs="宋体"/>
          <w:sz w:val="24"/>
          <w:szCs w:val="24"/>
        </w:rPr>
      </w:pPr>
      <w:r>
        <w:rPr>
          <w:rFonts w:hint="eastAsia" w:hAnsi="宋体" w:cs="宋体"/>
          <w:sz w:val="24"/>
          <w:szCs w:val="24"/>
        </w:rPr>
        <w:t>③宣传形式多样化得5分（共5分）</w:t>
      </w:r>
    </w:p>
    <w:p>
      <w:pPr>
        <w:pStyle w:val="4"/>
        <w:spacing w:line="360" w:lineRule="auto"/>
        <w:ind w:firstLine="480" w:firstLineChars="200"/>
        <w:rPr>
          <w:rFonts w:hAnsi="宋体" w:cs="宋体"/>
          <w:sz w:val="24"/>
          <w:szCs w:val="24"/>
        </w:rPr>
      </w:pPr>
      <w:r>
        <w:rPr>
          <w:rFonts w:hint="eastAsia" w:hAnsi="宋体" w:cs="宋体"/>
          <w:sz w:val="24"/>
          <w:szCs w:val="24"/>
        </w:rPr>
        <w:t>根据区禁毒办提供的资料，2019年度禁毒宣传形式有宣传材料、宣传报道、禁毒讲座、禁毒期刊、禁毒广告、标语和LED电子屏幕、专项培训、宣传教育基地、禁毒宣传微电影、开展禁毒法律有奖问答、举办“6.26”国际禁毒日大型宣教活动暨文艺汇演等形式，根据评分标准，该项指标可得满分5分。</w:t>
      </w:r>
    </w:p>
    <w:p>
      <w:pPr>
        <w:pStyle w:val="4"/>
        <w:spacing w:line="360" w:lineRule="auto"/>
        <w:ind w:firstLine="480" w:firstLineChars="200"/>
        <w:rPr>
          <w:rFonts w:hAnsi="宋体" w:cs="宋体"/>
          <w:sz w:val="24"/>
          <w:szCs w:val="24"/>
        </w:rPr>
      </w:pPr>
      <w:r>
        <w:rPr>
          <w:rFonts w:hint="eastAsia" w:hAnsi="宋体" w:cs="宋体"/>
          <w:sz w:val="24"/>
          <w:szCs w:val="24"/>
        </w:rPr>
        <w:t>④新四进全覆盖得4分（共4分）</w:t>
      </w:r>
    </w:p>
    <w:p>
      <w:pPr>
        <w:pStyle w:val="4"/>
        <w:spacing w:line="360" w:lineRule="auto"/>
        <w:ind w:firstLine="480" w:firstLineChars="200"/>
        <w:rPr>
          <w:rFonts w:hAnsi="宋体" w:cs="宋体"/>
          <w:sz w:val="24"/>
          <w:szCs w:val="24"/>
        </w:rPr>
      </w:pPr>
      <w:r>
        <w:rPr>
          <w:rFonts w:hint="eastAsia" w:hAnsi="宋体" w:cs="宋体"/>
          <w:sz w:val="24"/>
          <w:szCs w:val="24"/>
        </w:rPr>
        <w:t>按照禁毒重点整治攻坚行动实施方案要求，在禁毒“六进”（进社区、进场所、进家庭、进企业、进学校、进网络）的基础上，推动禁毒宣传进广场、进景区、进公共文化场所、进高速服务区的“新四进”，在全区形成自觉抵制毒品的浓厚氛围，根据区禁毒办提供的资料，2019年“新四进”实现了全覆盖，该项指标可得满分4分。</w:t>
      </w:r>
    </w:p>
    <w:p>
      <w:pPr>
        <w:spacing w:line="360" w:lineRule="auto"/>
        <w:ind w:firstLine="482" w:firstLineChars="200"/>
        <w:rPr>
          <w:rFonts w:ascii="宋体" w:hAnsi="宋体" w:cs="宋体"/>
          <w:szCs w:val="21"/>
        </w:rPr>
      </w:pPr>
      <w:r>
        <w:rPr>
          <w:rFonts w:hint="eastAsia" w:ascii="宋体" w:hAnsi="宋体" w:eastAsia="宋体" w:cs="宋体"/>
          <w:b/>
          <w:bCs/>
          <w:color w:val="000000"/>
          <w:sz w:val="24"/>
          <w:szCs w:val="22"/>
        </w:rPr>
        <w:t>2.可持续影响得1</w:t>
      </w:r>
      <w:r>
        <w:rPr>
          <w:rFonts w:hint="eastAsia" w:ascii="宋体" w:hAnsi="宋体" w:eastAsia="宋体" w:cs="宋体"/>
          <w:b/>
          <w:bCs/>
          <w:color w:val="000000"/>
          <w:sz w:val="24"/>
          <w:szCs w:val="22"/>
          <w:lang w:val="en-US" w:eastAsia="zh-CN"/>
        </w:rPr>
        <w:t>5</w:t>
      </w:r>
      <w:r>
        <w:rPr>
          <w:rFonts w:hint="eastAsia" w:ascii="宋体" w:hAnsi="宋体" w:eastAsia="宋体" w:cs="宋体"/>
          <w:b/>
          <w:bCs/>
          <w:color w:val="000000"/>
          <w:sz w:val="24"/>
          <w:szCs w:val="22"/>
        </w:rPr>
        <w:t>分（共15分）</w:t>
      </w:r>
    </w:p>
    <w:p>
      <w:pPr>
        <w:pStyle w:val="4"/>
        <w:spacing w:line="360" w:lineRule="auto"/>
        <w:ind w:firstLine="480" w:firstLineChars="200"/>
        <w:rPr>
          <w:rFonts w:hAnsi="宋体" w:cs="宋体"/>
          <w:sz w:val="24"/>
          <w:szCs w:val="24"/>
        </w:rPr>
      </w:pPr>
      <w:r>
        <w:rPr>
          <w:rFonts w:hint="eastAsia" w:hAnsi="宋体" w:cs="宋体"/>
          <w:sz w:val="24"/>
          <w:szCs w:val="24"/>
        </w:rPr>
        <w:t>“可持续影响”通过“宣教次数”、“宣传覆盖率”和“社工队伍建设”三个三级指标进行评价。</w:t>
      </w:r>
    </w:p>
    <w:p>
      <w:pPr>
        <w:pStyle w:val="4"/>
        <w:spacing w:line="360" w:lineRule="auto"/>
        <w:ind w:firstLine="480" w:firstLineChars="200"/>
        <w:rPr>
          <w:rFonts w:hAnsi="宋体" w:cs="宋体"/>
          <w:sz w:val="24"/>
          <w:szCs w:val="24"/>
        </w:rPr>
      </w:pPr>
      <w:r>
        <w:rPr>
          <w:rFonts w:hint="eastAsia" w:hAnsi="宋体" w:cs="宋体"/>
          <w:sz w:val="24"/>
          <w:szCs w:val="24"/>
        </w:rPr>
        <w:t>①宣教次数得5分（共5分）</w:t>
      </w:r>
    </w:p>
    <w:p>
      <w:pPr>
        <w:pStyle w:val="4"/>
        <w:spacing w:line="360" w:lineRule="auto"/>
        <w:ind w:firstLine="480" w:firstLineChars="200"/>
        <w:rPr>
          <w:rFonts w:hAnsi="宋体" w:cs="宋体"/>
          <w:sz w:val="24"/>
          <w:szCs w:val="24"/>
        </w:rPr>
      </w:pPr>
      <w:r>
        <w:rPr>
          <w:rFonts w:hint="eastAsia" w:hAnsi="宋体" w:cs="宋体"/>
          <w:sz w:val="24"/>
          <w:szCs w:val="24"/>
        </w:rPr>
        <w:t>根据区禁毒办提供的资料，2019年组织禁毒宣传教育活动912场，举办毒品预防教育讲座51次。根据评分标准该项指标得满分5分。</w:t>
      </w:r>
    </w:p>
    <w:p>
      <w:pPr>
        <w:pStyle w:val="4"/>
        <w:spacing w:line="360" w:lineRule="auto"/>
        <w:ind w:firstLine="480" w:firstLineChars="200"/>
        <w:rPr>
          <w:rFonts w:hAnsi="宋体" w:cs="宋体"/>
          <w:sz w:val="24"/>
          <w:szCs w:val="24"/>
        </w:rPr>
      </w:pPr>
      <w:r>
        <w:rPr>
          <w:rFonts w:hint="eastAsia" w:hAnsi="宋体" w:cs="宋体"/>
          <w:sz w:val="24"/>
          <w:szCs w:val="24"/>
        </w:rPr>
        <w:t>②宣传覆盖率得5分（共5分）</w:t>
      </w:r>
    </w:p>
    <w:p>
      <w:pPr>
        <w:pStyle w:val="4"/>
        <w:spacing w:line="360" w:lineRule="auto"/>
        <w:ind w:firstLine="480" w:firstLineChars="200"/>
        <w:rPr>
          <w:rFonts w:hAnsi="宋体" w:cs="宋体"/>
          <w:sz w:val="24"/>
          <w:szCs w:val="24"/>
        </w:rPr>
      </w:pPr>
      <w:r>
        <w:rPr>
          <w:rFonts w:hint="eastAsia" w:hAnsi="宋体" w:cs="宋体"/>
          <w:sz w:val="24"/>
          <w:szCs w:val="24"/>
        </w:rPr>
        <w:t>工作组设计了问卷星《泉州市丰泽区禁毒工作的宣传满意度调查问卷》（见附件3），并委托区禁毒办向各街道社区分发，共计回收314份问卷。从表4的统计数据看，禁毒宣传的群众知晓率达到</w:t>
      </w:r>
      <w:r>
        <w:rPr>
          <w:rFonts w:hint="eastAsia" w:hAnsi="宋体" w:cs="宋体"/>
          <w:sz w:val="24"/>
          <w:szCs w:val="24"/>
        </w:rPr>
        <w:drawing>
          <wp:inline distT="0" distB="0" distL="114300" distR="114300">
            <wp:extent cx="9525" cy="114300"/>
            <wp:effectExtent l="0" t="0" r="5715" b="698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9525" cy="114300"/>
                    </a:xfrm>
                    <a:prstGeom prst="rect">
                      <a:avLst/>
                    </a:prstGeom>
                    <a:noFill/>
                    <a:ln>
                      <a:noFill/>
                    </a:ln>
                  </pic:spPr>
                </pic:pic>
              </a:graphicData>
            </a:graphic>
          </wp:inline>
        </w:drawing>
      </w:r>
      <w:r>
        <w:rPr>
          <w:rFonts w:hint="eastAsia" w:hAnsi="宋体" w:cs="宋体"/>
          <w:sz w:val="24"/>
          <w:szCs w:val="24"/>
        </w:rPr>
        <w:t>99.68%，根据评分标准，该项指标可得满分5分。</w:t>
      </w:r>
    </w:p>
    <w:p>
      <w:pPr>
        <w:pStyle w:val="4"/>
        <w:spacing w:line="360" w:lineRule="auto"/>
        <w:jc w:val="center"/>
        <w:rPr>
          <w:rFonts w:hAnsi="宋体" w:cs="宋体"/>
          <w:b/>
          <w:bCs/>
          <w:sz w:val="24"/>
          <w:szCs w:val="24"/>
        </w:rPr>
      </w:pPr>
      <w:r>
        <w:rPr>
          <w:rFonts w:hint="eastAsia" w:hAnsi="宋体" w:cs="宋体"/>
          <w:b/>
          <w:bCs/>
          <w:sz w:val="24"/>
          <w:szCs w:val="24"/>
        </w:rPr>
        <w:t>表4  泉州市丰泽区禁毒工作的宣传满意度调查问卷分析</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5"/>
        <w:gridCol w:w="2311"/>
        <w:gridCol w:w="3514"/>
        <w:gridCol w:w="2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center"/>
          </w:tcPr>
          <w:p>
            <w:pPr>
              <w:pStyle w:val="4"/>
              <w:spacing w:line="360" w:lineRule="auto"/>
              <w:jc w:val="center"/>
              <w:rPr>
                <w:rFonts w:hAnsi="宋体" w:eastAsia="宋体" w:cs="宋体"/>
                <w:b/>
                <w:bCs/>
                <w:color w:val="000000"/>
              </w:rPr>
            </w:pPr>
            <w:r>
              <w:rPr>
                <w:rFonts w:hint="eastAsia" w:hAnsi="宋体" w:eastAsia="宋体" w:cs="宋体"/>
                <w:b/>
                <w:bCs/>
                <w:color w:val="000000"/>
              </w:rPr>
              <w:t>序号</w:t>
            </w:r>
          </w:p>
        </w:tc>
        <w:tc>
          <w:tcPr>
            <w:tcW w:w="2311" w:type="dxa"/>
            <w:vAlign w:val="center"/>
          </w:tcPr>
          <w:p>
            <w:pPr>
              <w:pStyle w:val="4"/>
              <w:spacing w:line="360" w:lineRule="auto"/>
              <w:jc w:val="center"/>
              <w:rPr>
                <w:rFonts w:hAnsi="宋体" w:eastAsia="宋体" w:cs="宋体"/>
                <w:b/>
                <w:bCs/>
                <w:color w:val="000000"/>
              </w:rPr>
            </w:pPr>
            <w:r>
              <w:rPr>
                <w:rFonts w:hint="eastAsia" w:hAnsi="宋体" w:eastAsia="宋体" w:cs="宋体"/>
                <w:b/>
                <w:bCs/>
                <w:color w:val="000000"/>
              </w:rPr>
              <w:t>调查问题</w:t>
            </w:r>
          </w:p>
        </w:tc>
        <w:tc>
          <w:tcPr>
            <w:tcW w:w="3514" w:type="dxa"/>
            <w:vAlign w:val="center"/>
          </w:tcPr>
          <w:p>
            <w:pPr>
              <w:pStyle w:val="4"/>
              <w:spacing w:line="360" w:lineRule="auto"/>
              <w:jc w:val="center"/>
              <w:rPr>
                <w:rFonts w:hAnsi="宋体" w:eastAsia="宋体" w:cs="宋体"/>
                <w:b/>
                <w:bCs/>
                <w:color w:val="000000"/>
              </w:rPr>
            </w:pPr>
            <w:r>
              <w:rPr>
                <w:rFonts w:hint="eastAsia" w:hAnsi="宋体" w:eastAsia="宋体" w:cs="宋体"/>
                <w:b/>
                <w:bCs/>
                <w:color w:val="000000"/>
              </w:rPr>
              <w:t>分值计算说明</w:t>
            </w:r>
          </w:p>
        </w:tc>
        <w:tc>
          <w:tcPr>
            <w:tcW w:w="2251" w:type="dxa"/>
            <w:vAlign w:val="center"/>
          </w:tcPr>
          <w:p>
            <w:pPr>
              <w:pStyle w:val="4"/>
              <w:spacing w:line="360" w:lineRule="auto"/>
              <w:jc w:val="center"/>
              <w:rPr>
                <w:rFonts w:hAnsi="宋体" w:eastAsia="宋体" w:cs="宋体"/>
                <w:b/>
                <w:bCs/>
                <w:color w:val="000000"/>
              </w:rPr>
            </w:pPr>
            <w:r>
              <w:rPr>
                <w:rFonts w:hint="eastAsia" w:hAnsi="宋体" w:eastAsia="宋体" w:cs="宋体"/>
                <w:b/>
                <w:bCs/>
                <w:color w:val="000000"/>
              </w:rPr>
              <w:t>知晓率/满意度(%)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center"/>
          </w:tcPr>
          <w:p>
            <w:pPr>
              <w:pStyle w:val="4"/>
              <w:spacing w:line="360" w:lineRule="auto"/>
              <w:jc w:val="center"/>
              <w:rPr>
                <w:rFonts w:hAnsi="宋体" w:cs="宋体"/>
              </w:rPr>
            </w:pPr>
            <w:r>
              <w:rPr>
                <w:rFonts w:hint="eastAsia" w:hAnsi="宋体" w:cs="宋体"/>
              </w:rPr>
              <w:t>问题1</w:t>
            </w:r>
          </w:p>
        </w:tc>
        <w:tc>
          <w:tcPr>
            <w:tcW w:w="2311" w:type="dxa"/>
            <w:vAlign w:val="center"/>
          </w:tcPr>
          <w:p>
            <w:pPr>
              <w:pStyle w:val="4"/>
              <w:spacing w:line="360" w:lineRule="auto"/>
              <w:jc w:val="center"/>
              <w:rPr>
                <w:rFonts w:hAnsi="宋体" w:cs="宋体"/>
              </w:rPr>
            </w:pPr>
            <w:r>
              <w:rPr>
                <w:rFonts w:hint="eastAsia" w:hAnsi="宋体" w:cs="宋体"/>
              </w:rPr>
              <w:t>禁毒宣传知晓率</w:t>
            </w:r>
          </w:p>
        </w:tc>
        <w:tc>
          <w:tcPr>
            <w:tcW w:w="3514" w:type="dxa"/>
            <w:vAlign w:val="center"/>
          </w:tcPr>
          <w:p>
            <w:pPr>
              <w:pStyle w:val="4"/>
              <w:spacing w:line="360" w:lineRule="auto"/>
              <w:jc w:val="center"/>
              <w:rPr>
                <w:rFonts w:hAnsi="宋体" w:cs="宋体"/>
              </w:rPr>
            </w:pPr>
            <w:r>
              <w:rPr>
                <w:rFonts w:hint="eastAsia" w:hAnsi="宋体" w:cs="宋体"/>
              </w:rPr>
              <w:t>313/314</w:t>
            </w:r>
          </w:p>
        </w:tc>
        <w:tc>
          <w:tcPr>
            <w:tcW w:w="2251" w:type="dxa"/>
            <w:vAlign w:val="center"/>
          </w:tcPr>
          <w:p>
            <w:pPr>
              <w:pStyle w:val="4"/>
              <w:spacing w:line="360" w:lineRule="auto"/>
              <w:jc w:val="center"/>
              <w:rPr>
                <w:rFonts w:hAnsi="宋体" w:cs="宋体"/>
              </w:rPr>
            </w:pPr>
            <w:r>
              <w:rPr>
                <w:rFonts w:hint="eastAsia" w:hAnsi="宋体" w:cs="宋体"/>
              </w:rPr>
              <w:t>99.68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center"/>
          </w:tcPr>
          <w:p>
            <w:pPr>
              <w:pStyle w:val="4"/>
              <w:spacing w:line="360" w:lineRule="auto"/>
              <w:jc w:val="center"/>
              <w:rPr>
                <w:rFonts w:hAnsi="宋体" w:cs="宋体"/>
              </w:rPr>
            </w:pPr>
            <w:r>
              <w:rPr>
                <w:rFonts w:hint="eastAsia" w:hAnsi="宋体" w:cs="宋体"/>
              </w:rPr>
              <w:t>问题3</w:t>
            </w:r>
          </w:p>
        </w:tc>
        <w:tc>
          <w:tcPr>
            <w:tcW w:w="2311" w:type="dxa"/>
            <w:vAlign w:val="center"/>
          </w:tcPr>
          <w:p>
            <w:pPr>
              <w:pStyle w:val="4"/>
              <w:spacing w:line="360" w:lineRule="auto"/>
              <w:jc w:val="center"/>
              <w:rPr>
                <w:rFonts w:hAnsi="宋体" w:cs="宋体"/>
              </w:rPr>
            </w:pPr>
            <w:r>
              <w:rPr>
                <w:rFonts w:hint="eastAsia" w:hAnsi="宋体" w:cs="宋体"/>
              </w:rPr>
              <w:t>禁毒宣传方式满意度</w:t>
            </w:r>
          </w:p>
        </w:tc>
        <w:tc>
          <w:tcPr>
            <w:tcW w:w="3514" w:type="dxa"/>
            <w:vAlign w:val="center"/>
          </w:tcPr>
          <w:p>
            <w:pPr>
              <w:pStyle w:val="4"/>
              <w:jc w:val="center"/>
              <w:rPr>
                <w:rFonts w:hAnsi="宋体" w:cs="宋体"/>
              </w:rPr>
            </w:pPr>
            <w:r>
              <w:rPr>
                <w:rFonts w:hint="eastAsia" w:hAnsi="宋体" w:eastAsia="宋体" w:cs="宋体"/>
              </w:rPr>
              <w:t>（5×293+4×15+3×5+1×1）/（5×314）</w:t>
            </w:r>
          </w:p>
        </w:tc>
        <w:tc>
          <w:tcPr>
            <w:tcW w:w="2251" w:type="dxa"/>
            <w:vAlign w:val="center"/>
          </w:tcPr>
          <w:p>
            <w:pPr>
              <w:pStyle w:val="4"/>
              <w:spacing w:line="360" w:lineRule="auto"/>
              <w:jc w:val="center"/>
              <w:rPr>
                <w:rFonts w:hAnsi="宋体" w:cs="宋体"/>
              </w:rPr>
            </w:pPr>
            <w:r>
              <w:rPr>
                <w:rFonts w:hint="eastAsia" w:hAnsi="宋体" w:cs="宋体"/>
              </w:rPr>
              <w:t>98.15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center"/>
          </w:tcPr>
          <w:p>
            <w:pPr>
              <w:pStyle w:val="4"/>
              <w:spacing w:line="360" w:lineRule="auto"/>
              <w:jc w:val="center"/>
              <w:rPr>
                <w:rFonts w:hAnsi="宋体" w:cs="宋体"/>
              </w:rPr>
            </w:pPr>
            <w:r>
              <w:rPr>
                <w:rFonts w:hint="eastAsia" w:hAnsi="宋体" w:cs="宋体"/>
              </w:rPr>
              <w:t>问题4</w:t>
            </w:r>
          </w:p>
        </w:tc>
        <w:tc>
          <w:tcPr>
            <w:tcW w:w="2311" w:type="dxa"/>
            <w:vAlign w:val="center"/>
          </w:tcPr>
          <w:p>
            <w:pPr>
              <w:pStyle w:val="4"/>
              <w:spacing w:line="360" w:lineRule="auto"/>
              <w:jc w:val="center"/>
              <w:rPr>
                <w:rFonts w:hAnsi="宋体" w:cs="宋体"/>
              </w:rPr>
            </w:pPr>
            <w:r>
              <w:rPr>
                <w:rFonts w:hint="eastAsia" w:hAnsi="宋体" w:cs="宋体"/>
              </w:rPr>
              <w:t>禁毒宣传力度满意度</w:t>
            </w:r>
          </w:p>
        </w:tc>
        <w:tc>
          <w:tcPr>
            <w:tcW w:w="3514" w:type="dxa"/>
            <w:vAlign w:val="center"/>
          </w:tcPr>
          <w:p>
            <w:pPr>
              <w:pStyle w:val="4"/>
              <w:jc w:val="center"/>
              <w:rPr>
                <w:rFonts w:hAnsi="宋体" w:cs="宋体"/>
              </w:rPr>
            </w:pPr>
            <w:r>
              <w:rPr>
                <w:rFonts w:hint="eastAsia" w:hAnsi="宋体" w:eastAsia="宋体" w:cs="宋体"/>
              </w:rPr>
              <w:t>（5×288+4×19+3×6+1×1）/（5×314）</w:t>
            </w:r>
          </w:p>
        </w:tc>
        <w:tc>
          <w:tcPr>
            <w:tcW w:w="2251" w:type="dxa"/>
            <w:vAlign w:val="center"/>
          </w:tcPr>
          <w:p>
            <w:pPr>
              <w:pStyle w:val="4"/>
              <w:spacing w:line="360" w:lineRule="auto"/>
              <w:jc w:val="center"/>
              <w:rPr>
                <w:rFonts w:hAnsi="宋体" w:cs="宋体"/>
              </w:rPr>
            </w:pPr>
            <w:r>
              <w:rPr>
                <w:rFonts w:hint="eastAsia" w:hAnsi="宋体" w:cs="宋体"/>
              </w:rPr>
              <w:t>97.77</w:t>
            </w:r>
          </w:p>
        </w:tc>
      </w:tr>
    </w:tbl>
    <w:p>
      <w:pPr>
        <w:pStyle w:val="4"/>
        <w:spacing w:line="360" w:lineRule="auto"/>
        <w:ind w:firstLine="480" w:firstLineChars="200"/>
        <w:rPr>
          <w:rFonts w:hAnsi="宋体" w:cs="宋体"/>
          <w:sz w:val="24"/>
          <w:szCs w:val="24"/>
        </w:rPr>
      </w:pPr>
      <w:r>
        <w:rPr>
          <w:rFonts w:hint="eastAsia" w:hAnsi="宋体" w:cs="宋体"/>
          <w:sz w:val="24"/>
          <w:szCs w:val="24"/>
        </w:rPr>
        <w:t>③社工队伍建设得</w:t>
      </w:r>
      <w:r>
        <w:rPr>
          <w:rFonts w:hint="eastAsia" w:hAnsi="宋体" w:cs="宋体"/>
          <w:sz w:val="24"/>
          <w:szCs w:val="24"/>
          <w:lang w:val="en-US" w:eastAsia="zh-CN"/>
        </w:rPr>
        <w:t>5</w:t>
      </w:r>
      <w:r>
        <w:rPr>
          <w:rFonts w:hint="eastAsia" w:hAnsi="宋体" w:cs="宋体"/>
          <w:sz w:val="24"/>
          <w:szCs w:val="24"/>
        </w:rPr>
        <w:t>分（共5分）</w:t>
      </w:r>
    </w:p>
    <w:p>
      <w:pPr>
        <w:pStyle w:val="4"/>
        <w:spacing w:line="360" w:lineRule="auto"/>
        <w:ind w:firstLine="480" w:firstLineChars="200"/>
        <w:rPr>
          <w:rFonts w:hAnsi="宋体" w:cs="宋体"/>
          <w:sz w:val="24"/>
          <w:szCs w:val="24"/>
        </w:rPr>
      </w:pPr>
      <w:r>
        <w:rPr>
          <w:rFonts w:hint="eastAsia" w:hAnsi="宋体" w:eastAsia="宋体" w:cs="宋体"/>
          <w:bCs/>
          <w:sz w:val="24"/>
          <w:szCs w:val="24"/>
          <w:u w:val="none"/>
          <w:lang w:val="en-US" w:eastAsia="zh-CN"/>
        </w:rPr>
        <w:t>根据</w:t>
      </w:r>
      <w:r>
        <w:rPr>
          <w:rFonts w:hint="eastAsia" w:ascii="宋体" w:hAnsi="宋体" w:eastAsia="宋体" w:cs="宋体"/>
          <w:bCs/>
          <w:sz w:val="24"/>
          <w:szCs w:val="24"/>
          <w:u w:val="none"/>
          <w:lang w:val="en-US" w:eastAsia="zh-CN"/>
        </w:rPr>
        <w:t>《丰泽区机关、事业单位工作人员调配领导小组二〇一九年第四次会议纪要》（〔2019〕4号）文件精神，社工队伍建设应达到13名，</w:t>
      </w:r>
      <w:r>
        <w:rPr>
          <w:rFonts w:hint="eastAsia" w:hAnsi="宋体" w:eastAsia="宋体" w:cs="宋体"/>
          <w:bCs/>
          <w:sz w:val="24"/>
          <w:szCs w:val="24"/>
          <w:u w:val="none"/>
          <w:lang w:val="en-US" w:eastAsia="zh-CN"/>
        </w:rPr>
        <w:t>2019年禁毒大队</w:t>
      </w:r>
      <w:r>
        <w:rPr>
          <w:rFonts w:hint="eastAsia" w:ascii="宋体" w:hAnsi="宋体" w:eastAsia="宋体" w:cs="宋体"/>
          <w:bCs/>
          <w:sz w:val="24"/>
          <w:szCs w:val="24"/>
          <w:u w:val="none"/>
          <w:lang w:val="en-US" w:eastAsia="zh-CN"/>
        </w:rPr>
        <w:t>的13名</w:t>
      </w:r>
      <w:r>
        <w:rPr>
          <w:rFonts w:hint="eastAsia" w:hAnsi="宋体" w:eastAsia="宋体" w:cs="宋体"/>
          <w:bCs/>
          <w:sz w:val="24"/>
          <w:szCs w:val="24"/>
          <w:u w:val="none"/>
          <w:lang w:val="en-US" w:eastAsia="zh-CN"/>
        </w:rPr>
        <w:t>社工</w:t>
      </w:r>
      <w:r>
        <w:rPr>
          <w:rFonts w:hint="eastAsia" w:ascii="宋体" w:hAnsi="宋体" w:eastAsia="宋体" w:cs="宋体"/>
          <w:bCs/>
          <w:sz w:val="24"/>
          <w:szCs w:val="24"/>
          <w:u w:val="none"/>
          <w:lang w:val="en-US" w:eastAsia="zh-CN"/>
        </w:rPr>
        <w:t>指标已全部招满。</w:t>
      </w:r>
      <w:r>
        <w:rPr>
          <w:rFonts w:hint="eastAsia" w:hAnsi="宋体" w:cs="宋体"/>
          <w:sz w:val="24"/>
          <w:szCs w:val="24"/>
        </w:rPr>
        <w:t>按照评分标准，该项指标</w:t>
      </w:r>
      <w:r>
        <w:rPr>
          <w:rFonts w:hint="eastAsia" w:hAnsi="宋体" w:cs="宋体"/>
          <w:sz w:val="24"/>
          <w:szCs w:val="24"/>
          <w:lang w:val="en-US" w:eastAsia="zh-CN"/>
        </w:rPr>
        <w:t>可</w:t>
      </w:r>
      <w:r>
        <w:rPr>
          <w:rFonts w:hint="eastAsia" w:hAnsi="宋体" w:cs="宋体"/>
          <w:sz w:val="24"/>
          <w:szCs w:val="24"/>
        </w:rPr>
        <w:t>得</w:t>
      </w:r>
      <w:r>
        <w:rPr>
          <w:rFonts w:hint="eastAsia" w:hAnsi="宋体" w:cs="宋体"/>
          <w:sz w:val="24"/>
          <w:szCs w:val="24"/>
          <w:lang w:val="en-US" w:eastAsia="zh-CN"/>
        </w:rPr>
        <w:t>满分5</w:t>
      </w:r>
      <w:r>
        <w:rPr>
          <w:rFonts w:hint="eastAsia" w:hAnsi="宋体" w:cs="宋体"/>
          <w:sz w:val="24"/>
          <w:szCs w:val="24"/>
        </w:rPr>
        <w:t>分。</w:t>
      </w:r>
    </w:p>
    <w:p>
      <w:pPr>
        <w:spacing w:line="360" w:lineRule="auto"/>
        <w:ind w:firstLine="482" w:firstLineChars="200"/>
        <w:rPr>
          <w:rFonts w:ascii="宋体" w:hAnsi="宋体" w:cs="宋体"/>
          <w:szCs w:val="21"/>
        </w:rPr>
      </w:pPr>
      <w:r>
        <w:rPr>
          <w:rFonts w:hint="eastAsia" w:ascii="宋体" w:hAnsi="宋体" w:eastAsia="宋体" w:cs="宋体"/>
          <w:b/>
          <w:bCs/>
          <w:color w:val="000000"/>
          <w:sz w:val="24"/>
          <w:szCs w:val="22"/>
        </w:rPr>
        <w:t>3.满意度得11分（共12分）</w:t>
      </w:r>
    </w:p>
    <w:p>
      <w:pPr>
        <w:pStyle w:val="4"/>
        <w:spacing w:line="360" w:lineRule="auto"/>
        <w:ind w:firstLine="480" w:firstLineChars="200"/>
        <w:rPr>
          <w:rFonts w:hAnsi="宋体" w:cs="宋体"/>
          <w:sz w:val="24"/>
          <w:szCs w:val="24"/>
        </w:rPr>
      </w:pPr>
      <w:r>
        <w:rPr>
          <w:rFonts w:hint="eastAsia" w:hAnsi="宋体" w:cs="宋体"/>
          <w:sz w:val="24"/>
          <w:szCs w:val="24"/>
        </w:rPr>
        <w:t>“满意度”通过“上级主管部门满意度”和“群众满意度”二个三级指标进行评价。</w:t>
      </w:r>
    </w:p>
    <w:p>
      <w:pPr>
        <w:pStyle w:val="4"/>
        <w:spacing w:line="360" w:lineRule="auto"/>
        <w:ind w:firstLine="480" w:firstLineChars="200"/>
        <w:rPr>
          <w:rFonts w:hAnsi="宋体" w:cs="宋体"/>
          <w:sz w:val="24"/>
          <w:szCs w:val="24"/>
        </w:rPr>
      </w:pPr>
      <w:r>
        <w:rPr>
          <w:rFonts w:hint="eastAsia" w:hAnsi="宋体" w:cs="宋体"/>
          <w:sz w:val="24"/>
          <w:szCs w:val="24"/>
        </w:rPr>
        <w:t>①上级主管部门满意度得5分（共6分）</w:t>
      </w:r>
    </w:p>
    <w:p>
      <w:pPr>
        <w:pStyle w:val="4"/>
        <w:spacing w:line="360" w:lineRule="auto"/>
        <w:ind w:firstLine="480" w:firstLineChars="200"/>
        <w:rPr>
          <w:rFonts w:hAnsi="宋体" w:cs="宋体"/>
          <w:sz w:val="24"/>
          <w:szCs w:val="24"/>
        </w:rPr>
      </w:pPr>
      <w:r>
        <w:rPr>
          <w:rFonts w:hint="eastAsia" w:hAnsi="宋体" w:cs="宋体"/>
          <w:sz w:val="24"/>
          <w:szCs w:val="24"/>
        </w:rPr>
        <w:t>根据评分标准，摘掉“禁毒重点关注地区”帽子得6分，未摘帽但获得市级（含）以上领导表扬得3分。由于疫情影响，虽然丰泽区禁毒工作已于2020年5月已通过省禁毒委验收，但还需要副省长签署意见才能正式摘帽，此外，丰泽区禁毒工作得到泉州市禁毒委表彰，获得2019年全市禁毒工作综合评价优胜单位，因还未正式摘帽，该项指标酌情扣1分，得5分。</w:t>
      </w:r>
    </w:p>
    <w:p>
      <w:pPr>
        <w:pStyle w:val="4"/>
        <w:spacing w:line="360" w:lineRule="auto"/>
        <w:ind w:firstLine="480" w:firstLineChars="200"/>
        <w:rPr>
          <w:rFonts w:hAnsi="宋体" w:cs="宋体"/>
          <w:sz w:val="24"/>
          <w:szCs w:val="24"/>
        </w:rPr>
      </w:pPr>
      <w:r>
        <w:rPr>
          <w:rFonts w:hint="eastAsia" w:hAnsi="宋体" w:cs="宋体"/>
          <w:sz w:val="24"/>
          <w:szCs w:val="24"/>
        </w:rPr>
        <w:t>②群众满意度得6分（共6分）</w:t>
      </w:r>
    </w:p>
    <w:p>
      <w:pPr>
        <w:pStyle w:val="4"/>
        <w:spacing w:line="360" w:lineRule="auto"/>
        <w:ind w:firstLine="480" w:firstLineChars="200"/>
        <w:rPr>
          <w:rFonts w:hAnsi="宋体" w:cs="宋体"/>
          <w:sz w:val="24"/>
        </w:rPr>
      </w:pPr>
      <w:r>
        <w:rPr>
          <w:rFonts w:hint="eastAsia" w:hAnsi="宋体" w:cs="宋体"/>
          <w:sz w:val="24"/>
          <w:szCs w:val="24"/>
        </w:rPr>
        <w:t>根据调查问卷统计数据分析（见表4），群众对禁毒宣传的方式和力度的满意度达到98.15%和97.77%。根据评分标准，该项指标满分6分，得6分。</w:t>
      </w:r>
    </w:p>
    <w:p>
      <w:pPr>
        <w:pStyle w:val="8"/>
        <w:spacing w:beforeLines="100" w:afterLines="100"/>
        <w:outlineLvl w:val="0"/>
        <w:rPr>
          <w:rFonts w:ascii="黑体" w:hAnsi="黑体" w:eastAsia="黑体" w:cs="黑体"/>
          <w:b w:val="0"/>
          <w:bCs/>
        </w:rPr>
      </w:pPr>
      <w:bookmarkStart w:id="14" w:name="_Toc4692"/>
      <w:r>
        <w:rPr>
          <w:rFonts w:hint="eastAsia" w:ascii="黑体" w:hAnsi="黑体" w:eastAsia="黑体" w:cs="黑体"/>
          <w:b w:val="0"/>
          <w:bCs/>
        </w:rPr>
        <w:t>五、主要经验及做法、存在的问题及原因分析</w:t>
      </w:r>
      <w:bookmarkEnd w:id="14"/>
    </w:p>
    <w:p>
      <w:pPr>
        <w:pStyle w:val="10"/>
        <w:ind w:firstLine="562"/>
        <w:outlineLvl w:val="1"/>
      </w:pPr>
      <w:bookmarkStart w:id="15" w:name="_Toc12712"/>
      <w:r>
        <w:rPr>
          <w:rFonts w:hint="eastAsia"/>
        </w:rPr>
        <w:t>（一）主要经验及做法</w:t>
      </w:r>
      <w:bookmarkEnd w:id="15"/>
    </w:p>
    <w:p>
      <w:pPr>
        <w:pStyle w:val="4"/>
        <w:spacing w:line="360" w:lineRule="auto"/>
        <w:ind w:firstLine="480" w:firstLineChars="200"/>
        <w:rPr>
          <w:rFonts w:hAnsi="宋体" w:cs="宋体"/>
          <w:sz w:val="24"/>
          <w:szCs w:val="24"/>
        </w:rPr>
      </w:pPr>
      <w:r>
        <w:rPr>
          <w:rFonts w:hint="eastAsia" w:hAnsi="宋体" w:cs="宋体"/>
          <w:sz w:val="24"/>
          <w:szCs w:val="24"/>
        </w:rPr>
        <w:t>丰泽区区委、区政府对2019年度全区禁毒工作部署，严格根据《福建省禁毒重点整治工作办法》、《福建省禁毒工作综合评估办法》、《福建省禁毒重点整治地区认定及验收细则》等有关规定，结合“禁毒2019两打两控”、“飓风肃毒2019”等专项行动，专设禁毒人民战争专项工作经费，加大禁毒经费投入，制定《丰泽区2019年禁毒重点整治攻坚行动实施方案》，分阶段安排禁毒工作推进。主要经验和做法如下：</w:t>
      </w:r>
    </w:p>
    <w:p>
      <w:pPr>
        <w:spacing w:line="360" w:lineRule="auto"/>
        <w:ind w:firstLine="482" w:firstLineChars="200"/>
        <w:rPr>
          <w:rFonts w:ascii="宋体" w:hAnsi="宋体" w:eastAsia="宋体" w:cs="宋体"/>
          <w:b/>
          <w:bCs/>
          <w:color w:val="000000"/>
          <w:sz w:val="24"/>
          <w:szCs w:val="22"/>
        </w:rPr>
      </w:pPr>
      <w:r>
        <w:rPr>
          <w:rFonts w:hint="eastAsia" w:ascii="宋体" w:hAnsi="宋体" w:eastAsia="宋体" w:cs="宋体"/>
          <w:b/>
          <w:bCs/>
          <w:color w:val="000000"/>
          <w:sz w:val="24"/>
          <w:szCs w:val="22"/>
        </w:rPr>
        <w:t>1.指导思想正确</w:t>
      </w:r>
    </w:p>
    <w:p>
      <w:pPr>
        <w:pStyle w:val="4"/>
        <w:spacing w:line="360" w:lineRule="auto"/>
        <w:ind w:firstLine="480" w:firstLineChars="200"/>
        <w:rPr>
          <w:rFonts w:hAnsi="宋体" w:cs="宋体"/>
          <w:sz w:val="24"/>
          <w:szCs w:val="24"/>
        </w:rPr>
      </w:pPr>
      <w:r>
        <w:rPr>
          <w:rFonts w:hint="eastAsia" w:hAnsi="宋体" w:cs="宋体"/>
          <w:sz w:val="24"/>
          <w:szCs w:val="24"/>
        </w:rPr>
        <w:t>坚持以党的十九大精神和习近平总书记“走中国特色的毒品问题治理之路，坚决打赢新时代禁毒人民战争”的重要指示精神为指导，按照习近平总书记“认识到位、措施到位、责任到位、保障到位”的总要求，增强“四个意识”、坚定“四个自信”、做到“两个维护”，认真学习贯彻“7.17”全国禁毒工作电视电话会议精神，按照省、市禁毒委、禁毒办、区委、区政府部署要求，能够以当前影响丰泽区禁毒形势的“团伙贩毒、零星贩毒犯罪和毒品集散地、吸毒人员增多”四个突出问题为打击重点，以最坚决的态度、最管用的措施、最有效的办法，全力以赴、全员参与，确保“摘掉帽子，打出声威，整出声势”，坚决打赢禁毒重点整治攻坚战，全面构建“五全”毒品治理体系，即构建全覆盖毒品预防教育体系、全环节管控吸毒人员体系、全链条打击毒品犯罪体系、全要素监管制毒物品体系、全方位毒情监测预警体系，切实满足人民群众对美好生活的向往，营造和谐稳定的社会环境。</w:t>
      </w:r>
    </w:p>
    <w:p>
      <w:pPr>
        <w:spacing w:line="360" w:lineRule="auto"/>
        <w:ind w:firstLine="482" w:firstLineChars="200"/>
        <w:rPr>
          <w:rFonts w:ascii="宋体" w:hAnsi="宋体" w:eastAsia="宋体" w:cs="宋体"/>
          <w:b/>
          <w:bCs/>
          <w:color w:val="000000"/>
          <w:sz w:val="24"/>
          <w:szCs w:val="22"/>
        </w:rPr>
      </w:pPr>
      <w:r>
        <w:rPr>
          <w:rFonts w:hint="eastAsia" w:ascii="宋体" w:hAnsi="宋体" w:eastAsia="宋体" w:cs="宋体"/>
          <w:b/>
          <w:bCs/>
          <w:color w:val="000000"/>
          <w:sz w:val="24"/>
          <w:szCs w:val="22"/>
        </w:rPr>
        <w:t>2.上级主管部门高度重视</w:t>
      </w:r>
    </w:p>
    <w:p>
      <w:pPr>
        <w:pStyle w:val="4"/>
        <w:spacing w:line="360" w:lineRule="auto"/>
        <w:ind w:firstLine="480" w:firstLineChars="200"/>
        <w:rPr>
          <w:rFonts w:hAnsi="宋体" w:cs="宋体"/>
          <w:sz w:val="24"/>
          <w:szCs w:val="24"/>
        </w:rPr>
      </w:pPr>
      <w:r>
        <w:rPr>
          <w:rFonts w:hint="eastAsia" w:hAnsi="宋体" w:cs="宋体"/>
          <w:sz w:val="24"/>
          <w:szCs w:val="24"/>
        </w:rPr>
        <w:t>区委区政府将禁毒工作列入“强基促稳”三年行动重要内容，纳入党政领导干部年度考核、政府效能、综治平安建设、文明创建等考核范畴。区委召开多次常委会，区政府召开政府常务会，专题研究禁毒工作，区委区政府多次召开全区禁毒重点整治攻坚战部署动员会和禁毒工作推进会，领导先后34次对禁毒工作作出具体部署和批示，并多次到一线督导推动，确保各项禁毒措施落到实处。</w:t>
      </w:r>
    </w:p>
    <w:p>
      <w:pPr>
        <w:spacing w:line="360" w:lineRule="auto"/>
        <w:ind w:firstLine="482" w:firstLineChars="200"/>
        <w:rPr>
          <w:rFonts w:ascii="宋体" w:hAnsi="宋体" w:eastAsia="宋体" w:cs="宋体"/>
          <w:b/>
          <w:bCs/>
          <w:color w:val="000000"/>
          <w:sz w:val="24"/>
          <w:szCs w:val="22"/>
        </w:rPr>
      </w:pPr>
      <w:r>
        <w:rPr>
          <w:rFonts w:hint="eastAsia" w:ascii="宋体" w:hAnsi="宋体" w:eastAsia="宋体" w:cs="宋体"/>
          <w:b/>
          <w:bCs/>
          <w:color w:val="000000"/>
          <w:sz w:val="24"/>
          <w:szCs w:val="22"/>
        </w:rPr>
        <w:t>3.责任到位</w:t>
      </w:r>
    </w:p>
    <w:p>
      <w:pPr>
        <w:pStyle w:val="4"/>
        <w:spacing w:line="360" w:lineRule="auto"/>
        <w:ind w:firstLine="480" w:firstLineChars="200"/>
        <w:rPr>
          <w:rFonts w:hAnsi="宋体" w:cs="宋体"/>
          <w:sz w:val="24"/>
          <w:szCs w:val="24"/>
        </w:rPr>
      </w:pPr>
      <w:r>
        <w:rPr>
          <w:rFonts w:hint="eastAsia" w:hAnsi="宋体" w:cs="宋体"/>
          <w:sz w:val="24"/>
          <w:szCs w:val="24"/>
        </w:rPr>
        <w:t>以《毒品问题严重地区责任考评办法》为主线，找准突出短板和薄弱环节。主动聚焦全省禁毒重点整治22项重点工作事项，扎实推进新时代禁毒工作向纵深发展。区禁毒委与全区八个街道和区禁毒委成员各单位签订了责任书，印发了《丰泽区禁毒重点整治工作方案》《丰泽区禁毒工作责任制》《丰泽区重点整治实施细则》等系列文件，明确规定党委、政府、禁毒委各成员单位的职责任务，形成“责任到人”“分级管理”“人人有责”的工作格局。</w:t>
      </w:r>
    </w:p>
    <w:p>
      <w:pPr>
        <w:spacing w:line="360" w:lineRule="auto"/>
        <w:ind w:firstLine="482" w:firstLineChars="200"/>
        <w:rPr>
          <w:rFonts w:hint="eastAsia" w:ascii="宋体" w:hAnsi="宋体" w:eastAsia="宋体" w:cs="宋体"/>
          <w:b/>
          <w:bCs/>
          <w:color w:val="000000"/>
          <w:sz w:val="24"/>
          <w:szCs w:val="22"/>
          <w:lang w:val="en-US" w:eastAsia="zh-CN"/>
        </w:rPr>
      </w:pPr>
      <w:r>
        <w:rPr>
          <w:rFonts w:hint="eastAsia" w:ascii="宋体" w:hAnsi="宋体" w:eastAsia="宋体" w:cs="宋体"/>
          <w:b/>
          <w:bCs/>
          <w:color w:val="000000"/>
          <w:sz w:val="24"/>
          <w:szCs w:val="22"/>
        </w:rPr>
        <w:t>4.</w:t>
      </w:r>
      <w:r>
        <w:rPr>
          <w:rFonts w:hint="eastAsia" w:ascii="宋体" w:hAnsi="宋体" w:eastAsia="宋体" w:cs="宋体"/>
          <w:b/>
          <w:bCs/>
          <w:color w:val="000000"/>
          <w:sz w:val="24"/>
          <w:szCs w:val="22"/>
          <w:lang w:val="en-US" w:eastAsia="zh-CN"/>
        </w:rPr>
        <w:t>禁毒宣传教育工作常态化</w:t>
      </w:r>
    </w:p>
    <w:p>
      <w:pPr>
        <w:pStyle w:val="4"/>
        <w:spacing w:line="360" w:lineRule="auto"/>
        <w:ind w:firstLine="480" w:firstLineChars="200"/>
        <w:rPr>
          <w:rFonts w:hAnsi="宋体" w:cs="宋体"/>
          <w:sz w:val="24"/>
          <w:szCs w:val="24"/>
        </w:rPr>
      </w:pPr>
      <w:r>
        <w:rPr>
          <w:rFonts w:hint="eastAsia" w:hAnsi="宋体" w:cs="宋体"/>
          <w:sz w:val="24"/>
          <w:szCs w:val="24"/>
        </w:rPr>
        <w:t>2019年，丰泽区委、区政府加大对禁毒工作的投入，建设1个区级林则徐禁毒教育基地、8个街道社区戒毒社区康复管理工作站、10所林则徐禁毒宣教室、白水营禁毒宣传文化长廊、两条禁毒宣传街等一系列禁毒宣传阵地，不断深化青少年毒品预防教育“6·27”工程建设，推动青少年毒品宣传教育工作常态化，实现了毒品预防教育阵地全覆盖、宣传无盲区。</w:t>
      </w:r>
    </w:p>
    <w:p>
      <w:pPr>
        <w:spacing w:line="360" w:lineRule="auto"/>
        <w:ind w:firstLine="482" w:firstLineChars="200"/>
        <w:rPr>
          <w:rFonts w:ascii="宋体" w:hAnsi="宋体" w:eastAsia="宋体" w:cs="宋体"/>
          <w:b/>
          <w:bCs/>
          <w:color w:val="000000"/>
          <w:sz w:val="24"/>
          <w:szCs w:val="22"/>
        </w:rPr>
      </w:pPr>
      <w:r>
        <w:rPr>
          <w:rFonts w:hint="eastAsia" w:ascii="宋体" w:hAnsi="宋体" w:eastAsia="宋体" w:cs="宋体"/>
          <w:b/>
          <w:bCs/>
          <w:color w:val="000000"/>
          <w:sz w:val="24"/>
          <w:szCs w:val="22"/>
        </w:rPr>
        <w:t>5.宣传形式多样化</w:t>
      </w:r>
    </w:p>
    <w:p>
      <w:pPr>
        <w:pStyle w:val="4"/>
        <w:spacing w:line="360" w:lineRule="auto"/>
        <w:ind w:firstLine="480" w:firstLineChars="200"/>
        <w:rPr>
          <w:rFonts w:hAnsi="宋体" w:cs="宋体"/>
          <w:sz w:val="24"/>
          <w:szCs w:val="24"/>
        </w:rPr>
      </w:pPr>
      <w:r>
        <w:rPr>
          <w:rFonts w:hint="eastAsia" w:hAnsi="宋体" w:cs="宋体"/>
          <w:sz w:val="24"/>
          <w:szCs w:val="24"/>
        </w:rPr>
        <w:t>健全新时代全民禁毒宣传教育体系。建立健全禁毒宣传长效机制，推进禁毒宣传阵地建设，提升综合性禁毒宣传教育亮点工程，采取宣传材料、宣传报道、禁毒讲座、禁毒期刊、禁毒广告、标语和LED电子屏幕、专项培训、宣传教育基地、禁毒宣传微电影、开展禁毒法律有奖问答等多样化的宣传形式，围绕“6·3”、“6·26”等重要节点，组织开展“全民禁毒宣传月”等大型禁毒主题宣传教育活动，掀起禁毒宣传热潮。这些形式有针对性地开展毒品预防教育，全面提升社会公众特别是青少年识毒防毒拒毒意识。</w:t>
      </w:r>
    </w:p>
    <w:p>
      <w:pPr>
        <w:pStyle w:val="10"/>
        <w:ind w:firstLine="562"/>
        <w:outlineLvl w:val="1"/>
      </w:pPr>
      <w:bookmarkStart w:id="16" w:name="_Toc26517"/>
      <w:r>
        <w:rPr>
          <w:rFonts w:hint="eastAsia"/>
        </w:rPr>
        <w:t>（二）存在的问题及原因分析</w:t>
      </w:r>
      <w:bookmarkEnd w:id="16"/>
    </w:p>
    <w:p>
      <w:pPr>
        <w:spacing w:line="360" w:lineRule="auto"/>
        <w:ind w:firstLine="482" w:firstLineChars="200"/>
        <w:rPr>
          <w:rFonts w:ascii="宋体" w:hAnsi="宋体" w:eastAsia="宋体" w:cs="宋体"/>
          <w:b/>
          <w:bCs/>
          <w:color w:val="000000"/>
          <w:sz w:val="24"/>
          <w:szCs w:val="22"/>
        </w:rPr>
      </w:pPr>
      <w:bookmarkStart w:id="17" w:name="_Toc27501"/>
      <w:r>
        <w:rPr>
          <w:rFonts w:hint="eastAsia" w:ascii="宋体" w:hAnsi="宋体" w:eastAsia="宋体" w:cs="宋体"/>
          <w:b/>
          <w:bCs/>
          <w:color w:val="000000"/>
          <w:sz w:val="24"/>
          <w:szCs w:val="22"/>
        </w:rPr>
        <w:t>1.自评指标</w:t>
      </w:r>
      <w:bookmarkEnd w:id="17"/>
      <w:r>
        <w:rPr>
          <w:rFonts w:hint="eastAsia" w:ascii="宋体" w:hAnsi="宋体" w:eastAsia="宋体" w:cs="宋体"/>
          <w:b/>
          <w:bCs/>
          <w:color w:val="000000"/>
          <w:sz w:val="24"/>
          <w:szCs w:val="22"/>
        </w:rPr>
        <w:t>设置不够完善</w:t>
      </w:r>
    </w:p>
    <w:p>
      <w:pPr>
        <w:pStyle w:val="4"/>
        <w:spacing w:line="360" w:lineRule="auto"/>
        <w:ind w:firstLine="480" w:firstLineChars="200"/>
        <w:rPr>
          <w:rFonts w:hAnsi="宋体" w:cs="宋体"/>
          <w:sz w:val="24"/>
          <w:szCs w:val="24"/>
        </w:rPr>
      </w:pPr>
      <w:r>
        <w:rPr>
          <w:rFonts w:hint="eastAsia" w:hAnsi="宋体" w:cs="宋体"/>
          <w:sz w:val="24"/>
          <w:szCs w:val="24"/>
        </w:rPr>
        <w:t>禁毒工作专项经费的投入和禁毒宣传工作的开展应注重后续影响，但从区禁毒办的绩效自评表来看，自评表缺少重要的“可持续影响”二级指标，且部分三级指标对应的二级指标存在偏差，目标值设置不够明确，定量目标较少，绩效目标申报工作有待完善。</w:t>
      </w:r>
    </w:p>
    <w:p>
      <w:pPr>
        <w:pStyle w:val="4"/>
        <w:spacing w:line="360" w:lineRule="auto"/>
        <w:ind w:firstLine="480" w:firstLineChars="200"/>
        <w:rPr>
          <w:rFonts w:hAnsi="宋体" w:cs="宋体"/>
          <w:sz w:val="24"/>
          <w:szCs w:val="24"/>
        </w:rPr>
      </w:pPr>
      <w:r>
        <w:rPr>
          <w:rFonts w:hint="eastAsia" w:hAnsi="宋体" w:cs="宋体"/>
          <w:sz w:val="24"/>
          <w:szCs w:val="24"/>
        </w:rPr>
        <w:t>如自评表中的社会效益指标，“创建10所林则徐禁毒宣教室”、“建设丰泽区林则徐禁毒教育基地”和“开展各型禁毒宣传活动”实际上都属于产出数量指标，而对应的设定为目标值的“提高对青少年毒品预防教育”、“提高群众对毒品的认知和毒品的危害”和“提高群众对毒品的认知”则是体现社会效益和可持续影响，但应通过调查问卷等获得相应的目标值。</w:t>
      </w:r>
    </w:p>
    <w:p>
      <w:pPr>
        <w:spacing w:line="360" w:lineRule="auto"/>
        <w:ind w:firstLine="482" w:firstLineChars="200"/>
        <w:rPr>
          <w:rFonts w:hint="eastAsia" w:ascii="宋体" w:hAnsi="宋体" w:eastAsia="宋体" w:cs="宋体"/>
          <w:b/>
          <w:bCs/>
          <w:color w:val="000000"/>
          <w:sz w:val="24"/>
          <w:szCs w:val="22"/>
          <w:lang w:eastAsia="zh-CN"/>
        </w:rPr>
      </w:pPr>
      <w:bookmarkStart w:id="18" w:name="_Toc10982"/>
      <w:r>
        <w:rPr>
          <w:rFonts w:hint="eastAsia" w:ascii="宋体" w:hAnsi="宋体" w:eastAsia="宋体" w:cs="宋体"/>
          <w:b/>
          <w:bCs/>
          <w:color w:val="000000"/>
          <w:sz w:val="24"/>
          <w:szCs w:val="22"/>
        </w:rPr>
        <w:t>2.</w:t>
      </w:r>
      <w:bookmarkEnd w:id="18"/>
      <w:r>
        <w:rPr>
          <w:rFonts w:hint="eastAsia" w:ascii="宋体" w:hAnsi="宋体" w:eastAsia="宋体" w:cs="宋体"/>
          <w:b/>
          <w:bCs/>
          <w:color w:val="000000"/>
          <w:sz w:val="24"/>
          <w:szCs w:val="22"/>
        </w:rPr>
        <w:t>禁毒</w:t>
      </w:r>
      <w:r>
        <w:rPr>
          <w:rFonts w:hint="eastAsia" w:ascii="宋体" w:hAnsi="宋体" w:eastAsia="宋体" w:cs="宋体"/>
          <w:b/>
          <w:bCs/>
          <w:color w:val="000000"/>
          <w:sz w:val="24"/>
          <w:szCs w:val="22"/>
          <w:lang w:val="en-US" w:eastAsia="zh-CN"/>
        </w:rPr>
        <w:t>办案</w:t>
      </w:r>
      <w:r>
        <w:rPr>
          <w:rFonts w:hint="eastAsia" w:ascii="宋体" w:hAnsi="宋体" w:eastAsia="宋体" w:cs="宋体"/>
          <w:b/>
          <w:bCs/>
          <w:color w:val="000000"/>
          <w:sz w:val="24"/>
          <w:szCs w:val="22"/>
        </w:rPr>
        <w:t>经费预算</w:t>
      </w:r>
      <w:r>
        <w:rPr>
          <w:rFonts w:hint="eastAsia" w:ascii="宋体" w:hAnsi="宋体" w:eastAsia="宋体" w:cs="宋体"/>
          <w:b/>
          <w:bCs/>
          <w:color w:val="000000"/>
          <w:sz w:val="24"/>
          <w:szCs w:val="22"/>
          <w:lang w:val="en-US" w:eastAsia="zh-CN"/>
        </w:rPr>
        <w:t>不足</w:t>
      </w:r>
    </w:p>
    <w:p>
      <w:pPr>
        <w:pStyle w:val="4"/>
        <w:spacing w:line="360" w:lineRule="auto"/>
        <w:ind w:firstLine="480" w:firstLineChars="200"/>
        <w:rPr>
          <w:rFonts w:hAnsi="宋体" w:cs="宋体"/>
          <w:sz w:val="24"/>
          <w:szCs w:val="24"/>
        </w:rPr>
      </w:pPr>
      <w:r>
        <w:rPr>
          <w:rFonts w:hint="eastAsia" w:hAnsi="宋体" w:cs="宋体"/>
          <w:sz w:val="24"/>
        </w:rPr>
        <w:t>根据《丰泽区区委常委第102次会议纪要》（中共泉州市丰泽区第五届委员会会议纪要〔2019〕4号），2019年禁毒工作专项经费具体用于保障</w:t>
      </w:r>
      <w:r>
        <w:rPr>
          <w:rFonts w:hint="eastAsia" w:hAnsi="宋体" w:cs="宋体"/>
          <w:sz w:val="24"/>
          <w:lang w:eastAsia="zh-CN"/>
        </w:rPr>
        <w:t>禁毒办案</w:t>
      </w:r>
      <w:r>
        <w:rPr>
          <w:rFonts w:hint="eastAsia" w:hAnsi="宋体" w:cs="宋体"/>
          <w:sz w:val="24"/>
        </w:rPr>
        <w:t>、基础设施建设、完善装备设备、落实宣传教育、强化打击防控等方面，而目前该项经费主要用于宣传教育和基础设施建设，保障</w:t>
      </w:r>
      <w:r>
        <w:rPr>
          <w:rFonts w:hint="eastAsia" w:hAnsi="宋体" w:cs="宋体"/>
          <w:sz w:val="24"/>
          <w:lang w:eastAsia="zh-CN"/>
        </w:rPr>
        <w:t>禁毒办案</w:t>
      </w:r>
      <w:r>
        <w:rPr>
          <w:rFonts w:hint="eastAsia" w:hAnsi="宋体" w:cs="宋体"/>
          <w:sz w:val="24"/>
        </w:rPr>
        <w:t>的投入不足。</w:t>
      </w:r>
      <w:r>
        <w:rPr>
          <w:rFonts w:hint="eastAsia" w:hAnsi="宋体" w:cs="宋体"/>
          <w:sz w:val="24"/>
          <w:szCs w:val="24"/>
        </w:rPr>
        <w:t>截止到2020年3月11日，</w:t>
      </w:r>
      <w:r>
        <w:rPr>
          <w:rFonts w:hint="eastAsia" w:hAnsi="宋体" w:cs="宋体"/>
          <w:sz w:val="24"/>
          <w:szCs w:val="24"/>
          <w:lang w:val="en-US" w:eastAsia="zh-CN"/>
        </w:rPr>
        <w:t>禁毒工作专项经费用于宣传基地建设补助和宣传工作的支出共计394.06万元，占总预算的78.81%，而禁毒办案工作经费占比仅为14.14%</w:t>
      </w:r>
      <w:r>
        <w:rPr>
          <w:rFonts w:hint="eastAsia" w:hAnsi="宋体" w:cs="宋体"/>
          <w:sz w:val="24"/>
          <w:szCs w:val="24"/>
        </w:rPr>
        <w:t>。2019年</w:t>
      </w:r>
      <w:r>
        <w:rPr>
          <w:rFonts w:hint="eastAsia" w:hAnsi="宋体" w:cs="宋体"/>
          <w:sz w:val="24"/>
          <w:szCs w:val="24"/>
          <w:lang w:eastAsia="zh-CN"/>
        </w:rPr>
        <w:t>，</w:t>
      </w:r>
      <w:r>
        <w:rPr>
          <w:rFonts w:hint="eastAsia" w:hAnsi="宋体" w:cs="宋体"/>
          <w:sz w:val="24"/>
          <w:szCs w:val="24"/>
        </w:rPr>
        <w:t>区公安分局</w:t>
      </w:r>
      <w:r>
        <w:rPr>
          <w:rFonts w:hint="eastAsia" w:hAnsi="宋体" w:cs="宋体"/>
          <w:sz w:val="24"/>
          <w:szCs w:val="24"/>
          <w:lang w:val="en-US" w:eastAsia="zh-CN"/>
        </w:rPr>
        <w:t>已</w:t>
      </w:r>
      <w:r>
        <w:rPr>
          <w:rFonts w:hint="eastAsia" w:hAnsi="宋体" w:cs="宋体"/>
          <w:sz w:val="24"/>
          <w:szCs w:val="24"/>
        </w:rPr>
        <w:t>垫付</w:t>
      </w:r>
      <w:r>
        <w:rPr>
          <w:rFonts w:hint="eastAsia" w:hAnsi="宋体" w:cs="宋体"/>
          <w:sz w:val="24"/>
          <w:szCs w:val="24"/>
          <w:lang w:val="en-US" w:eastAsia="zh-CN"/>
        </w:rPr>
        <w:t>相关禁毒工作经费156.22万元，包括禁毒大队</w:t>
      </w:r>
      <w:r>
        <w:rPr>
          <w:rFonts w:hint="eastAsia" w:hAnsi="宋体" w:cs="宋体"/>
          <w:sz w:val="24"/>
          <w:szCs w:val="24"/>
        </w:rPr>
        <w:t>社工费用2.22万元</w:t>
      </w:r>
      <w:r>
        <w:rPr>
          <w:rFonts w:hint="eastAsia" w:hAnsi="宋体" w:cs="宋体"/>
          <w:sz w:val="24"/>
          <w:szCs w:val="24"/>
          <w:lang w:eastAsia="zh-CN"/>
        </w:rPr>
        <w:t>、</w:t>
      </w:r>
      <w:r>
        <w:rPr>
          <w:rFonts w:hint="eastAsia" w:hAnsi="宋体" w:cs="宋体"/>
          <w:sz w:val="24"/>
          <w:szCs w:val="24"/>
        </w:rPr>
        <w:t>各派出所禁毒攻坚专项行动工作办案经费124万元</w:t>
      </w:r>
      <w:r>
        <w:rPr>
          <w:rFonts w:hint="eastAsia" w:hAnsi="宋体" w:cs="宋体"/>
          <w:sz w:val="24"/>
          <w:szCs w:val="24"/>
          <w:lang w:val="en-US" w:eastAsia="zh-CN"/>
        </w:rPr>
        <w:t>及</w:t>
      </w:r>
      <w:r>
        <w:rPr>
          <w:rFonts w:hint="eastAsia" w:hAnsi="宋体" w:cs="宋体"/>
          <w:sz w:val="24"/>
          <w:szCs w:val="24"/>
        </w:rPr>
        <w:t>奖励经费30万元</w:t>
      </w:r>
      <w:r>
        <w:rPr>
          <w:rFonts w:hint="eastAsia" w:hAnsi="宋体" w:cs="宋体"/>
          <w:sz w:val="24"/>
          <w:szCs w:val="24"/>
          <w:lang w:eastAsia="zh-CN"/>
        </w:rPr>
        <w:t>，</w:t>
      </w:r>
      <w:r>
        <w:rPr>
          <w:rFonts w:hint="eastAsia" w:hAnsi="宋体" w:cs="宋体"/>
          <w:sz w:val="24"/>
          <w:szCs w:val="24"/>
          <w:lang w:val="en-US" w:eastAsia="zh-CN"/>
        </w:rPr>
        <w:t>应属于禁毒工作专项经费预算支出范畴</w:t>
      </w:r>
      <w:r>
        <w:rPr>
          <w:rFonts w:hint="eastAsia" w:hAnsi="宋体" w:cs="宋体"/>
          <w:sz w:val="24"/>
          <w:szCs w:val="24"/>
        </w:rPr>
        <w:t>。</w:t>
      </w:r>
    </w:p>
    <w:p>
      <w:pPr>
        <w:spacing w:line="360" w:lineRule="auto"/>
        <w:ind w:firstLine="482" w:firstLineChars="200"/>
        <w:rPr>
          <w:rFonts w:ascii="宋体" w:hAnsi="宋体" w:eastAsia="宋体" w:cs="宋体"/>
          <w:b/>
          <w:bCs/>
          <w:color w:val="000000"/>
          <w:sz w:val="24"/>
          <w:szCs w:val="22"/>
        </w:rPr>
      </w:pPr>
      <w:r>
        <w:rPr>
          <w:rFonts w:hint="eastAsia" w:ascii="宋体" w:hAnsi="宋体" w:eastAsia="宋体" w:cs="宋体"/>
          <w:b/>
          <w:bCs/>
          <w:color w:val="000000"/>
          <w:sz w:val="24"/>
          <w:szCs w:val="22"/>
        </w:rPr>
        <w:t>3.在册吸毒人员复吸率</w:t>
      </w:r>
      <w:r>
        <w:rPr>
          <w:rFonts w:hint="eastAsia" w:ascii="宋体" w:hAnsi="宋体" w:eastAsia="宋体" w:cs="宋体"/>
          <w:b/>
          <w:bCs/>
          <w:color w:val="000000"/>
          <w:sz w:val="24"/>
          <w:szCs w:val="22"/>
          <w:lang w:val="en-US" w:eastAsia="zh-CN"/>
        </w:rPr>
        <w:t>仍</w:t>
      </w:r>
      <w:r>
        <w:rPr>
          <w:rFonts w:hint="eastAsia" w:ascii="宋体" w:hAnsi="宋体" w:eastAsia="宋体" w:cs="宋体"/>
          <w:b/>
          <w:bCs/>
          <w:color w:val="000000"/>
          <w:sz w:val="24"/>
          <w:szCs w:val="22"/>
        </w:rPr>
        <w:t>过高</w:t>
      </w:r>
    </w:p>
    <w:p>
      <w:pPr>
        <w:pStyle w:val="4"/>
        <w:spacing w:line="360" w:lineRule="auto"/>
        <w:ind w:firstLine="480" w:firstLineChars="200"/>
        <w:rPr>
          <w:rFonts w:hint="eastAsia" w:hAnsi="宋体" w:cs="宋体"/>
          <w:sz w:val="24"/>
          <w:szCs w:val="24"/>
        </w:rPr>
      </w:pPr>
      <w:r>
        <w:rPr>
          <w:rFonts w:hint="eastAsia" w:hAnsi="宋体" w:cs="宋体"/>
          <w:sz w:val="24"/>
          <w:szCs w:val="24"/>
        </w:rPr>
        <w:t>从产出质量看，目前在册吸毒人员复吸率高达6</w:t>
      </w:r>
      <w:r>
        <w:rPr>
          <w:rFonts w:hint="eastAsia" w:hAnsi="宋体" w:cs="宋体"/>
          <w:sz w:val="24"/>
          <w:szCs w:val="24"/>
          <w:lang w:val="en-US" w:eastAsia="zh-CN"/>
        </w:rPr>
        <w:t>0</w:t>
      </w:r>
      <w:r>
        <w:rPr>
          <w:rFonts w:hint="eastAsia" w:hAnsi="宋体" w:cs="宋体"/>
          <w:sz w:val="24"/>
          <w:szCs w:val="24"/>
        </w:rPr>
        <w:t>.4%，广泛开展宣传活动对于在册吸毒人员的教育作用较小，</w:t>
      </w:r>
      <w:r>
        <w:rPr>
          <w:rFonts w:hint="eastAsia" w:hAnsi="宋体" w:cs="宋体"/>
          <w:sz w:val="24"/>
          <w:szCs w:val="24"/>
          <w:lang w:val="en-US" w:eastAsia="zh-CN"/>
        </w:rPr>
        <w:t>一是</w:t>
      </w:r>
      <w:r>
        <w:rPr>
          <w:rFonts w:hint="eastAsia" w:hAnsi="宋体" w:cs="宋体"/>
          <w:sz w:val="24"/>
          <w:szCs w:val="24"/>
        </w:rPr>
        <w:t>吸毒一旦成瘾</w:t>
      </w:r>
      <w:r>
        <w:rPr>
          <w:rFonts w:hint="eastAsia" w:hAnsi="宋体" w:cs="宋体"/>
          <w:sz w:val="24"/>
          <w:szCs w:val="24"/>
          <w:lang w:val="en-US" w:eastAsia="zh-CN"/>
        </w:rPr>
        <w:t>产生对毒品的心理依赖性</w:t>
      </w:r>
      <w:r>
        <w:rPr>
          <w:rFonts w:hint="eastAsia" w:hAnsi="宋体" w:cs="宋体"/>
          <w:sz w:val="24"/>
          <w:szCs w:val="24"/>
        </w:rPr>
        <w:t>就难以戒除，</w:t>
      </w:r>
      <w:r>
        <w:rPr>
          <w:rFonts w:hint="eastAsia" w:hAnsi="宋体" w:cs="宋体"/>
          <w:sz w:val="24"/>
          <w:szCs w:val="24"/>
          <w:lang w:val="en-US" w:eastAsia="zh-CN"/>
        </w:rPr>
        <w:t>二是吸毒人员戒毒出所后难以融入正常人群，往往与涉毒的高危人群交往，所交往的这些人员容易接触毒品，</w:t>
      </w:r>
      <w:r>
        <w:rPr>
          <w:rFonts w:hint="eastAsia" w:hAnsi="宋体" w:cs="宋体"/>
          <w:sz w:val="24"/>
          <w:szCs w:val="24"/>
        </w:rPr>
        <w:t>所以复吸率较高</w:t>
      </w:r>
      <w:r>
        <w:rPr>
          <w:rFonts w:hint="eastAsia" w:hAnsi="宋体" w:cs="宋体"/>
          <w:sz w:val="24"/>
          <w:szCs w:val="24"/>
          <w:lang w:eastAsia="zh-CN"/>
        </w:rPr>
        <w:t>。</w:t>
      </w:r>
      <w:r>
        <w:rPr>
          <w:rFonts w:hint="eastAsia" w:hAnsi="宋体" w:cs="宋体"/>
          <w:sz w:val="24"/>
          <w:szCs w:val="24"/>
        </w:rPr>
        <w:t>2019年禁毒工作专项经费的投入未能体现对已成瘾的在册吸毒人员的良好</w:t>
      </w:r>
      <w:r>
        <w:rPr>
          <w:rFonts w:hint="eastAsia" w:hAnsi="宋体" w:cs="宋体"/>
          <w:sz w:val="24"/>
          <w:szCs w:val="24"/>
          <w:lang w:val="en-US" w:eastAsia="zh-CN"/>
        </w:rPr>
        <w:t>教育</w:t>
      </w:r>
      <w:r>
        <w:rPr>
          <w:rFonts w:hint="eastAsia" w:hAnsi="宋体" w:cs="宋体"/>
          <w:sz w:val="24"/>
          <w:szCs w:val="24"/>
        </w:rPr>
        <w:t>效果。</w:t>
      </w:r>
    </w:p>
    <w:p>
      <w:pPr>
        <w:spacing w:line="360" w:lineRule="auto"/>
        <w:ind w:firstLine="482" w:firstLineChars="200"/>
        <w:rPr>
          <w:rFonts w:hint="eastAsia" w:ascii="宋体" w:hAnsi="宋体" w:eastAsia="宋体" w:cs="宋体"/>
          <w:b/>
          <w:bCs/>
          <w:color w:val="000000"/>
          <w:sz w:val="24"/>
          <w:szCs w:val="22"/>
        </w:rPr>
      </w:pPr>
      <w:r>
        <w:rPr>
          <w:rFonts w:hint="eastAsia" w:ascii="宋体" w:hAnsi="宋体" w:eastAsia="宋体" w:cs="宋体"/>
          <w:b/>
          <w:bCs/>
          <w:color w:val="000000"/>
          <w:sz w:val="24"/>
          <w:szCs w:val="22"/>
        </w:rPr>
        <w:t>4.社工队伍建设</w:t>
      </w:r>
      <w:r>
        <w:rPr>
          <w:rFonts w:hint="eastAsia" w:ascii="宋体" w:hAnsi="宋体" w:eastAsia="宋体" w:cs="宋体"/>
          <w:b/>
          <w:bCs/>
          <w:color w:val="000000"/>
          <w:sz w:val="24"/>
          <w:szCs w:val="22"/>
          <w:lang w:val="en-US" w:eastAsia="zh-CN"/>
        </w:rPr>
        <w:t>投入</w:t>
      </w:r>
      <w:r>
        <w:rPr>
          <w:rFonts w:hint="eastAsia" w:ascii="宋体" w:hAnsi="宋体" w:eastAsia="宋体" w:cs="宋体"/>
          <w:b/>
          <w:bCs/>
          <w:color w:val="000000"/>
          <w:sz w:val="24"/>
          <w:szCs w:val="22"/>
        </w:rPr>
        <w:t>不足</w:t>
      </w:r>
    </w:p>
    <w:p>
      <w:pPr>
        <w:pStyle w:val="4"/>
        <w:spacing w:line="360" w:lineRule="auto"/>
        <w:ind w:firstLine="480" w:firstLineChars="200"/>
        <w:rPr>
          <w:rFonts w:hint="default" w:hAnsi="宋体" w:cs="宋体" w:eastAsiaTheme="minorEastAsia"/>
          <w:sz w:val="24"/>
          <w:szCs w:val="24"/>
          <w:lang w:val="en-US" w:eastAsia="zh-CN"/>
        </w:rPr>
      </w:pPr>
      <w:r>
        <w:rPr>
          <w:rFonts w:hint="eastAsia" w:hAnsi="宋体" w:cs="宋体"/>
          <w:sz w:val="24"/>
          <w:szCs w:val="24"/>
          <w:lang w:val="en-US" w:eastAsia="zh-CN"/>
        </w:rPr>
        <w:t>虽然目前社工队伍已达到</w:t>
      </w:r>
      <w:r>
        <w:rPr>
          <w:rFonts w:hint="eastAsia" w:ascii="宋体" w:hAnsi="宋体" w:eastAsia="宋体" w:cs="宋体"/>
          <w:bCs/>
          <w:sz w:val="24"/>
          <w:szCs w:val="24"/>
          <w:u w:val="none"/>
          <w:lang w:val="en-US" w:eastAsia="zh-CN"/>
        </w:rPr>
        <w:t>《丰泽区机关、事业单位工作人员调配领导小组二〇一九年第四次会议纪要》（〔2019〕4号）文件</w:t>
      </w:r>
      <w:r>
        <w:rPr>
          <w:rFonts w:hint="eastAsia" w:hAnsi="宋体" w:eastAsia="宋体" w:cs="宋体"/>
          <w:bCs/>
          <w:sz w:val="24"/>
          <w:szCs w:val="24"/>
          <w:u w:val="none"/>
          <w:lang w:val="en-US" w:eastAsia="zh-CN"/>
        </w:rPr>
        <w:t>要求的13人，但</w:t>
      </w:r>
      <w:r>
        <w:rPr>
          <w:rFonts w:hint="eastAsia" w:hAnsi="宋体" w:cs="宋体"/>
          <w:sz w:val="24"/>
          <w:szCs w:val="24"/>
        </w:rPr>
        <w:t>按照《丰泽区2019年禁毒重点整治攻坚行动实施方案》的要求，禁毒社工队伍应达到15人</w:t>
      </w:r>
      <w:r>
        <w:rPr>
          <w:rFonts w:hint="eastAsia" w:hAnsi="宋体" w:cs="宋体"/>
          <w:sz w:val="24"/>
          <w:szCs w:val="24"/>
          <w:lang w:eastAsia="zh-CN"/>
        </w:rPr>
        <w:t>，</w:t>
      </w:r>
      <w:r>
        <w:rPr>
          <w:rFonts w:hint="eastAsia" w:hAnsi="宋体" w:eastAsia="宋体" w:cs="宋体"/>
          <w:bCs/>
          <w:sz w:val="24"/>
          <w:szCs w:val="24"/>
          <w:u w:val="none"/>
          <w:lang w:val="en-US" w:eastAsia="zh-CN"/>
        </w:rPr>
        <w:t>说明</w:t>
      </w:r>
      <w:r>
        <w:rPr>
          <w:rFonts w:hint="eastAsia" w:hAnsi="宋体" w:cs="宋体"/>
          <w:sz w:val="24"/>
          <w:szCs w:val="24"/>
        </w:rPr>
        <w:t>社工队伍建设仍</w:t>
      </w:r>
      <w:r>
        <w:rPr>
          <w:rFonts w:hint="eastAsia" w:hAnsi="宋体" w:cs="宋体"/>
          <w:sz w:val="24"/>
          <w:szCs w:val="24"/>
          <w:lang w:val="en-US" w:eastAsia="zh-CN"/>
        </w:rPr>
        <w:t>应加大投入</w:t>
      </w:r>
      <w:r>
        <w:rPr>
          <w:rFonts w:hint="eastAsia" w:hAnsi="宋体" w:cs="宋体"/>
          <w:sz w:val="24"/>
          <w:szCs w:val="24"/>
        </w:rPr>
        <w:t>。</w:t>
      </w:r>
      <w:r>
        <w:rPr>
          <w:rFonts w:hint="eastAsia" w:hAnsi="宋体" w:cs="宋体"/>
          <w:sz w:val="24"/>
          <w:szCs w:val="24"/>
          <w:lang w:val="en-US" w:eastAsia="zh-CN"/>
        </w:rPr>
        <w:t>目前禁毒社工人员补助每月仅1800元，补助水平偏低，而其岗位的专业性要求较高，并且需要与吸毒人员打交道，具有一定的危险性。</w:t>
      </w:r>
    </w:p>
    <w:p>
      <w:pPr>
        <w:pStyle w:val="8"/>
        <w:spacing w:beforeLines="100" w:afterLines="100"/>
        <w:outlineLvl w:val="0"/>
        <w:rPr>
          <w:rFonts w:ascii="黑体" w:hAnsi="黑体" w:eastAsia="黑体" w:cs="黑体"/>
          <w:b w:val="0"/>
          <w:bCs/>
        </w:rPr>
      </w:pPr>
      <w:bookmarkStart w:id="19" w:name="_Toc22149"/>
      <w:r>
        <w:rPr>
          <w:rFonts w:hint="eastAsia" w:ascii="黑体" w:hAnsi="黑体" w:eastAsia="黑体" w:cs="黑体"/>
          <w:b w:val="0"/>
          <w:bCs/>
        </w:rPr>
        <w:t>六、有关建议</w:t>
      </w:r>
      <w:bookmarkEnd w:id="19"/>
    </w:p>
    <w:p>
      <w:pPr>
        <w:pStyle w:val="10"/>
        <w:ind w:firstLine="562"/>
        <w:outlineLvl w:val="1"/>
        <w:rPr>
          <w:color w:val="000000" w:themeColor="text1"/>
        </w:rPr>
      </w:pPr>
      <w:bookmarkStart w:id="20" w:name="_Toc12864"/>
      <w:bookmarkStart w:id="21" w:name="_Toc13570"/>
      <w:r>
        <w:rPr>
          <w:rFonts w:hint="eastAsia"/>
          <w:color w:val="000000" w:themeColor="text1"/>
        </w:rPr>
        <w:t>（一）完善项目支出绩效目标申报工作</w:t>
      </w:r>
      <w:bookmarkEnd w:id="20"/>
      <w:bookmarkEnd w:id="21"/>
    </w:p>
    <w:p>
      <w:pPr>
        <w:spacing w:line="360" w:lineRule="auto"/>
        <w:ind w:firstLine="480" w:firstLineChars="20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工作组建议区禁毒办在年度绩效目标申报工作中，应根据《</w:t>
      </w:r>
      <w:r>
        <w:rPr>
          <w:rFonts w:hint="eastAsia" w:ascii="宋体" w:hAnsi="宋体" w:cs="宋体"/>
          <w:sz w:val="24"/>
        </w:rPr>
        <w:t>丰泽区2019年禁毒重点整治攻坚行动实施方案</w:t>
      </w:r>
      <w:r>
        <w:rPr>
          <w:rFonts w:hint="eastAsia" w:asciiTheme="minorEastAsia" w:hAnsiTheme="minorEastAsia" w:cstheme="minorEastAsia"/>
          <w:color w:val="000000" w:themeColor="text1"/>
          <w:sz w:val="24"/>
        </w:rPr>
        <w:t>》，对标设置禁毒工作专项经费绩效指标，科学界定和测算绩效目标值，进一步细化、量化产出和效益指标。</w:t>
      </w:r>
      <w:r>
        <w:rPr>
          <w:rFonts w:hint="eastAsia" w:asciiTheme="minorEastAsia" w:hAnsiTheme="minorEastAsia" w:cstheme="minorEastAsia"/>
          <w:color w:val="000000" w:themeColor="text1"/>
          <w:sz w:val="24"/>
          <w:lang w:val="en-US" w:eastAsia="zh-CN"/>
        </w:rPr>
        <w:t>上述</w:t>
      </w:r>
      <w:r>
        <w:rPr>
          <w:rFonts w:hint="eastAsia" w:ascii="宋体" w:hAnsi="宋体" w:cs="宋体"/>
          <w:sz w:val="24"/>
        </w:rPr>
        <w:t>行动实施方案</w:t>
      </w:r>
      <w:r>
        <w:rPr>
          <w:rFonts w:hint="eastAsia" w:ascii="宋体" w:hAnsi="宋体" w:cs="宋体"/>
          <w:sz w:val="24"/>
          <w:lang w:val="en-US" w:eastAsia="zh-CN"/>
        </w:rPr>
        <w:t>中，已明确的量化目标均应作为禁毒工作专项经费的绩效目标，</w:t>
      </w:r>
      <w:r>
        <w:rPr>
          <w:rFonts w:hint="eastAsia" w:asciiTheme="minorEastAsia" w:hAnsiTheme="minorEastAsia" w:cstheme="minorEastAsia"/>
          <w:color w:val="000000" w:themeColor="text1"/>
          <w:sz w:val="24"/>
        </w:rPr>
        <w:t>可将行动实施方案的具体要求转化为量化目标，以此作为目标值，如</w:t>
      </w:r>
      <w:r>
        <w:rPr>
          <w:rFonts w:hint="eastAsia" w:asciiTheme="minorEastAsia" w:hAnsiTheme="minorEastAsia" w:cstheme="minorEastAsia"/>
          <w:color w:val="000000" w:themeColor="text1"/>
          <w:sz w:val="24"/>
          <w:lang w:eastAsia="zh-CN"/>
        </w:rPr>
        <w:t>“</w:t>
      </w:r>
      <w:r>
        <w:rPr>
          <w:rFonts w:hint="eastAsia" w:asciiTheme="minorEastAsia" w:hAnsiTheme="minorEastAsia" w:cstheme="minorEastAsia"/>
          <w:color w:val="000000" w:themeColor="text1"/>
          <w:sz w:val="24"/>
          <w:lang w:val="en-US" w:eastAsia="zh-CN"/>
        </w:rPr>
        <w:t>夯实基础保障</w:t>
      </w:r>
      <w:r>
        <w:rPr>
          <w:rFonts w:hint="eastAsia" w:asciiTheme="minorEastAsia" w:hAnsiTheme="minorEastAsia" w:cstheme="minorEastAsia"/>
          <w:color w:val="000000" w:themeColor="text1"/>
          <w:sz w:val="24"/>
          <w:lang w:eastAsia="zh-CN"/>
        </w:rPr>
        <w:t>”</w:t>
      </w:r>
      <w:r>
        <w:rPr>
          <w:rFonts w:hint="eastAsia" w:asciiTheme="minorEastAsia" w:hAnsiTheme="minorEastAsia" w:cstheme="minorEastAsia"/>
          <w:color w:val="000000" w:themeColor="text1"/>
          <w:sz w:val="24"/>
          <w:lang w:val="en-US" w:eastAsia="zh-CN"/>
        </w:rPr>
        <w:t>中“招聘……15名禁毒社工”，该数量可作为队伍建设的可持续影响指标，又如“深化禁吸戒毒工作”中“确保在册吸毒人员复吸率下降到10%以下”则可作为产出质量的三级指标目标值</w:t>
      </w:r>
      <w:r>
        <w:rPr>
          <w:rFonts w:hint="eastAsia" w:asciiTheme="minorEastAsia" w:hAnsiTheme="minorEastAsia" w:cstheme="minorEastAsia"/>
          <w:color w:val="000000" w:themeColor="text1"/>
          <w:sz w:val="24"/>
          <w:lang w:eastAsia="zh-CN"/>
        </w:rPr>
        <w:t>。</w:t>
      </w:r>
      <w:r>
        <w:rPr>
          <w:rFonts w:hint="eastAsia" w:asciiTheme="minorEastAsia" w:hAnsiTheme="minorEastAsia" w:cstheme="minorEastAsia"/>
          <w:color w:val="000000" w:themeColor="text1"/>
          <w:sz w:val="24"/>
          <w:lang w:val="en-US" w:eastAsia="zh-CN"/>
        </w:rPr>
        <w:t>综上，</w:t>
      </w:r>
      <w:r>
        <w:rPr>
          <w:rFonts w:hint="eastAsia" w:asciiTheme="minorEastAsia" w:hAnsiTheme="minorEastAsia" w:cstheme="minorEastAsia"/>
          <w:sz w:val="24"/>
          <w:lang w:val="en-US" w:eastAsia="zh-CN"/>
        </w:rPr>
        <w:t>产出和效益</w:t>
      </w:r>
      <w:r>
        <w:rPr>
          <w:rFonts w:hint="eastAsia" w:asciiTheme="minorEastAsia" w:hAnsiTheme="minorEastAsia" w:cstheme="minorEastAsia"/>
          <w:sz w:val="24"/>
        </w:rPr>
        <w:t>指标均可</w:t>
      </w:r>
      <w:r>
        <w:rPr>
          <w:rFonts w:hint="eastAsia" w:asciiTheme="minorEastAsia" w:hAnsiTheme="minorEastAsia" w:cstheme="minorEastAsia"/>
          <w:color w:val="000000" w:themeColor="text1"/>
          <w:sz w:val="24"/>
        </w:rPr>
        <w:t>通过事前细化任务</w:t>
      </w:r>
      <w:r>
        <w:rPr>
          <w:rFonts w:hint="eastAsia" w:asciiTheme="minorEastAsia" w:hAnsiTheme="minorEastAsia" w:cstheme="minorEastAsia"/>
          <w:color w:val="000000" w:themeColor="text1"/>
          <w:sz w:val="24"/>
          <w:lang w:eastAsia="zh-CN"/>
        </w:rPr>
        <w:t>，</w:t>
      </w:r>
      <w:r>
        <w:rPr>
          <w:rFonts w:hint="eastAsia" w:asciiTheme="minorEastAsia" w:hAnsiTheme="minorEastAsia" w:cstheme="minorEastAsia"/>
          <w:color w:val="000000" w:themeColor="text1"/>
          <w:sz w:val="24"/>
          <w:lang w:val="en-US" w:eastAsia="zh-CN"/>
        </w:rPr>
        <w:t>尽量采用可量化指标来</w:t>
      </w:r>
      <w:r>
        <w:rPr>
          <w:rFonts w:hint="eastAsia" w:asciiTheme="minorEastAsia" w:hAnsiTheme="minorEastAsia" w:cstheme="minorEastAsia"/>
          <w:color w:val="000000" w:themeColor="text1"/>
          <w:sz w:val="24"/>
        </w:rPr>
        <w:t>设定</w:t>
      </w:r>
      <w:r>
        <w:rPr>
          <w:rFonts w:hint="eastAsia" w:asciiTheme="minorEastAsia" w:hAnsiTheme="minorEastAsia" w:cstheme="minorEastAsia"/>
          <w:sz w:val="24"/>
        </w:rPr>
        <w:t>三级指标</w:t>
      </w: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根据任务要求确定目标值</w:t>
      </w:r>
      <w:r>
        <w:rPr>
          <w:rFonts w:hint="eastAsia" w:asciiTheme="minorEastAsia" w:hAnsiTheme="minorEastAsia" w:cstheme="minorEastAsia"/>
          <w:color w:val="000000" w:themeColor="text1"/>
          <w:sz w:val="24"/>
        </w:rPr>
        <w:t>，便于有效考核执行效果，保障绩效评价工作更好地开展。</w:t>
      </w:r>
    </w:p>
    <w:p>
      <w:pPr>
        <w:pStyle w:val="10"/>
        <w:ind w:left="420" w:leftChars="200" w:firstLine="0" w:firstLineChars="0"/>
        <w:outlineLvl w:val="1"/>
        <w:rPr>
          <w:rFonts w:hint="default" w:eastAsia="宋体"/>
          <w:color w:val="000000" w:themeColor="text1"/>
          <w:lang w:val="en-US" w:eastAsia="zh-CN"/>
        </w:rPr>
      </w:pPr>
      <w:bookmarkStart w:id="22" w:name="_Toc21851"/>
      <w:r>
        <w:rPr>
          <w:rFonts w:hint="eastAsia"/>
          <w:color w:val="000000" w:themeColor="text1"/>
        </w:rPr>
        <w:t>（二）</w:t>
      </w:r>
      <w:r>
        <w:rPr>
          <w:rFonts w:hint="eastAsia"/>
          <w:color w:val="000000" w:themeColor="text1"/>
          <w:lang w:val="en-US" w:eastAsia="zh-CN"/>
        </w:rPr>
        <w:t>建立长效的宣传工作机制</w:t>
      </w:r>
      <w:bookmarkEnd w:id="22"/>
    </w:p>
    <w:p>
      <w:pPr>
        <w:spacing w:line="360" w:lineRule="auto"/>
        <w:ind w:firstLine="480" w:firstLineChars="200"/>
        <w:rPr>
          <w:rFonts w:hint="default" w:asciiTheme="minorEastAsia" w:hAnsiTheme="minorEastAsia" w:eastAsiaTheme="minorEastAsia" w:cstheme="minorEastAsia"/>
          <w:sz w:val="24"/>
          <w:lang w:val="en-US" w:eastAsia="zh-CN"/>
        </w:rPr>
      </w:pPr>
      <w:r>
        <w:rPr>
          <w:rFonts w:hint="eastAsia" w:asciiTheme="minorEastAsia" w:hAnsiTheme="minorEastAsia" w:cstheme="minorEastAsia"/>
          <w:sz w:val="24"/>
        </w:rPr>
        <w:t>当前禁毒宣传</w:t>
      </w:r>
      <w:r>
        <w:rPr>
          <w:rFonts w:hint="eastAsia" w:asciiTheme="minorEastAsia" w:hAnsiTheme="minorEastAsia" w:cstheme="minorEastAsia"/>
          <w:sz w:val="24"/>
          <w:lang w:val="en-US" w:eastAsia="zh-CN"/>
        </w:rPr>
        <w:t>已</w:t>
      </w:r>
      <w:r>
        <w:rPr>
          <w:rFonts w:hint="eastAsia" w:asciiTheme="minorEastAsia" w:hAnsiTheme="minorEastAsia" w:cstheme="minorEastAsia"/>
          <w:sz w:val="24"/>
        </w:rPr>
        <w:t>卓有成效，</w:t>
      </w:r>
      <w:r>
        <w:rPr>
          <w:rFonts w:hint="eastAsia" w:asciiTheme="minorEastAsia" w:hAnsiTheme="minorEastAsia" w:cstheme="minorEastAsia"/>
          <w:sz w:val="24"/>
          <w:lang w:val="en-US" w:eastAsia="zh-CN"/>
        </w:rPr>
        <w:t>丰泽区林则徐禁毒宣传教育基地和泉州九中禁毒宣教馆均已投入使用，</w:t>
      </w:r>
      <w:r>
        <w:rPr>
          <w:rFonts w:hint="eastAsia" w:asciiTheme="minorEastAsia" w:hAnsiTheme="minorEastAsia" w:cstheme="minorEastAsia"/>
          <w:sz w:val="24"/>
        </w:rPr>
        <w:t>各街道社区</w:t>
      </w:r>
      <w:r>
        <w:rPr>
          <w:rFonts w:hint="eastAsia" w:asciiTheme="minorEastAsia" w:hAnsiTheme="minorEastAsia" w:cstheme="minorEastAsia"/>
          <w:sz w:val="24"/>
          <w:lang w:val="en-US" w:eastAsia="zh-CN"/>
        </w:rPr>
        <w:t>的禁毒社区康复管理工作站或禁毒品牌社区建设也</w:t>
      </w:r>
      <w:r>
        <w:rPr>
          <w:rFonts w:hint="eastAsia" w:asciiTheme="minorEastAsia" w:hAnsiTheme="minorEastAsia" w:cstheme="minorEastAsia"/>
          <w:sz w:val="24"/>
        </w:rPr>
        <w:t>已成型，从调查问卷的反馈情况看，群众对防毒禁毒也有一定的了解，对于宣传方式和宣传力度的满意度较高，</w:t>
      </w:r>
      <w:r>
        <w:rPr>
          <w:rFonts w:hint="eastAsia" w:asciiTheme="minorEastAsia" w:hAnsiTheme="minorEastAsia" w:cstheme="minorEastAsia"/>
          <w:sz w:val="24"/>
          <w:lang w:val="en-US" w:eastAsia="zh-CN"/>
        </w:rPr>
        <w:t>了解到毒品的危害性，</w:t>
      </w:r>
      <w:r>
        <w:rPr>
          <w:rFonts w:hint="eastAsia" w:asciiTheme="minorEastAsia" w:hAnsiTheme="minorEastAsia" w:cstheme="minorEastAsia"/>
          <w:sz w:val="24"/>
        </w:rPr>
        <w:t>已经形成良好的禁毒氛围。</w:t>
      </w:r>
      <w:r>
        <w:rPr>
          <w:rFonts w:hint="eastAsia" w:asciiTheme="minorEastAsia" w:hAnsiTheme="minorEastAsia" w:cstheme="minorEastAsia"/>
          <w:sz w:val="24"/>
          <w:lang w:val="en-US" w:eastAsia="zh-CN"/>
        </w:rPr>
        <w:t>为进一步巩固禁毒宣传效果，应建立长效的宣传工作机制，警钟长鸣，有效利用宣传教育基地和社区禁毒广场，定期开展禁毒宣传活动，未建设禁毒宣教室和禁毒宣教馆的学校应组织学生到宣教基地参观，充分利用基地内现代化的VR设备等使学生更直观地感受到毒品的危害性，使宣传基地建设资金的投入发挥长效作用。</w:t>
      </w:r>
    </w:p>
    <w:p>
      <w:pPr>
        <w:pStyle w:val="10"/>
        <w:ind w:left="420" w:leftChars="200" w:firstLine="0" w:firstLineChars="0"/>
        <w:outlineLvl w:val="1"/>
        <w:rPr>
          <w:color w:val="000000" w:themeColor="text1"/>
        </w:rPr>
      </w:pPr>
      <w:bookmarkStart w:id="23" w:name="_Toc31056"/>
      <w:r>
        <w:rPr>
          <w:rFonts w:hint="eastAsia"/>
          <w:color w:val="000000" w:themeColor="text1"/>
          <w:lang w:eastAsia="zh-CN"/>
        </w:rPr>
        <w:t>（</w:t>
      </w:r>
      <w:r>
        <w:rPr>
          <w:rFonts w:hint="eastAsia"/>
          <w:color w:val="000000" w:themeColor="text1"/>
          <w:lang w:val="en-US" w:eastAsia="zh-CN"/>
        </w:rPr>
        <w:t>三</w:t>
      </w:r>
      <w:r>
        <w:rPr>
          <w:rFonts w:hint="eastAsia"/>
          <w:color w:val="000000" w:themeColor="text1"/>
          <w:lang w:eastAsia="zh-CN"/>
        </w:rPr>
        <w:t>）</w:t>
      </w:r>
      <w:r>
        <w:rPr>
          <w:rFonts w:hint="eastAsia"/>
          <w:color w:val="000000" w:themeColor="text1"/>
        </w:rPr>
        <w:t>加大</w:t>
      </w:r>
      <w:r>
        <w:rPr>
          <w:rFonts w:hint="eastAsia"/>
          <w:color w:val="000000" w:themeColor="text1"/>
          <w:lang w:eastAsia="zh-CN"/>
        </w:rPr>
        <w:t>禁毒办案</w:t>
      </w:r>
      <w:r>
        <w:rPr>
          <w:rFonts w:hint="eastAsia"/>
          <w:color w:val="000000" w:themeColor="text1"/>
        </w:rPr>
        <w:t>的经费投入</w:t>
      </w:r>
      <w:bookmarkEnd w:id="23"/>
    </w:p>
    <w:p>
      <w:pPr>
        <w:spacing w:line="360" w:lineRule="auto"/>
        <w:ind w:firstLine="480" w:firstLineChars="200"/>
        <w:rPr>
          <w:rFonts w:hint="eastAsia" w:asciiTheme="minorEastAsia" w:hAnsiTheme="minorEastAsia" w:cstheme="minorEastAsia"/>
          <w:color w:val="000000" w:themeColor="text1"/>
          <w:sz w:val="24"/>
          <w:lang w:val="en-US" w:eastAsia="zh-CN"/>
        </w:rPr>
      </w:pPr>
      <w:r>
        <w:rPr>
          <w:rFonts w:hint="eastAsia" w:asciiTheme="minorEastAsia" w:hAnsiTheme="minorEastAsia" w:cstheme="minorEastAsia"/>
          <w:color w:val="000000" w:themeColor="text1"/>
          <w:sz w:val="24"/>
          <w:lang w:val="en-US" w:eastAsia="zh-CN"/>
        </w:rPr>
        <w:t>今后的禁毒工作专项经费投入应主要用于保障禁毒办案，保障禁毒大队的办案工作经费和举报奖励经费不少于总预算的50%。一方面加强警种协作，禁毒大队应与监所、治安、刑侦、网安等部门形成合力，各警种充分发挥各自优势和特点，资源共享，为打击毒品违法犯罪提供有力支撑；另一方面，要充分运用情报机制，以现代信息技术为支撑，提高侦查能力，努力实现毒品渗透大幅下降，查缉毒品能力不断提高，加大对于吸毒贩毒的打击力度，有效遏制毒品泛滥。</w:t>
      </w:r>
    </w:p>
    <w:p>
      <w:pPr>
        <w:spacing w:line="360" w:lineRule="auto"/>
        <w:ind w:firstLine="480" w:firstLineChars="20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lang w:val="en-US" w:eastAsia="zh-CN"/>
        </w:rPr>
        <w:t>同时，加大禁毒办案经费投入，也能有效控制</w:t>
      </w:r>
      <w:r>
        <w:rPr>
          <w:rFonts w:hint="eastAsia" w:asciiTheme="minorEastAsia" w:hAnsiTheme="minorEastAsia" w:cstheme="minorEastAsia"/>
          <w:color w:val="000000" w:themeColor="text1"/>
          <w:sz w:val="24"/>
        </w:rPr>
        <w:t>贩毒源头</w:t>
      </w:r>
      <w:r>
        <w:rPr>
          <w:rFonts w:hint="eastAsia" w:asciiTheme="minorEastAsia" w:hAnsiTheme="minorEastAsia" w:cstheme="minorEastAsia"/>
          <w:color w:val="000000" w:themeColor="text1"/>
          <w:sz w:val="24"/>
          <w:lang w:val="en-US" w:eastAsia="zh-CN"/>
        </w:rPr>
        <w:t>，减少毒品买卖，</w:t>
      </w:r>
      <w:r>
        <w:rPr>
          <w:rFonts w:hint="eastAsia" w:asciiTheme="minorEastAsia" w:hAnsiTheme="minorEastAsia" w:cstheme="minorEastAsia"/>
          <w:color w:val="000000" w:themeColor="text1"/>
          <w:sz w:val="24"/>
        </w:rPr>
        <w:t>阻断吸毒人员购买毒品的途径，</w:t>
      </w:r>
      <w:r>
        <w:rPr>
          <w:rFonts w:hint="eastAsia" w:asciiTheme="minorEastAsia" w:hAnsiTheme="minorEastAsia" w:cstheme="minorEastAsia"/>
          <w:color w:val="000000" w:themeColor="text1"/>
          <w:sz w:val="24"/>
          <w:lang w:val="en-US" w:eastAsia="zh-CN"/>
        </w:rPr>
        <w:t>降低吸毒人员聚集的可能性</w:t>
      </w:r>
      <w:r>
        <w:rPr>
          <w:rFonts w:hint="eastAsia" w:asciiTheme="minorEastAsia" w:hAnsiTheme="minorEastAsia" w:cstheme="minorEastAsia"/>
          <w:color w:val="000000" w:themeColor="text1"/>
          <w:sz w:val="24"/>
        </w:rPr>
        <w:t>，</w:t>
      </w:r>
      <w:r>
        <w:rPr>
          <w:rFonts w:hint="eastAsia" w:asciiTheme="minorEastAsia" w:hAnsiTheme="minorEastAsia" w:cstheme="minorEastAsia"/>
          <w:color w:val="000000" w:themeColor="text1"/>
          <w:sz w:val="24"/>
          <w:lang w:val="en-US" w:eastAsia="zh-CN"/>
        </w:rPr>
        <w:t>从而</w:t>
      </w:r>
      <w:r>
        <w:rPr>
          <w:rFonts w:hint="eastAsia" w:asciiTheme="minorEastAsia" w:hAnsiTheme="minorEastAsia" w:cstheme="minorEastAsia"/>
          <w:color w:val="000000" w:themeColor="text1"/>
          <w:sz w:val="24"/>
        </w:rPr>
        <w:t>也能</w:t>
      </w:r>
      <w:r>
        <w:rPr>
          <w:rFonts w:hint="eastAsia" w:asciiTheme="minorEastAsia" w:hAnsiTheme="minorEastAsia" w:cstheme="minorEastAsia"/>
          <w:color w:val="000000" w:themeColor="text1"/>
          <w:sz w:val="24"/>
          <w:lang w:val="en-US" w:eastAsia="zh-CN"/>
        </w:rPr>
        <w:t>降低</w:t>
      </w:r>
      <w:r>
        <w:rPr>
          <w:rFonts w:hint="eastAsia" w:asciiTheme="minorEastAsia" w:hAnsiTheme="minorEastAsia" w:cstheme="minorEastAsia"/>
          <w:color w:val="000000" w:themeColor="text1"/>
          <w:sz w:val="24"/>
        </w:rPr>
        <w:t>复吸率。</w:t>
      </w:r>
    </w:p>
    <w:p>
      <w:pPr>
        <w:pStyle w:val="10"/>
        <w:ind w:left="420" w:leftChars="200" w:firstLine="0" w:firstLineChars="0"/>
        <w:outlineLvl w:val="1"/>
        <w:rPr>
          <w:color w:val="000000" w:themeColor="text1"/>
        </w:rPr>
      </w:pPr>
      <w:bookmarkStart w:id="24" w:name="_Toc5396"/>
      <w:r>
        <w:rPr>
          <w:rFonts w:hint="eastAsia"/>
          <w:color w:val="000000" w:themeColor="text1"/>
        </w:rPr>
        <w:t>（</w:t>
      </w:r>
      <w:r>
        <w:rPr>
          <w:rFonts w:hint="eastAsia"/>
          <w:color w:val="000000" w:themeColor="text1"/>
          <w:lang w:val="en-US" w:eastAsia="zh-CN"/>
        </w:rPr>
        <w:t>四</w:t>
      </w:r>
      <w:r>
        <w:rPr>
          <w:rFonts w:hint="eastAsia"/>
          <w:color w:val="000000" w:themeColor="text1"/>
        </w:rPr>
        <w:t>）加大社工队伍建设投入</w:t>
      </w:r>
      <w:bookmarkEnd w:id="24"/>
    </w:p>
    <w:p>
      <w:pPr>
        <w:spacing w:line="360" w:lineRule="auto"/>
        <w:ind w:firstLine="480" w:firstLineChars="200"/>
        <w:rPr>
          <w:rFonts w:hint="default" w:asciiTheme="minorEastAsia" w:hAnsiTheme="minorEastAsia" w:cstheme="minorEastAsia"/>
          <w:color w:val="000000" w:themeColor="text1"/>
          <w:sz w:val="24"/>
          <w:lang w:val="en-US" w:eastAsia="zh-CN"/>
        </w:rPr>
      </w:pPr>
      <w:r>
        <w:rPr>
          <w:rFonts w:hint="eastAsia" w:asciiTheme="minorEastAsia" w:hAnsiTheme="minorEastAsia" w:cstheme="minorEastAsia"/>
          <w:color w:val="000000" w:themeColor="text1"/>
          <w:sz w:val="24"/>
          <w:lang w:val="en-US" w:eastAsia="zh-CN"/>
        </w:rPr>
        <w:t>建议在下一阶段增加对社工队伍建设的投入。第一，增加禁毒大队社工经费的投入，可适当提高禁毒社工补助。第二，戒毒是一项社会系统工程，需要全社会的参与和支持。可以广泛动员群众力量，建立志愿者禁毒帮教服务队伍，尤其是能进行心理辅导的专业人员，积极投入街道社区的社工行列，要帮助解决戒毒者的一些实际困难，了解戒毒者的生活</w:t>
      </w:r>
      <w:r>
        <w:rPr>
          <w:rFonts w:hint="default" w:asciiTheme="minorEastAsia" w:hAnsiTheme="minorEastAsia" w:cstheme="minorEastAsia"/>
          <w:color w:val="000000" w:themeColor="text1"/>
          <w:sz w:val="24"/>
          <w:lang w:val="en-US" w:eastAsia="zh-CN"/>
        </w:rPr>
        <w:t>、</w:t>
      </w:r>
      <w:r>
        <w:rPr>
          <w:rFonts w:hint="eastAsia" w:asciiTheme="minorEastAsia" w:hAnsiTheme="minorEastAsia" w:cstheme="minorEastAsia"/>
          <w:color w:val="000000" w:themeColor="text1"/>
          <w:sz w:val="24"/>
          <w:lang w:val="en-US" w:eastAsia="zh-CN"/>
        </w:rPr>
        <w:t>学习</w:t>
      </w:r>
      <w:r>
        <w:rPr>
          <w:rFonts w:hint="default" w:asciiTheme="minorEastAsia" w:hAnsiTheme="minorEastAsia" w:cstheme="minorEastAsia"/>
          <w:color w:val="000000" w:themeColor="text1"/>
          <w:sz w:val="24"/>
          <w:lang w:val="en-US" w:eastAsia="zh-CN"/>
        </w:rPr>
        <w:t>、</w:t>
      </w:r>
      <w:r>
        <w:rPr>
          <w:rFonts w:hint="eastAsia" w:asciiTheme="minorEastAsia" w:hAnsiTheme="minorEastAsia" w:cstheme="minorEastAsia"/>
          <w:color w:val="000000" w:themeColor="text1"/>
          <w:sz w:val="24"/>
          <w:lang w:val="en-US" w:eastAsia="zh-CN"/>
        </w:rPr>
        <w:t>工作等情况，减轻他们的心理负担。第三，有关研究表明两次或两次以上戒毒患者其心理障碍、病态思维严重，对其实施情绪疏导与心理治疗就十分必要，戒毒社区可定期邀请专业的心理辅导社工接受戒毒人员的咨询，对戒毒人员继续强化心理治疗、监督，使其能保持良好</w:t>
      </w:r>
      <w:r>
        <w:rPr>
          <w:rFonts w:hint="default" w:asciiTheme="minorEastAsia" w:hAnsiTheme="minorEastAsia" w:cstheme="minorEastAsia"/>
          <w:color w:val="000000" w:themeColor="text1"/>
          <w:sz w:val="24"/>
          <w:lang w:val="en-US" w:eastAsia="zh-CN"/>
        </w:rPr>
        <w:t>、</w:t>
      </w:r>
      <w:r>
        <w:rPr>
          <w:rFonts w:hint="eastAsia" w:asciiTheme="minorEastAsia" w:hAnsiTheme="minorEastAsia" w:cstheme="minorEastAsia"/>
          <w:color w:val="000000" w:themeColor="text1"/>
          <w:sz w:val="24"/>
          <w:lang w:val="en-US" w:eastAsia="zh-CN"/>
        </w:rPr>
        <w:t>健康的精神状态</w:t>
      </w:r>
      <w:r>
        <w:rPr>
          <w:rFonts w:hint="default" w:asciiTheme="minorEastAsia" w:hAnsiTheme="minorEastAsia" w:cstheme="minorEastAsia"/>
          <w:color w:val="000000" w:themeColor="text1"/>
          <w:sz w:val="24"/>
          <w:lang w:val="en-US" w:eastAsia="zh-CN"/>
        </w:rPr>
        <w:t>。</w:t>
      </w:r>
      <w:r>
        <w:rPr>
          <w:rFonts w:hint="eastAsia" w:asciiTheme="minorEastAsia" w:hAnsiTheme="minorEastAsia" w:cstheme="minorEastAsia"/>
          <w:color w:val="000000" w:themeColor="text1"/>
          <w:sz w:val="24"/>
          <w:lang w:val="en-US" w:eastAsia="zh-CN"/>
        </w:rPr>
        <w:t>第四，壮大群众监督队伍，积极举报吸贩毒罪行，开展创建无吸毒</w:t>
      </w:r>
      <w:r>
        <w:rPr>
          <w:rFonts w:hint="default" w:asciiTheme="minorEastAsia" w:hAnsiTheme="minorEastAsia" w:cstheme="minorEastAsia"/>
          <w:color w:val="000000" w:themeColor="text1"/>
          <w:sz w:val="24"/>
          <w:lang w:val="en-US" w:eastAsia="zh-CN"/>
        </w:rPr>
        <w:t>、</w:t>
      </w:r>
      <w:r>
        <w:rPr>
          <w:rFonts w:hint="eastAsia" w:asciiTheme="minorEastAsia" w:hAnsiTheme="minorEastAsia" w:cstheme="minorEastAsia"/>
          <w:color w:val="000000" w:themeColor="text1"/>
          <w:sz w:val="24"/>
          <w:lang w:val="en-US" w:eastAsia="zh-CN"/>
        </w:rPr>
        <w:t>无贩毒</w:t>
      </w:r>
      <w:r>
        <w:rPr>
          <w:rFonts w:hint="default" w:asciiTheme="minorEastAsia" w:hAnsiTheme="minorEastAsia" w:cstheme="minorEastAsia"/>
          <w:color w:val="000000" w:themeColor="text1"/>
          <w:sz w:val="24"/>
          <w:lang w:val="en-US" w:eastAsia="zh-CN"/>
        </w:rPr>
        <w:t>、</w:t>
      </w:r>
      <w:r>
        <w:rPr>
          <w:rFonts w:hint="eastAsia" w:asciiTheme="minorEastAsia" w:hAnsiTheme="minorEastAsia" w:cstheme="minorEastAsia"/>
          <w:color w:val="000000" w:themeColor="text1"/>
          <w:sz w:val="24"/>
          <w:lang w:val="en-US" w:eastAsia="zh-CN"/>
        </w:rPr>
        <w:t>无制毒的无毒社区活动，形成自觉抵制毒品的社会氛围</w:t>
      </w:r>
      <w:r>
        <w:rPr>
          <w:rFonts w:hint="default" w:asciiTheme="minorEastAsia" w:hAnsiTheme="minorEastAsia" w:cstheme="minorEastAsia"/>
          <w:color w:val="000000" w:themeColor="text1"/>
          <w:sz w:val="24"/>
          <w:lang w:val="en-US" w:eastAsia="zh-CN"/>
        </w:rPr>
        <w:t xml:space="preserve">。 </w:t>
      </w:r>
      <w:r>
        <w:rPr>
          <w:rFonts w:hint="eastAsia" w:asciiTheme="minorEastAsia" w:hAnsiTheme="minorEastAsia" w:cstheme="minorEastAsia"/>
          <w:color w:val="000000" w:themeColor="text1"/>
          <w:sz w:val="24"/>
          <w:lang w:val="en-US" w:eastAsia="zh-CN"/>
        </w:rPr>
        <w:t>优化和提升各社区禁毒宣教阵地的建设和社会效果，创造良好的禁毒环境，帮扶和实现禁毒宣传预防、吸毒人员管控、吸毒人员心理、家庭关系、社会关系的修复，对降低吸毒人员复吸率有重要作用。</w:t>
      </w:r>
    </w:p>
    <w:p>
      <w:pPr>
        <w:pStyle w:val="8"/>
        <w:spacing w:beforeLines="100" w:afterLines="100"/>
        <w:outlineLvl w:val="0"/>
        <w:rPr>
          <w:rFonts w:ascii="黑体" w:hAnsi="黑体" w:eastAsia="黑体" w:cs="黑体"/>
          <w:b w:val="0"/>
          <w:bCs/>
        </w:rPr>
      </w:pPr>
      <w:bookmarkStart w:id="25" w:name="_Toc23702"/>
      <w:r>
        <w:rPr>
          <w:rFonts w:hint="eastAsia" w:ascii="黑体" w:hAnsi="黑体" w:eastAsia="黑体" w:cs="黑体"/>
          <w:b w:val="0"/>
          <w:bCs/>
        </w:rPr>
        <w:t>七、其他需要说明的问题</w:t>
      </w:r>
      <w:bookmarkEnd w:id="25"/>
    </w:p>
    <w:p>
      <w:pPr>
        <w:spacing w:line="360" w:lineRule="auto"/>
        <w:ind w:firstLine="480" w:firstLineChars="200"/>
        <w:rPr>
          <w:rFonts w:hint="eastAsia" w:asciiTheme="minorEastAsia" w:hAnsiTheme="minorEastAsia" w:cstheme="minorEastAsia"/>
          <w:color w:val="000000" w:themeColor="text1"/>
          <w:sz w:val="24"/>
          <w:lang w:val="en-US" w:eastAsia="zh-CN"/>
        </w:rPr>
      </w:pPr>
      <w:r>
        <w:rPr>
          <w:rFonts w:hint="eastAsia" w:asciiTheme="minorEastAsia" w:hAnsiTheme="minorEastAsia" w:cstheme="minorEastAsia"/>
          <w:color w:val="000000" w:themeColor="text1"/>
          <w:sz w:val="24"/>
          <w:lang w:val="en-US" w:eastAsia="zh-CN"/>
        </w:rPr>
        <w:t>1.本绩效评价报告是在泉州市丰泽区禁毒委员会办公室提供资料的基础上形成的。</w:t>
      </w:r>
    </w:p>
    <w:p>
      <w:pPr>
        <w:spacing w:line="360" w:lineRule="auto"/>
        <w:ind w:firstLine="480" w:firstLineChars="200"/>
        <w:rPr>
          <w:rFonts w:hint="eastAsia" w:asciiTheme="minorEastAsia" w:hAnsiTheme="minorEastAsia" w:cstheme="minorEastAsia"/>
          <w:color w:val="000000" w:themeColor="text1"/>
          <w:sz w:val="24"/>
          <w:lang w:val="en-US" w:eastAsia="zh-CN"/>
        </w:rPr>
      </w:pPr>
      <w:r>
        <w:rPr>
          <w:rFonts w:hint="eastAsia" w:asciiTheme="minorEastAsia" w:hAnsiTheme="minorEastAsia" w:cstheme="minorEastAsia"/>
          <w:color w:val="000000" w:themeColor="text1"/>
          <w:sz w:val="24"/>
          <w:lang w:val="en-US" w:eastAsia="zh-CN"/>
        </w:rPr>
        <w:t>2.本绩效评价报告仅供泉州市丰泽区财政局开展“泉州市丰泽区2019年度禁毒工作专项经费”相关工作使用，不作他用。</w:t>
      </w:r>
    </w:p>
    <w:p>
      <w:pPr>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br w:type="page"/>
      </w:r>
    </w:p>
    <w:p>
      <w:pPr>
        <w:spacing w:line="360" w:lineRule="auto"/>
        <w:ind w:firstLine="480"/>
        <w:jc w:val="center"/>
        <w:outlineLvl w:val="0"/>
        <w:rPr>
          <w:rStyle w:val="20"/>
          <w:rFonts w:ascii="黑体" w:hAnsi="黑体" w:eastAsia="黑体" w:cs="黑体"/>
          <w:b w:val="0"/>
          <w:bCs/>
        </w:rPr>
      </w:pPr>
      <w:bookmarkStart w:id="26" w:name="_Toc24726"/>
      <w:r>
        <w:rPr>
          <w:rStyle w:val="20"/>
          <w:rFonts w:hint="eastAsia" w:ascii="黑体" w:hAnsi="黑体" w:eastAsia="黑体" w:cs="黑体"/>
          <w:b w:val="0"/>
          <w:bCs/>
        </w:rPr>
        <w:t>附件1  绩效</w:t>
      </w:r>
      <w:r>
        <w:rPr>
          <w:rStyle w:val="20"/>
          <w:rFonts w:hint="eastAsia" w:ascii="黑体" w:hAnsi="黑体" w:eastAsia="黑体" w:cs="黑体"/>
          <w:b w:val="0"/>
          <w:bCs/>
          <w:szCs w:val="22"/>
        </w:rPr>
        <w:t>评价得分表</w:t>
      </w:r>
      <w:bookmarkEnd w:id="26"/>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9"/>
        <w:gridCol w:w="804"/>
        <w:gridCol w:w="1268"/>
        <w:gridCol w:w="5411"/>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jc w:val="center"/>
              <w:rPr>
                <w:rFonts w:ascii="宋体" w:hAnsi="宋体" w:eastAsia="宋体" w:cs="宋体"/>
                <w:b/>
                <w:bCs/>
                <w:color w:val="000000"/>
                <w:sz w:val="24"/>
                <w:szCs w:val="22"/>
              </w:rPr>
            </w:pPr>
            <w:r>
              <w:rPr>
                <w:rFonts w:hint="eastAsia" w:ascii="宋体" w:hAnsi="宋体" w:eastAsia="宋体" w:cs="宋体"/>
                <w:b/>
                <w:bCs/>
                <w:color w:val="000000"/>
                <w:sz w:val="24"/>
                <w:szCs w:val="22"/>
              </w:rPr>
              <w:t>一级指标</w:t>
            </w:r>
          </w:p>
        </w:tc>
        <w:tc>
          <w:tcPr>
            <w:tcW w:w="804" w:type="dxa"/>
            <w:vAlign w:val="center"/>
          </w:tcPr>
          <w:p>
            <w:pPr>
              <w:jc w:val="center"/>
              <w:rPr>
                <w:rFonts w:ascii="宋体" w:hAnsi="宋体" w:eastAsia="宋体" w:cs="宋体"/>
                <w:b/>
                <w:bCs/>
                <w:color w:val="000000"/>
                <w:sz w:val="24"/>
                <w:szCs w:val="22"/>
              </w:rPr>
            </w:pPr>
            <w:r>
              <w:rPr>
                <w:rFonts w:hint="eastAsia" w:ascii="宋体" w:hAnsi="宋体" w:eastAsia="宋体" w:cs="宋体"/>
                <w:b/>
                <w:bCs/>
                <w:color w:val="000000"/>
                <w:sz w:val="24"/>
                <w:szCs w:val="22"/>
              </w:rPr>
              <w:t>二级指标</w:t>
            </w:r>
          </w:p>
        </w:tc>
        <w:tc>
          <w:tcPr>
            <w:tcW w:w="1269" w:type="dxa"/>
            <w:vAlign w:val="center"/>
          </w:tcPr>
          <w:p>
            <w:pPr>
              <w:jc w:val="center"/>
              <w:rPr>
                <w:rFonts w:ascii="宋体" w:hAnsi="宋体" w:eastAsia="宋体" w:cs="宋体"/>
                <w:b/>
                <w:bCs/>
                <w:color w:val="000000"/>
                <w:sz w:val="24"/>
                <w:szCs w:val="22"/>
              </w:rPr>
            </w:pPr>
            <w:r>
              <w:rPr>
                <w:rFonts w:hint="eastAsia" w:ascii="宋体" w:hAnsi="宋体" w:eastAsia="宋体" w:cs="宋体"/>
                <w:b/>
                <w:bCs/>
                <w:color w:val="000000"/>
                <w:sz w:val="24"/>
                <w:szCs w:val="22"/>
              </w:rPr>
              <w:t>三级指标</w:t>
            </w:r>
          </w:p>
        </w:tc>
        <w:tc>
          <w:tcPr>
            <w:tcW w:w="5415" w:type="dxa"/>
            <w:vAlign w:val="center"/>
          </w:tcPr>
          <w:p>
            <w:pPr>
              <w:jc w:val="center"/>
              <w:rPr>
                <w:rFonts w:ascii="宋体" w:hAnsi="宋体" w:eastAsia="宋体" w:cs="宋体"/>
                <w:b/>
                <w:bCs/>
                <w:color w:val="000000"/>
                <w:sz w:val="24"/>
                <w:szCs w:val="22"/>
              </w:rPr>
            </w:pPr>
            <w:r>
              <w:rPr>
                <w:rFonts w:hint="eastAsia" w:ascii="宋体" w:hAnsi="宋体" w:eastAsia="宋体" w:cs="宋体"/>
                <w:b/>
                <w:bCs/>
                <w:color w:val="000000"/>
                <w:sz w:val="24"/>
                <w:szCs w:val="22"/>
              </w:rPr>
              <w:t>评分标准</w:t>
            </w:r>
          </w:p>
        </w:tc>
        <w:tc>
          <w:tcPr>
            <w:tcW w:w="817" w:type="dxa"/>
            <w:vAlign w:val="center"/>
          </w:tcPr>
          <w:p>
            <w:pPr>
              <w:jc w:val="center"/>
              <w:rPr>
                <w:rFonts w:ascii="宋体" w:hAnsi="宋体" w:eastAsia="宋体" w:cs="宋体"/>
                <w:b/>
                <w:bCs/>
                <w:color w:val="000000"/>
                <w:sz w:val="24"/>
                <w:szCs w:val="22"/>
              </w:rPr>
            </w:pPr>
            <w:r>
              <w:rPr>
                <w:rFonts w:hint="eastAsia" w:ascii="宋体" w:hAnsi="宋体" w:eastAsia="宋体" w:cs="宋体"/>
                <w:b/>
                <w:bCs/>
                <w:color w:val="000000"/>
                <w:sz w:val="24"/>
                <w:szCs w:val="2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Merge w:val="restart"/>
            <w:vAlign w:val="center"/>
          </w:tcPr>
          <w:p>
            <w:pPr>
              <w:jc w:val="center"/>
              <w:rPr>
                <w:rFonts w:ascii="宋体" w:hAnsi="宋体" w:eastAsia="宋体" w:cs="宋体"/>
                <w:b/>
                <w:bCs/>
                <w:color w:val="000000"/>
                <w:sz w:val="24"/>
                <w:szCs w:val="22"/>
              </w:rPr>
            </w:pPr>
            <w:r>
              <w:rPr>
                <w:rFonts w:hint="eastAsia" w:ascii="宋体" w:hAnsi="宋体" w:eastAsia="宋体" w:cs="宋体"/>
                <w:b/>
                <w:bCs/>
                <w:color w:val="000000"/>
                <w:sz w:val="24"/>
                <w:szCs w:val="22"/>
              </w:rPr>
              <w:t>决策</w:t>
            </w:r>
          </w:p>
          <w:p>
            <w:pPr>
              <w:jc w:val="center"/>
              <w:rPr>
                <w:rFonts w:ascii="宋体" w:hAnsi="宋体" w:eastAsia="宋体" w:cs="宋体"/>
                <w:b/>
                <w:bCs/>
                <w:color w:val="000000"/>
                <w:sz w:val="24"/>
                <w:szCs w:val="22"/>
              </w:rPr>
            </w:pPr>
            <w:r>
              <w:rPr>
                <w:rFonts w:hint="eastAsia" w:ascii="宋体" w:hAnsi="宋体" w:eastAsia="宋体" w:cs="宋体"/>
                <w:b/>
                <w:bCs/>
                <w:color w:val="000000"/>
                <w:sz w:val="24"/>
                <w:szCs w:val="22"/>
              </w:rPr>
              <w:t>（18分）</w:t>
            </w:r>
          </w:p>
        </w:tc>
        <w:tc>
          <w:tcPr>
            <w:tcW w:w="804" w:type="dxa"/>
            <w:vMerge w:val="restart"/>
            <w:vAlign w:val="center"/>
          </w:tcPr>
          <w:p>
            <w:pPr>
              <w:jc w:val="center"/>
              <w:rPr>
                <w:rFonts w:ascii="宋体" w:hAnsi="宋体" w:eastAsia="宋体" w:cs="宋体"/>
                <w:spacing w:val="8"/>
                <w:szCs w:val="21"/>
                <w:shd w:val="clear" w:color="auto" w:fill="FFFFFF"/>
              </w:rPr>
            </w:pPr>
            <w:r>
              <w:rPr>
                <w:rFonts w:hint="eastAsia" w:ascii="宋体" w:hAnsi="宋体" w:eastAsia="宋体" w:cs="宋体"/>
                <w:spacing w:val="8"/>
                <w:szCs w:val="21"/>
                <w:shd w:val="clear" w:color="auto" w:fill="FFFFFF"/>
              </w:rPr>
              <w:t>项目立项</w:t>
            </w:r>
          </w:p>
          <w:p>
            <w:pPr>
              <w:jc w:val="center"/>
              <w:rPr>
                <w:rFonts w:ascii="宋体" w:hAnsi="宋体" w:eastAsia="宋体" w:cs="宋体"/>
                <w:spacing w:val="8"/>
                <w:szCs w:val="21"/>
                <w:shd w:val="clear" w:color="auto" w:fill="FFFFFF"/>
              </w:rPr>
            </w:pPr>
            <w:r>
              <w:rPr>
                <w:rFonts w:hint="eastAsia" w:ascii="宋体" w:hAnsi="宋体" w:eastAsia="宋体" w:cs="宋体"/>
                <w:spacing w:val="8"/>
                <w:szCs w:val="21"/>
                <w:shd w:val="clear" w:color="auto" w:fill="FFFFFF"/>
              </w:rPr>
              <w:t>（6分）</w:t>
            </w:r>
          </w:p>
        </w:tc>
        <w:tc>
          <w:tcPr>
            <w:tcW w:w="1269" w:type="dxa"/>
            <w:vAlign w:val="center"/>
          </w:tcPr>
          <w:p>
            <w:pPr>
              <w:widowControl/>
              <w:jc w:val="center"/>
              <w:rPr>
                <w:rFonts w:ascii="宋体" w:hAnsi="宋体"/>
                <w:szCs w:val="21"/>
              </w:rPr>
            </w:pPr>
            <w:r>
              <w:rPr>
                <w:rFonts w:hint="eastAsia" w:ascii="宋体" w:hAnsi="宋体"/>
                <w:szCs w:val="21"/>
              </w:rPr>
              <w:t>立项依据</w:t>
            </w:r>
          </w:p>
          <w:p>
            <w:pPr>
              <w:widowControl/>
              <w:jc w:val="center"/>
              <w:rPr>
                <w:rFonts w:ascii="宋体" w:hAnsi="宋体"/>
                <w:szCs w:val="21"/>
              </w:rPr>
            </w:pPr>
            <w:r>
              <w:rPr>
                <w:rFonts w:hint="eastAsia" w:ascii="宋体" w:hAnsi="宋体"/>
                <w:szCs w:val="21"/>
              </w:rPr>
              <w:t>充分性</w:t>
            </w:r>
          </w:p>
          <w:p>
            <w:pPr>
              <w:widowControl/>
              <w:jc w:val="center"/>
              <w:rPr>
                <w:rFonts w:ascii="宋体" w:hAnsi="宋体" w:eastAsia="宋体" w:cs="宋体"/>
                <w:spacing w:val="8"/>
                <w:szCs w:val="21"/>
                <w:shd w:val="clear" w:color="auto" w:fill="FFFFFF"/>
              </w:rPr>
            </w:pPr>
            <w:r>
              <w:rPr>
                <w:rFonts w:hint="eastAsia" w:ascii="宋体" w:hAnsi="宋体" w:cs="宋体"/>
                <w:kern w:val="0"/>
                <w:szCs w:val="21"/>
              </w:rPr>
              <w:t>（3分）</w:t>
            </w:r>
          </w:p>
        </w:tc>
        <w:tc>
          <w:tcPr>
            <w:tcW w:w="5415" w:type="dxa"/>
            <w:vAlign w:val="center"/>
          </w:tcPr>
          <w:p>
            <w:r>
              <w:rPr>
                <w:rFonts w:hint="eastAsia"/>
              </w:rPr>
              <w:t>①项目立项是否符合相关政策要求；</w:t>
            </w:r>
          </w:p>
          <w:p>
            <w:r>
              <w:rPr>
                <w:rFonts w:hint="eastAsia"/>
              </w:rPr>
              <w:t>②项目立项是否与部门职责范围相符，属于部门履职所需；</w:t>
            </w:r>
          </w:p>
          <w:p>
            <w:r>
              <w:rPr>
                <w:rFonts w:hint="eastAsia"/>
              </w:rPr>
              <w:t>③项目是否属于公共财政支持范围，是否符合中央、地方事权支出责任划分原则；</w:t>
            </w:r>
          </w:p>
          <w:p>
            <w:pPr>
              <w:rPr>
                <w:rFonts w:ascii="宋体" w:hAnsi="宋体" w:eastAsia="仿宋" w:cs="宋体"/>
                <w:spacing w:val="8"/>
                <w:szCs w:val="21"/>
              </w:rPr>
            </w:pPr>
            <w:r>
              <w:rPr>
                <w:rFonts w:hint="eastAsia" w:asciiTheme="minorEastAsia" w:hAnsiTheme="minorEastAsia" w:cstheme="minorEastAsia"/>
                <w:color w:val="000000"/>
                <w:kern w:val="0"/>
                <w:szCs w:val="21"/>
              </w:rPr>
              <w:t>以上三项分别评分，各单项符合得1分，基本符合得0.5分，不符合得0分。</w:t>
            </w:r>
          </w:p>
        </w:tc>
        <w:tc>
          <w:tcPr>
            <w:tcW w:w="817" w:type="dxa"/>
            <w:vAlign w:val="center"/>
          </w:tcPr>
          <w:p>
            <w:pPr>
              <w:pStyle w:val="11"/>
              <w:widowControl/>
              <w:wordWrap w:val="0"/>
              <w:spacing w:beforeAutospacing="0" w:afterAutospacing="0"/>
              <w:jc w:val="center"/>
              <w:rPr>
                <w:rFonts w:ascii="宋体" w:hAnsi="宋体" w:eastAsia="宋体" w:cs="宋体"/>
                <w:spacing w:val="8"/>
                <w:sz w:val="21"/>
                <w:szCs w:val="21"/>
              </w:rPr>
            </w:pPr>
            <w:r>
              <w:rPr>
                <w:rFonts w:hint="eastAsia" w:ascii="宋体" w:hAnsi="宋体" w:eastAsia="宋体" w:cs="宋体"/>
                <w:spacing w:val="8"/>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trPr>
        <w:tc>
          <w:tcPr>
            <w:tcW w:w="699" w:type="dxa"/>
            <w:vMerge w:val="continue"/>
          </w:tcPr>
          <w:p>
            <w:pPr>
              <w:jc w:val="center"/>
              <w:rPr>
                <w:rFonts w:ascii="宋体" w:hAnsi="宋体" w:eastAsia="宋体" w:cs="宋体"/>
                <w:b/>
                <w:bCs/>
                <w:color w:val="000000"/>
                <w:sz w:val="24"/>
                <w:szCs w:val="22"/>
              </w:rPr>
            </w:pPr>
          </w:p>
        </w:tc>
        <w:tc>
          <w:tcPr>
            <w:tcW w:w="804" w:type="dxa"/>
            <w:vMerge w:val="continue"/>
          </w:tcPr>
          <w:p>
            <w:pPr>
              <w:jc w:val="center"/>
              <w:rPr>
                <w:rFonts w:ascii="宋体" w:hAnsi="宋体" w:eastAsia="宋体" w:cs="宋体"/>
                <w:b/>
                <w:bCs/>
                <w:szCs w:val="21"/>
              </w:rPr>
            </w:pPr>
          </w:p>
        </w:tc>
        <w:tc>
          <w:tcPr>
            <w:tcW w:w="1269" w:type="dxa"/>
            <w:vAlign w:val="center"/>
          </w:tcPr>
          <w:p>
            <w:pPr>
              <w:widowControl/>
              <w:jc w:val="center"/>
              <w:rPr>
                <w:rFonts w:ascii="宋体" w:hAnsi="宋体"/>
                <w:szCs w:val="21"/>
              </w:rPr>
            </w:pPr>
            <w:r>
              <w:rPr>
                <w:rFonts w:hint="eastAsia" w:ascii="宋体" w:hAnsi="宋体"/>
                <w:szCs w:val="21"/>
              </w:rPr>
              <w:t>立项程序</w:t>
            </w:r>
          </w:p>
          <w:p>
            <w:pPr>
              <w:widowControl/>
              <w:jc w:val="center"/>
              <w:rPr>
                <w:rFonts w:ascii="宋体" w:hAnsi="宋体"/>
                <w:szCs w:val="21"/>
              </w:rPr>
            </w:pPr>
            <w:r>
              <w:rPr>
                <w:rFonts w:hint="eastAsia" w:ascii="宋体" w:hAnsi="宋体"/>
                <w:szCs w:val="21"/>
              </w:rPr>
              <w:t>规范性</w:t>
            </w:r>
          </w:p>
          <w:p>
            <w:pPr>
              <w:widowControl/>
              <w:jc w:val="center"/>
              <w:rPr>
                <w:rFonts w:ascii="宋体" w:hAnsi="宋体" w:eastAsia="宋体" w:cs="宋体"/>
                <w:spacing w:val="8"/>
                <w:szCs w:val="21"/>
                <w:shd w:val="clear" w:color="auto" w:fill="FFFFFF"/>
              </w:rPr>
            </w:pPr>
            <w:r>
              <w:rPr>
                <w:rFonts w:hint="eastAsia" w:ascii="宋体" w:hAnsi="宋体" w:cs="宋体"/>
                <w:kern w:val="0"/>
                <w:szCs w:val="21"/>
              </w:rPr>
              <w:t>（3分）</w:t>
            </w:r>
          </w:p>
        </w:tc>
        <w:tc>
          <w:tcPr>
            <w:tcW w:w="5415" w:type="dxa"/>
            <w:vAlign w:val="center"/>
          </w:tcPr>
          <w:p>
            <w:r>
              <w:rPr>
                <w:rFonts w:hint="eastAsia"/>
              </w:rPr>
              <w:t>①项目是否按照规定的程序申请设立；</w:t>
            </w:r>
          </w:p>
          <w:p>
            <w:r>
              <w:rPr>
                <w:rFonts w:hint="eastAsia"/>
              </w:rPr>
              <w:t>②审批文件、材料是否符含相关要求；</w:t>
            </w:r>
          </w:p>
          <w:p>
            <w:r>
              <w:rPr>
                <w:rFonts w:hint="eastAsia"/>
              </w:rPr>
              <w:t>③事前是否已经过必要的可行性研究、专家论证、风险评估、绩效评估集体决策；</w:t>
            </w:r>
          </w:p>
          <w:p>
            <w:pPr>
              <w:rPr>
                <w:rFonts w:ascii="宋体" w:hAnsi="宋体" w:eastAsia="宋体" w:cs="宋体"/>
                <w:spacing w:val="8"/>
                <w:szCs w:val="21"/>
              </w:rPr>
            </w:pPr>
            <w:r>
              <w:rPr>
                <w:rFonts w:hint="eastAsia" w:asciiTheme="minorEastAsia" w:hAnsiTheme="minorEastAsia" w:cstheme="minorEastAsia"/>
                <w:color w:val="000000"/>
                <w:kern w:val="0"/>
                <w:szCs w:val="21"/>
              </w:rPr>
              <w:t>以上三项分别评分，各单项符合得1分，基本符合得0.5分，不符合得0分。</w:t>
            </w:r>
          </w:p>
        </w:tc>
        <w:tc>
          <w:tcPr>
            <w:tcW w:w="817" w:type="dxa"/>
            <w:vAlign w:val="center"/>
          </w:tcPr>
          <w:p>
            <w:pPr>
              <w:pStyle w:val="11"/>
              <w:widowControl/>
              <w:wordWrap w:val="0"/>
              <w:spacing w:beforeAutospacing="0" w:afterAutospacing="0"/>
              <w:jc w:val="center"/>
              <w:rPr>
                <w:rFonts w:ascii="宋体" w:hAnsi="宋体" w:eastAsia="宋体" w:cs="宋体"/>
                <w:spacing w:val="8"/>
                <w:sz w:val="21"/>
                <w:szCs w:val="21"/>
              </w:rPr>
            </w:pPr>
            <w:r>
              <w:rPr>
                <w:rFonts w:hint="eastAsia" w:ascii="宋体" w:hAnsi="宋体" w:eastAsia="宋体" w:cs="宋体"/>
                <w:spacing w:val="8"/>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9" w:hRule="atLeast"/>
        </w:trPr>
        <w:tc>
          <w:tcPr>
            <w:tcW w:w="699" w:type="dxa"/>
            <w:vMerge w:val="continue"/>
          </w:tcPr>
          <w:p>
            <w:pPr>
              <w:jc w:val="center"/>
              <w:rPr>
                <w:rFonts w:ascii="宋体" w:hAnsi="宋体" w:eastAsia="宋体" w:cs="宋体"/>
                <w:b/>
                <w:bCs/>
                <w:color w:val="000000"/>
                <w:sz w:val="24"/>
                <w:szCs w:val="22"/>
              </w:rPr>
            </w:pPr>
          </w:p>
        </w:tc>
        <w:tc>
          <w:tcPr>
            <w:tcW w:w="804" w:type="dxa"/>
            <w:vMerge w:val="restart"/>
            <w:vAlign w:val="center"/>
          </w:tcPr>
          <w:p>
            <w:pPr>
              <w:jc w:val="center"/>
              <w:rPr>
                <w:rFonts w:ascii="宋体" w:hAnsi="宋体" w:eastAsia="宋体" w:cs="宋体"/>
                <w:spacing w:val="8"/>
                <w:szCs w:val="21"/>
                <w:shd w:val="clear" w:color="auto" w:fill="FFFFFF"/>
              </w:rPr>
            </w:pPr>
            <w:r>
              <w:rPr>
                <w:rFonts w:hint="eastAsia" w:ascii="宋体" w:hAnsi="宋体" w:eastAsia="宋体" w:cs="宋体"/>
                <w:spacing w:val="8"/>
                <w:szCs w:val="21"/>
                <w:shd w:val="clear" w:color="auto" w:fill="FFFFFF"/>
              </w:rPr>
              <w:t>绩效目标</w:t>
            </w:r>
          </w:p>
          <w:p>
            <w:pPr>
              <w:jc w:val="center"/>
              <w:rPr>
                <w:rFonts w:ascii="宋体" w:hAnsi="宋体" w:eastAsia="宋体" w:cs="宋体"/>
                <w:spacing w:val="8"/>
                <w:szCs w:val="21"/>
                <w:shd w:val="clear" w:color="auto" w:fill="FFFFFF"/>
              </w:rPr>
            </w:pPr>
            <w:r>
              <w:rPr>
                <w:rFonts w:hint="eastAsia" w:ascii="宋体" w:hAnsi="宋体" w:eastAsia="宋体" w:cs="宋体"/>
                <w:spacing w:val="8"/>
                <w:szCs w:val="21"/>
                <w:shd w:val="clear" w:color="auto" w:fill="FFFFFF"/>
              </w:rPr>
              <w:t>（6分）</w:t>
            </w:r>
          </w:p>
        </w:tc>
        <w:tc>
          <w:tcPr>
            <w:tcW w:w="1269" w:type="dxa"/>
            <w:vAlign w:val="center"/>
          </w:tcPr>
          <w:p>
            <w:pPr>
              <w:widowControl/>
              <w:snapToGrid w:val="0"/>
              <w:jc w:val="center"/>
              <w:rPr>
                <w:rFonts w:ascii="宋体" w:hAnsi="宋体" w:eastAsia="宋体" w:cs="宋体"/>
                <w:color w:val="000000"/>
                <w:kern w:val="0"/>
                <w:szCs w:val="21"/>
              </w:rPr>
            </w:pPr>
            <w:r>
              <w:rPr>
                <w:rFonts w:hint="eastAsia" w:ascii="宋体" w:hAnsi="宋体" w:eastAsia="宋体" w:cs="宋体"/>
                <w:color w:val="000000"/>
                <w:kern w:val="0"/>
                <w:szCs w:val="21"/>
              </w:rPr>
              <w:t>绩效目标</w:t>
            </w:r>
          </w:p>
          <w:p>
            <w:pPr>
              <w:widowControl/>
              <w:snapToGrid w:val="0"/>
              <w:jc w:val="center"/>
              <w:rPr>
                <w:rFonts w:ascii="宋体" w:hAnsi="宋体" w:eastAsia="宋体" w:cs="宋体"/>
                <w:color w:val="000000"/>
                <w:kern w:val="0"/>
                <w:szCs w:val="21"/>
              </w:rPr>
            </w:pPr>
            <w:r>
              <w:rPr>
                <w:rFonts w:hint="eastAsia" w:ascii="宋体" w:hAnsi="宋体" w:eastAsia="宋体" w:cs="宋体"/>
                <w:color w:val="000000"/>
                <w:kern w:val="0"/>
                <w:szCs w:val="21"/>
              </w:rPr>
              <w:t>合理性</w:t>
            </w:r>
          </w:p>
          <w:p>
            <w:pPr>
              <w:widowControl/>
              <w:snapToGrid w:val="0"/>
              <w:jc w:val="center"/>
              <w:rPr>
                <w:rFonts w:ascii="宋体" w:hAnsi="宋体" w:eastAsia="宋体" w:cs="宋体"/>
                <w:spacing w:val="8"/>
                <w:szCs w:val="21"/>
                <w:shd w:val="clear" w:color="auto" w:fill="FFFFFF"/>
              </w:rPr>
            </w:pPr>
            <w:r>
              <w:rPr>
                <w:rFonts w:hint="eastAsia" w:ascii="宋体" w:hAnsi="宋体" w:eastAsia="宋体" w:cs="宋体"/>
                <w:color w:val="000000"/>
                <w:kern w:val="0"/>
                <w:szCs w:val="21"/>
              </w:rPr>
              <w:t>（</w:t>
            </w:r>
            <w:r>
              <w:rPr>
                <w:rFonts w:hint="eastAsia" w:ascii="宋体" w:hAnsi="宋体" w:cs="宋体"/>
                <w:color w:val="000000"/>
                <w:kern w:val="0"/>
                <w:szCs w:val="21"/>
              </w:rPr>
              <w:t>4</w:t>
            </w:r>
            <w:r>
              <w:rPr>
                <w:rFonts w:hint="eastAsia" w:ascii="宋体" w:hAnsi="宋体" w:eastAsia="宋体" w:cs="宋体"/>
                <w:color w:val="000000"/>
                <w:kern w:val="0"/>
                <w:szCs w:val="21"/>
              </w:rPr>
              <w:t>分）</w:t>
            </w:r>
          </w:p>
        </w:tc>
        <w:tc>
          <w:tcPr>
            <w:tcW w:w="5415" w:type="dxa"/>
            <w:vAlign w:val="center"/>
          </w:tcPr>
          <w:p>
            <w:pPr>
              <w:pStyle w:val="11"/>
              <w:widowControl/>
              <w:wordWrap w:val="0"/>
              <w:spacing w:beforeAutospacing="0" w:afterAutospacing="0"/>
              <w:jc w:val="both"/>
              <w:rPr>
                <w:rFonts w:ascii="宋体" w:hAnsi="宋体" w:eastAsia="宋体" w:cs="宋体"/>
                <w:spacing w:val="8"/>
                <w:sz w:val="21"/>
                <w:szCs w:val="21"/>
              </w:rPr>
            </w:pPr>
            <w:r>
              <w:rPr>
                <w:rFonts w:hint="eastAsia" w:ascii="宋体" w:hAnsi="宋体" w:eastAsia="宋体" w:cs="宋体"/>
                <w:spacing w:val="8"/>
                <w:sz w:val="21"/>
                <w:szCs w:val="21"/>
              </w:rPr>
              <w:t>①项目是否有绩效目标；</w:t>
            </w:r>
            <w:r>
              <w:rPr>
                <w:rFonts w:hint="eastAsia" w:ascii="宋体" w:hAnsi="宋体" w:eastAsia="宋体" w:cs="宋体"/>
                <w:spacing w:val="8"/>
                <w:sz w:val="21"/>
                <w:szCs w:val="21"/>
              </w:rPr>
              <w:br w:type="textWrapping"/>
            </w:r>
            <w:r>
              <w:rPr>
                <w:rFonts w:hint="eastAsia" w:ascii="宋体" w:hAnsi="宋体" w:eastAsia="宋体" w:cs="宋体"/>
                <w:spacing w:val="8"/>
                <w:sz w:val="21"/>
                <w:szCs w:val="21"/>
              </w:rPr>
              <w:t>②项目绩效目标与实际工作内容是否具有相关性；</w:t>
            </w:r>
            <w:r>
              <w:rPr>
                <w:rFonts w:hint="eastAsia" w:ascii="宋体" w:hAnsi="宋体" w:eastAsia="宋体" w:cs="宋体"/>
                <w:spacing w:val="8"/>
                <w:sz w:val="21"/>
                <w:szCs w:val="21"/>
              </w:rPr>
              <w:br w:type="textWrapping"/>
            </w:r>
            <w:r>
              <w:rPr>
                <w:rFonts w:hint="eastAsia" w:ascii="宋体" w:hAnsi="宋体" w:eastAsia="宋体" w:cs="宋体"/>
                <w:spacing w:val="8"/>
                <w:sz w:val="21"/>
                <w:szCs w:val="21"/>
              </w:rPr>
              <w:t>③项目预期产出效益和效果是否符合正常的业绩水平；</w:t>
            </w:r>
          </w:p>
          <w:p>
            <w:pPr>
              <w:pStyle w:val="11"/>
              <w:widowControl/>
              <w:wordWrap w:val="0"/>
              <w:spacing w:beforeAutospacing="0" w:afterAutospacing="0"/>
              <w:jc w:val="both"/>
              <w:rPr>
                <w:rFonts w:ascii="宋体" w:hAnsi="宋体" w:eastAsia="宋体" w:cs="宋体"/>
                <w:spacing w:val="8"/>
                <w:sz w:val="21"/>
                <w:szCs w:val="21"/>
              </w:rPr>
            </w:pPr>
            <w:r>
              <w:rPr>
                <w:rFonts w:hint="eastAsia" w:ascii="宋体" w:hAnsi="宋体" w:eastAsia="宋体" w:cs="宋体"/>
                <w:spacing w:val="8"/>
                <w:sz w:val="21"/>
                <w:szCs w:val="21"/>
              </w:rPr>
              <w:t>④是否与预算确定的项目投资额或资金量相匹配。</w:t>
            </w:r>
          </w:p>
          <w:p>
            <w:pPr>
              <w:widowControl/>
              <w:snapToGrid w:val="0"/>
              <w:rPr>
                <w:rFonts w:ascii="宋体" w:hAnsi="宋体" w:eastAsia="宋体" w:cs="宋体"/>
                <w:spacing w:val="8"/>
                <w:szCs w:val="21"/>
              </w:rPr>
            </w:pPr>
            <w:r>
              <w:rPr>
                <w:rFonts w:hint="eastAsia" w:ascii="宋体" w:hAnsi="宋体" w:eastAsia="宋体" w:cs="宋体"/>
                <w:spacing w:val="8"/>
                <w:szCs w:val="21"/>
              </w:rPr>
              <w:t>每项符合得1分，基本符合得0.5分，不符合得0分，满分4分。</w:t>
            </w:r>
          </w:p>
        </w:tc>
        <w:tc>
          <w:tcPr>
            <w:tcW w:w="817" w:type="dxa"/>
            <w:vAlign w:val="center"/>
          </w:tcPr>
          <w:p>
            <w:pPr>
              <w:pStyle w:val="11"/>
              <w:widowControl/>
              <w:wordWrap w:val="0"/>
              <w:spacing w:beforeAutospacing="0" w:afterAutospacing="0"/>
              <w:jc w:val="center"/>
              <w:rPr>
                <w:rFonts w:ascii="宋体" w:hAnsi="宋体" w:eastAsia="宋体" w:cs="宋体"/>
                <w:spacing w:val="8"/>
                <w:sz w:val="21"/>
                <w:szCs w:val="21"/>
              </w:rPr>
            </w:pPr>
            <w:r>
              <w:rPr>
                <w:rFonts w:hint="eastAsia" w:ascii="宋体" w:hAnsi="宋体" w:eastAsia="宋体" w:cs="宋体"/>
                <w:spacing w:val="8"/>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Merge w:val="continue"/>
          </w:tcPr>
          <w:p>
            <w:pPr>
              <w:jc w:val="center"/>
              <w:rPr>
                <w:rFonts w:ascii="宋体" w:hAnsi="宋体" w:eastAsia="宋体" w:cs="宋体"/>
                <w:b/>
                <w:bCs/>
                <w:color w:val="000000"/>
                <w:sz w:val="24"/>
                <w:szCs w:val="22"/>
              </w:rPr>
            </w:pPr>
          </w:p>
        </w:tc>
        <w:tc>
          <w:tcPr>
            <w:tcW w:w="804" w:type="dxa"/>
            <w:vMerge w:val="continue"/>
            <w:vAlign w:val="center"/>
          </w:tcPr>
          <w:p>
            <w:pPr>
              <w:jc w:val="center"/>
              <w:rPr>
                <w:rFonts w:ascii="宋体" w:hAnsi="宋体" w:eastAsia="宋体" w:cs="宋体"/>
                <w:spacing w:val="8"/>
                <w:szCs w:val="21"/>
                <w:shd w:val="clear" w:color="auto" w:fill="FFFFFF"/>
              </w:rPr>
            </w:pPr>
          </w:p>
        </w:tc>
        <w:tc>
          <w:tcPr>
            <w:tcW w:w="1269" w:type="dxa"/>
            <w:vAlign w:val="center"/>
          </w:tcPr>
          <w:p>
            <w:pPr>
              <w:widowControl/>
              <w:snapToGrid w:val="0"/>
              <w:jc w:val="center"/>
              <w:rPr>
                <w:rFonts w:ascii="宋体" w:hAnsi="宋体" w:eastAsia="宋体" w:cs="宋体"/>
                <w:kern w:val="0"/>
                <w:szCs w:val="21"/>
              </w:rPr>
            </w:pPr>
            <w:r>
              <w:rPr>
                <w:rFonts w:hint="eastAsia" w:ascii="宋体" w:hAnsi="宋体" w:eastAsia="宋体" w:cs="宋体"/>
                <w:kern w:val="0"/>
                <w:szCs w:val="21"/>
              </w:rPr>
              <w:t>绩效指标</w:t>
            </w:r>
          </w:p>
          <w:p>
            <w:pPr>
              <w:widowControl/>
              <w:snapToGrid w:val="0"/>
              <w:jc w:val="center"/>
              <w:rPr>
                <w:rFonts w:ascii="宋体" w:hAnsi="宋体" w:eastAsia="宋体" w:cs="宋体"/>
                <w:kern w:val="0"/>
                <w:szCs w:val="21"/>
              </w:rPr>
            </w:pPr>
            <w:r>
              <w:rPr>
                <w:rFonts w:hint="eastAsia" w:ascii="宋体" w:hAnsi="宋体" w:eastAsia="宋体" w:cs="宋体"/>
                <w:kern w:val="0"/>
                <w:szCs w:val="21"/>
              </w:rPr>
              <w:t>明确性</w:t>
            </w:r>
          </w:p>
          <w:p>
            <w:pPr>
              <w:widowControl/>
              <w:snapToGrid w:val="0"/>
              <w:jc w:val="center"/>
              <w:rPr>
                <w:rFonts w:ascii="宋体" w:hAnsi="宋体" w:eastAsia="宋体" w:cs="宋体"/>
                <w:spacing w:val="8"/>
                <w:szCs w:val="21"/>
                <w:shd w:val="clear" w:color="auto" w:fill="FFFFFF"/>
              </w:rPr>
            </w:pPr>
            <w:r>
              <w:rPr>
                <w:rFonts w:hint="eastAsia" w:ascii="宋体" w:hAnsi="宋体" w:eastAsia="宋体" w:cs="宋体"/>
                <w:kern w:val="0"/>
                <w:szCs w:val="21"/>
              </w:rPr>
              <w:t>（2分）</w:t>
            </w:r>
          </w:p>
        </w:tc>
        <w:tc>
          <w:tcPr>
            <w:tcW w:w="5415" w:type="dxa"/>
            <w:vAlign w:val="center"/>
          </w:tcPr>
          <w:p>
            <w:pPr>
              <w:widowControl/>
              <w:snapToGrid w:val="0"/>
              <w:rPr>
                <w:rFonts w:ascii="宋体" w:hAnsi="宋体" w:eastAsia="宋体" w:cs="宋体"/>
                <w:kern w:val="0"/>
                <w:szCs w:val="21"/>
              </w:rPr>
            </w:pPr>
            <w:r>
              <w:rPr>
                <w:rFonts w:hint="eastAsia" w:ascii="宋体" w:hAnsi="宋体" w:eastAsia="宋体" w:cs="宋体"/>
                <w:kern w:val="0"/>
                <w:szCs w:val="21"/>
              </w:rPr>
              <w:t>①是否将绩效目标细化分解为具体的工作任务；</w:t>
            </w:r>
          </w:p>
          <w:p>
            <w:pPr>
              <w:widowControl/>
              <w:snapToGrid w:val="0"/>
              <w:rPr>
                <w:rFonts w:ascii="宋体" w:hAnsi="宋体" w:eastAsia="宋体" w:cs="宋体"/>
                <w:kern w:val="0"/>
                <w:szCs w:val="21"/>
              </w:rPr>
            </w:pPr>
            <w:r>
              <w:rPr>
                <w:rFonts w:hint="eastAsia" w:ascii="宋体" w:hAnsi="宋体" w:eastAsia="宋体" w:cs="宋体"/>
                <w:kern w:val="0"/>
                <w:szCs w:val="21"/>
              </w:rPr>
              <w:t>②是否通过清晰、可衡量的指标值予以体现。</w:t>
            </w:r>
          </w:p>
          <w:p>
            <w:pPr>
              <w:widowControl/>
              <w:snapToGrid w:val="0"/>
              <w:rPr>
                <w:rFonts w:ascii="宋体" w:hAnsi="宋体" w:eastAsia="宋体" w:cs="宋体"/>
                <w:spacing w:val="8"/>
                <w:szCs w:val="21"/>
              </w:rPr>
            </w:pPr>
            <w:r>
              <w:rPr>
                <w:rFonts w:hint="eastAsia" w:ascii="宋体" w:hAnsi="宋体" w:eastAsia="宋体" w:cs="宋体"/>
                <w:kern w:val="0"/>
                <w:szCs w:val="21"/>
              </w:rPr>
              <w:t>以上两项分别评分，各单项符合得1分，基本符合得0.5分，不符合得0分。</w:t>
            </w:r>
          </w:p>
        </w:tc>
        <w:tc>
          <w:tcPr>
            <w:tcW w:w="817" w:type="dxa"/>
            <w:vAlign w:val="center"/>
          </w:tcPr>
          <w:p>
            <w:pPr>
              <w:pStyle w:val="11"/>
              <w:widowControl/>
              <w:wordWrap w:val="0"/>
              <w:spacing w:beforeAutospacing="0" w:afterAutospacing="0"/>
              <w:jc w:val="center"/>
              <w:rPr>
                <w:rFonts w:ascii="宋体" w:hAnsi="宋体" w:eastAsia="宋体" w:cs="宋体"/>
                <w:spacing w:val="8"/>
                <w:sz w:val="21"/>
                <w:szCs w:val="21"/>
              </w:rPr>
            </w:pPr>
            <w:r>
              <w:rPr>
                <w:rFonts w:hint="eastAsia" w:ascii="宋体" w:hAnsi="宋体" w:eastAsia="宋体" w:cs="宋体"/>
                <w:spacing w:val="8"/>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699" w:type="dxa"/>
            <w:vMerge w:val="continue"/>
          </w:tcPr>
          <w:p>
            <w:pPr>
              <w:jc w:val="center"/>
              <w:rPr>
                <w:rFonts w:ascii="宋体" w:hAnsi="宋体" w:eastAsia="宋体" w:cs="宋体"/>
                <w:b/>
                <w:bCs/>
                <w:color w:val="000000"/>
                <w:sz w:val="24"/>
                <w:szCs w:val="22"/>
              </w:rPr>
            </w:pPr>
          </w:p>
        </w:tc>
        <w:tc>
          <w:tcPr>
            <w:tcW w:w="804" w:type="dxa"/>
            <w:vMerge w:val="restart"/>
            <w:vAlign w:val="center"/>
          </w:tcPr>
          <w:p>
            <w:pPr>
              <w:widowControl/>
              <w:snapToGrid w:val="0"/>
              <w:jc w:val="center"/>
              <w:rPr>
                <w:rFonts w:ascii="宋体" w:hAnsi="宋体" w:eastAsia="宋体" w:cs="宋体"/>
                <w:spacing w:val="8"/>
                <w:szCs w:val="21"/>
                <w:shd w:val="clear" w:color="auto" w:fill="FFFFFF"/>
              </w:rPr>
            </w:pPr>
            <w:r>
              <w:rPr>
                <w:rFonts w:hint="eastAsia" w:ascii="宋体" w:hAnsi="宋体" w:eastAsia="宋体" w:cs="宋体"/>
                <w:kern w:val="0"/>
                <w:szCs w:val="21"/>
              </w:rPr>
              <w:t>资金投入（6分）</w:t>
            </w:r>
          </w:p>
        </w:tc>
        <w:tc>
          <w:tcPr>
            <w:tcW w:w="1269" w:type="dxa"/>
            <w:vAlign w:val="center"/>
          </w:tcPr>
          <w:p>
            <w:pPr>
              <w:jc w:val="center"/>
              <w:rPr>
                <w:rFonts w:ascii="宋体" w:hAnsi="宋体" w:cs="宋体"/>
                <w:kern w:val="0"/>
                <w:szCs w:val="21"/>
              </w:rPr>
            </w:pPr>
            <w:r>
              <w:rPr>
                <w:rFonts w:hint="eastAsia" w:ascii="宋体" w:hAnsi="宋体" w:cs="宋体"/>
                <w:kern w:val="0"/>
                <w:szCs w:val="21"/>
              </w:rPr>
              <w:t>预算编制</w:t>
            </w:r>
          </w:p>
          <w:p>
            <w:pPr>
              <w:jc w:val="center"/>
              <w:rPr>
                <w:rFonts w:ascii="宋体" w:hAnsi="宋体" w:cs="宋体"/>
                <w:kern w:val="0"/>
                <w:szCs w:val="21"/>
              </w:rPr>
            </w:pPr>
            <w:r>
              <w:rPr>
                <w:rFonts w:hint="eastAsia" w:ascii="宋体" w:hAnsi="宋体" w:cs="宋体"/>
                <w:kern w:val="0"/>
                <w:szCs w:val="21"/>
              </w:rPr>
              <w:t>科学性</w:t>
            </w:r>
          </w:p>
          <w:p>
            <w:pPr>
              <w:jc w:val="center"/>
              <w:rPr>
                <w:rFonts w:ascii="宋体" w:hAnsi="宋体" w:eastAsia="宋体" w:cs="宋体"/>
                <w:spacing w:val="8"/>
                <w:szCs w:val="21"/>
                <w:shd w:val="clear" w:color="auto" w:fill="FFFFFF"/>
              </w:rPr>
            </w:pPr>
            <w:r>
              <w:rPr>
                <w:rFonts w:hint="eastAsia" w:ascii="宋体" w:hAnsi="宋体" w:cs="宋体"/>
                <w:kern w:val="0"/>
                <w:szCs w:val="21"/>
              </w:rPr>
              <w:t>（2分）</w:t>
            </w:r>
          </w:p>
        </w:tc>
        <w:tc>
          <w:tcPr>
            <w:tcW w:w="5415" w:type="dxa"/>
            <w:vAlign w:val="center"/>
          </w:tcPr>
          <w:p>
            <w:pPr>
              <w:jc w:val="left"/>
              <w:rPr>
                <w:rFonts w:ascii="宋体" w:hAnsi="宋体" w:cs="宋体"/>
                <w:kern w:val="0"/>
                <w:szCs w:val="21"/>
              </w:rPr>
            </w:pPr>
            <w:r>
              <w:rPr>
                <w:rFonts w:hint="eastAsia" w:ascii="宋体" w:hAnsi="宋体" w:cs="宋体"/>
                <w:kern w:val="0"/>
                <w:szCs w:val="21"/>
              </w:rPr>
              <w:t>①预算内容与项目内容是否匹配；</w:t>
            </w:r>
          </w:p>
          <w:p>
            <w:pPr>
              <w:jc w:val="left"/>
              <w:rPr>
                <w:rFonts w:ascii="宋体" w:hAnsi="宋体" w:cs="宋体"/>
                <w:kern w:val="0"/>
                <w:szCs w:val="21"/>
              </w:rPr>
            </w:pPr>
            <w:r>
              <w:rPr>
                <w:rFonts w:hint="eastAsia" w:ascii="宋体" w:hAnsi="宋体" w:cs="宋体"/>
                <w:kern w:val="0"/>
                <w:szCs w:val="21"/>
              </w:rPr>
              <w:t>②预算确定的项目投资额或资金量是否与工作任务相匹配</w:t>
            </w:r>
          </w:p>
          <w:p>
            <w:pPr>
              <w:jc w:val="left"/>
              <w:rPr>
                <w:rFonts w:ascii="宋体" w:hAnsi="宋体" w:eastAsia="宋体" w:cs="宋体"/>
                <w:spacing w:val="8"/>
                <w:szCs w:val="21"/>
              </w:rPr>
            </w:pPr>
            <w:r>
              <w:rPr>
                <w:rFonts w:hint="eastAsia" w:ascii="宋体" w:hAnsi="宋体"/>
                <w:kern w:val="0"/>
                <w:sz w:val="20"/>
                <w:szCs w:val="20"/>
              </w:rPr>
              <w:t>一项不符合扣一分，扣完为止。</w:t>
            </w:r>
          </w:p>
        </w:tc>
        <w:tc>
          <w:tcPr>
            <w:tcW w:w="817" w:type="dxa"/>
            <w:vAlign w:val="center"/>
          </w:tcPr>
          <w:p>
            <w:pPr>
              <w:pStyle w:val="11"/>
              <w:widowControl/>
              <w:wordWrap w:val="0"/>
              <w:spacing w:beforeAutospacing="0" w:afterAutospacing="0"/>
              <w:jc w:val="center"/>
              <w:rPr>
                <w:rFonts w:ascii="宋体" w:hAnsi="宋体" w:eastAsia="宋体" w:cs="宋体"/>
                <w:spacing w:val="8"/>
                <w:sz w:val="21"/>
                <w:szCs w:val="21"/>
              </w:rPr>
            </w:pPr>
            <w:r>
              <w:rPr>
                <w:rFonts w:hint="eastAsia" w:ascii="宋体" w:hAnsi="宋体" w:eastAsia="宋体" w:cs="宋体"/>
                <w:spacing w:val="8"/>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trPr>
        <w:tc>
          <w:tcPr>
            <w:tcW w:w="699" w:type="dxa"/>
            <w:vMerge w:val="continue"/>
          </w:tcPr>
          <w:p>
            <w:pPr>
              <w:jc w:val="center"/>
              <w:rPr>
                <w:rFonts w:ascii="宋体" w:hAnsi="宋体" w:eastAsia="宋体" w:cs="宋体"/>
                <w:b/>
                <w:bCs/>
                <w:color w:val="000000"/>
                <w:sz w:val="24"/>
                <w:szCs w:val="22"/>
              </w:rPr>
            </w:pPr>
          </w:p>
        </w:tc>
        <w:tc>
          <w:tcPr>
            <w:tcW w:w="804" w:type="dxa"/>
            <w:vMerge w:val="continue"/>
            <w:vAlign w:val="center"/>
          </w:tcPr>
          <w:p>
            <w:pPr>
              <w:widowControl/>
              <w:snapToGrid w:val="0"/>
              <w:jc w:val="center"/>
              <w:rPr>
                <w:rFonts w:ascii="宋体" w:hAnsi="宋体" w:eastAsia="宋体" w:cs="宋体"/>
                <w:spacing w:val="8"/>
                <w:szCs w:val="21"/>
                <w:shd w:val="clear" w:color="auto" w:fill="FFFFFF"/>
              </w:rPr>
            </w:pPr>
          </w:p>
        </w:tc>
        <w:tc>
          <w:tcPr>
            <w:tcW w:w="1269" w:type="dxa"/>
            <w:vAlign w:val="center"/>
          </w:tcPr>
          <w:p>
            <w:pPr>
              <w:widowControl/>
              <w:jc w:val="center"/>
              <w:rPr>
                <w:rFonts w:ascii="宋体" w:hAnsi="宋体" w:cs="宋体"/>
                <w:kern w:val="0"/>
                <w:szCs w:val="21"/>
              </w:rPr>
            </w:pPr>
            <w:r>
              <w:rPr>
                <w:rFonts w:hint="eastAsia" w:ascii="宋体" w:hAnsi="宋体" w:cs="宋体"/>
                <w:kern w:val="0"/>
                <w:szCs w:val="21"/>
              </w:rPr>
              <w:t>资金分配</w:t>
            </w:r>
          </w:p>
          <w:p>
            <w:pPr>
              <w:widowControl/>
              <w:jc w:val="center"/>
              <w:rPr>
                <w:rFonts w:ascii="宋体" w:hAnsi="宋体" w:cs="宋体"/>
                <w:kern w:val="0"/>
                <w:szCs w:val="21"/>
              </w:rPr>
            </w:pPr>
            <w:r>
              <w:rPr>
                <w:rFonts w:hint="eastAsia" w:ascii="宋体" w:hAnsi="宋体" w:cs="宋体"/>
                <w:kern w:val="0"/>
                <w:szCs w:val="21"/>
              </w:rPr>
              <w:t>合理性</w:t>
            </w:r>
          </w:p>
          <w:p>
            <w:pPr>
              <w:widowControl/>
              <w:jc w:val="center"/>
              <w:rPr>
                <w:rFonts w:ascii="宋体" w:hAnsi="宋体" w:eastAsia="宋体" w:cs="宋体"/>
                <w:spacing w:val="8"/>
                <w:szCs w:val="21"/>
                <w:shd w:val="clear" w:color="auto" w:fill="FFFFFF"/>
              </w:rPr>
            </w:pPr>
            <w:r>
              <w:rPr>
                <w:rFonts w:hint="eastAsia" w:ascii="宋体" w:hAnsi="宋体" w:cs="宋体"/>
                <w:kern w:val="0"/>
                <w:szCs w:val="21"/>
              </w:rPr>
              <w:t>（4分）</w:t>
            </w:r>
          </w:p>
        </w:tc>
        <w:tc>
          <w:tcPr>
            <w:tcW w:w="5415" w:type="dxa"/>
            <w:vAlign w:val="center"/>
          </w:tcPr>
          <w:p>
            <w:pPr>
              <w:widowControl/>
              <w:jc w:val="left"/>
              <w:rPr>
                <w:rFonts w:ascii="宋体" w:hAnsi="宋体" w:cs="宋体"/>
                <w:kern w:val="0"/>
                <w:szCs w:val="21"/>
              </w:rPr>
            </w:pPr>
            <w:r>
              <w:rPr>
                <w:rFonts w:hint="eastAsia" w:ascii="宋体" w:hAnsi="宋体" w:cs="宋体"/>
                <w:kern w:val="0"/>
                <w:szCs w:val="21"/>
              </w:rPr>
              <w:t>①预算资金分配依据是否充分</w:t>
            </w:r>
          </w:p>
          <w:p>
            <w:pPr>
              <w:widowControl/>
              <w:jc w:val="left"/>
              <w:rPr>
                <w:rFonts w:ascii="宋体" w:hAnsi="宋体" w:cs="宋体"/>
                <w:kern w:val="0"/>
                <w:szCs w:val="21"/>
              </w:rPr>
            </w:pPr>
            <w:r>
              <w:rPr>
                <w:rFonts w:hint="eastAsia" w:ascii="宋体" w:hAnsi="宋体" w:cs="宋体"/>
                <w:kern w:val="0"/>
                <w:szCs w:val="21"/>
              </w:rPr>
              <w:t>②资金分配额度是否合理，与项目单位或地方实际是否相适应。</w:t>
            </w:r>
          </w:p>
          <w:p>
            <w:pPr>
              <w:widowControl/>
              <w:jc w:val="left"/>
              <w:rPr>
                <w:rFonts w:ascii="宋体" w:hAnsi="宋体" w:eastAsia="宋体" w:cs="宋体"/>
                <w:spacing w:val="8"/>
                <w:szCs w:val="21"/>
              </w:rPr>
            </w:pPr>
            <w:r>
              <w:rPr>
                <w:rFonts w:hint="eastAsia" w:ascii="宋体" w:hAnsi="宋体" w:eastAsia="宋体" w:cs="宋体"/>
                <w:color w:val="000000"/>
                <w:kern w:val="0"/>
                <w:szCs w:val="21"/>
              </w:rPr>
              <w:t>以上两项分别评分，各单项符合得2分，</w:t>
            </w:r>
            <w:r>
              <w:rPr>
                <w:rFonts w:hint="eastAsia" w:ascii="宋体" w:hAnsi="宋体" w:eastAsia="宋体" w:cs="宋体"/>
                <w:kern w:val="0"/>
                <w:szCs w:val="21"/>
              </w:rPr>
              <w:t>基本符合得1分，</w:t>
            </w:r>
            <w:r>
              <w:rPr>
                <w:rFonts w:hint="eastAsia" w:ascii="宋体" w:hAnsi="宋体" w:eastAsia="宋体" w:cs="宋体"/>
                <w:color w:val="000000"/>
                <w:kern w:val="0"/>
                <w:szCs w:val="21"/>
              </w:rPr>
              <w:t>不符合得0分。</w:t>
            </w:r>
          </w:p>
        </w:tc>
        <w:tc>
          <w:tcPr>
            <w:tcW w:w="817" w:type="dxa"/>
            <w:vAlign w:val="center"/>
          </w:tcPr>
          <w:p>
            <w:pPr>
              <w:pStyle w:val="11"/>
              <w:widowControl/>
              <w:wordWrap w:val="0"/>
              <w:spacing w:beforeAutospacing="0" w:afterAutospacing="0"/>
              <w:jc w:val="center"/>
              <w:rPr>
                <w:rFonts w:hint="eastAsia" w:ascii="宋体" w:hAnsi="宋体" w:eastAsia="宋体" w:cs="宋体"/>
                <w:spacing w:val="8"/>
                <w:sz w:val="21"/>
                <w:szCs w:val="21"/>
                <w:lang w:eastAsia="zh-CN"/>
              </w:rPr>
            </w:pPr>
            <w:r>
              <w:rPr>
                <w:rFonts w:hint="eastAsia" w:ascii="宋体" w:hAnsi="宋体" w:eastAsia="宋体" w:cs="宋体"/>
                <w:spacing w:val="8"/>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Merge w:val="restart"/>
            <w:vAlign w:val="center"/>
          </w:tcPr>
          <w:p>
            <w:pPr>
              <w:jc w:val="center"/>
              <w:rPr>
                <w:rFonts w:ascii="宋体" w:hAnsi="宋体" w:eastAsia="宋体" w:cs="宋体"/>
                <w:b/>
                <w:bCs/>
                <w:color w:val="000000"/>
                <w:sz w:val="24"/>
                <w:szCs w:val="22"/>
              </w:rPr>
            </w:pPr>
            <w:r>
              <w:rPr>
                <w:rFonts w:hint="eastAsia" w:ascii="宋体" w:hAnsi="宋体" w:eastAsia="宋体" w:cs="宋体"/>
                <w:b/>
                <w:bCs/>
                <w:color w:val="000000"/>
                <w:sz w:val="24"/>
                <w:szCs w:val="22"/>
              </w:rPr>
              <w:t>过程</w:t>
            </w:r>
          </w:p>
          <w:p>
            <w:pPr>
              <w:jc w:val="center"/>
              <w:rPr>
                <w:rFonts w:ascii="宋体" w:hAnsi="宋体" w:eastAsia="宋体" w:cs="宋体"/>
                <w:b/>
                <w:bCs/>
                <w:color w:val="000000"/>
                <w:sz w:val="24"/>
                <w:szCs w:val="22"/>
              </w:rPr>
            </w:pPr>
            <w:r>
              <w:rPr>
                <w:rFonts w:hint="eastAsia" w:ascii="宋体" w:hAnsi="宋体" w:eastAsia="宋体" w:cs="宋体"/>
                <w:b/>
                <w:bCs/>
                <w:color w:val="000000"/>
                <w:sz w:val="24"/>
                <w:szCs w:val="22"/>
              </w:rPr>
              <w:t>（14分）</w:t>
            </w:r>
          </w:p>
        </w:tc>
        <w:tc>
          <w:tcPr>
            <w:tcW w:w="804" w:type="dxa"/>
            <w:vMerge w:val="restart"/>
            <w:vAlign w:val="center"/>
          </w:tcPr>
          <w:p>
            <w:pPr>
              <w:widowControl/>
              <w:snapToGrid w:val="0"/>
              <w:jc w:val="center"/>
              <w:rPr>
                <w:rFonts w:ascii="宋体" w:hAnsi="宋体" w:eastAsia="宋体" w:cs="宋体"/>
                <w:spacing w:val="8"/>
                <w:szCs w:val="21"/>
                <w:shd w:val="clear" w:color="auto" w:fill="FFFFFF"/>
              </w:rPr>
            </w:pPr>
            <w:r>
              <w:rPr>
                <w:rFonts w:hint="eastAsia" w:ascii="宋体" w:hAnsi="宋体" w:eastAsia="宋体" w:cs="宋体"/>
                <w:kern w:val="0"/>
                <w:szCs w:val="21"/>
              </w:rPr>
              <w:t>资金管理（</w:t>
            </w:r>
            <w:r>
              <w:rPr>
                <w:rFonts w:hint="eastAsia" w:ascii="宋体" w:hAnsi="宋体" w:cs="宋体"/>
                <w:kern w:val="0"/>
                <w:szCs w:val="21"/>
              </w:rPr>
              <w:t>9</w:t>
            </w:r>
            <w:r>
              <w:rPr>
                <w:rFonts w:hint="eastAsia" w:ascii="宋体" w:hAnsi="宋体" w:eastAsia="宋体" w:cs="宋体"/>
                <w:kern w:val="0"/>
                <w:szCs w:val="21"/>
              </w:rPr>
              <w:t>分）</w:t>
            </w:r>
          </w:p>
        </w:tc>
        <w:tc>
          <w:tcPr>
            <w:tcW w:w="1269" w:type="dxa"/>
            <w:vAlign w:val="center"/>
          </w:tcPr>
          <w:p>
            <w:pPr>
              <w:widowControl/>
              <w:jc w:val="center"/>
              <w:rPr>
                <w:rFonts w:ascii="宋体" w:hAnsi="宋体" w:cs="宋体"/>
                <w:kern w:val="0"/>
                <w:szCs w:val="21"/>
              </w:rPr>
            </w:pPr>
            <w:r>
              <w:rPr>
                <w:rFonts w:hint="eastAsia" w:ascii="宋体" w:hAnsi="宋体" w:cs="宋体"/>
                <w:kern w:val="0"/>
                <w:szCs w:val="21"/>
              </w:rPr>
              <w:t>资金</w:t>
            </w:r>
          </w:p>
          <w:p>
            <w:pPr>
              <w:widowControl/>
              <w:jc w:val="center"/>
              <w:rPr>
                <w:rFonts w:ascii="宋体" w:hAnsi="宋体" w:cs="宋体"/>
                <w:kern w:val="0"/>
                <w:szCs w:val="21"/>
              </w:rPr>
            </w:pPr>
            <w:r>
              <w:rPr>
                <w:rFonts w:hint="eastAsia" w:ascii="宋体" w:hAnsi="宋体" w:cs="宋体"/>
                <w:kern w:val="0"/>
                <w:szCs w:val="21"/>
              </w:rPr>
              <w:t>到位率</w:t>
            </w:r>
          </w:p>
          <w:p>
            <w:pPr>
              <w:widowControl/>
              <w:jc w:val="center"/>
              <w:rPr>
                <w:rFonts w:ascii="宋体" w:hAnsi="宋体" w:eastAsia="宋体" w:cs="宋体"/>
                <w:spacing w:val="8"/>
                <w:szCs w:val="21"/>
                <w:shd w:val="clear" w:color="auto" w:fill="FFFFFF"/>
              </w:rPr>
            </w:pPr>
            <w:r>
              <w:rPr>
                <w:rFonts w:hint="eastAsia" w:ascii="宋体" w:hAnsi="宋体" w:cs="宋体"/>
                <w:kern w:val="0"/>
                <w:szCs w:val="21"/>
              </w:rPr>
              <w:t>（2分）</w:t>
            </w:r>
          </w:p>
        </w:tc>
        <w:tc>
          <w:tcPr>
            <w:tcW w:w="5415" w:type="dxa"/>
            <w:vAlign w:val="center"/>
          </w:tcPr>
          <w:p>
            <w:pPr>
              <w:widowControl/>
              <w:jc w:val="left"/>
              <w:rPr>
                <w:rFonts w:ascii="宋体" w:hAnsi="宋体" w:cs="宋体"/>
                <w:kern w:val="0"/>
                <w:szCs w:val="21"/>
              </w:rPr>
            </w:pPr>
            <w:r>
              <w:rPr>
                <w:rFonts w:hint="eastAsia" w:ascii="宋体" w:hAnsi="宋体" w:cs="宋体"/>
                <w:kern w:val="0"/>
                <w:szCs w:val="21"/>
              </w:rPr>
              <w:t>资金到位率=(实际到位资金/预算资金)×100%</w:t>
            </w:r>
          </w:p>
          <w:p>
            <w:pPr>
              <w:widowControl/>
              <w:jc w:val="left"/>
              <w:rPr>
                <w:rFonts w:ascii="宋体" w:hAnsi="宋体" w:cs="宋体"/>
                <w:kern w:val="0"/>
                <w:szCs w:val="21"/>
              </w:rPr>
            </w:pPr>
            <w:r>
              <w:rPr>
                <w:rFonts w:hint="eastAsia" w:ascii="宋体" w:hAnsi="宋体" w:cs="宋体"/>
                <w:kern w:val="0"/>
                <w:szCs w:val="21"/>
              </w:rPr>
              <w:t>实际到位资金：一定时期(本年度或项目期)内落实到具体项目的资金</w:t>
            </w:r>
          </w:p>
          <w:p>
            <w:pPr>
              <w:widowControl/>
              <w:jc w:val="left"/>
              <w:rPr>
                <w:rFonts w:ascii="宋体" w:hAnsi="宋体" w:eastAsia="宋体" w:cs="宋体"/>
                <w:spacing w:val="8"/>
                <w:szCs w:val="21"/>
              </w:rPr>
            </w:pPr>
            <w:r>
              <w:rPr>
                <w:rFonts w:hint="eastAsia" w:ascii="宋体" w:hAnsi="宋体" w:cs="宋体"/>
                <w:kern w:val="0"/>
                <w:szCs w:val="21"/>
              </w:rPr>
              <w:t>预算资金：一定时期(本年度或项目期)内预算安排到具体项目的资金</w:t>
            </w:r>
          </w:p>
        </w:tc>
        <w:tc>
          <w:tcPr>
            <w:tcW w:w="817" w:type="dxa"/>
            <w:vAlign w:val="center"/>
          </w:tcPr>
          <w:p>
            <w:pPr>
              <w:pStyle w:val="11"/>
              <w:widowControl/>
              <w:wordWrap w:val="0"/>
              <w:spacing w:beforeAutospacing="0" w:afterAutospacing="0"/>
              <w:jc w:val="center"/>
              <w:rPr>
                <w:rFonts w:ascii="宋体" w:hAnsi="宋体" w:eastAsia="宋体" w:cs="宋体"/>
                <w:spacing w:val="8"/>
                <w:sz w:val="21"/>
                <w:szCs w:val="21"/>
              </w:rPr>
            </w:pPr>
            <w:r>
              <w:rPr>
                <w:rFonts w:hint="eastAsia" w:ascii="宋体" w:hAnsi="宋体" w:eastAsia="宋体" w:cs="宋体"/>
                <w:spacing w:val="8"/>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90" w:hRule="atLeast"/>
        </w:trPr>
        <w:tc>
          <w:tcPr>
            <w:tcW w:w="699" w:type="dxa"/>
            <w:vMerge w:val="continue"/>
          </w:tcPr>
          <w:p>
            <w:pPr>
              <w:jc w:val="center"/>
              <w:rPr>
                <w:rFonts w:ascii="宋体" w:hAnsi="宋体" w:eastAsia="宋体" w:cs="宋体"/>
                <w:b/>
                <w:bCs/>
                <w:color w:val="000000"/>
                <w:sz w:val="24"/>
                <w:szCs w:val="22"/>
              </w:rPr>
            </w:pPr>
          </w:p>
        </w:tc>
        <w:tc>
          <w:tcPr>
            <w:tcW w:w="804" w:type="dxa"/>
            <w:vMerge w:val="continue"/>
            <w:vAlign w:val="center"/>
          </w:tcPr>
          <w:p>
            <w:pPr>
              <w:widowControl/>
              <w:snapToGrid w:val="0"/>
              <w:jc w:val="center"/>
              <w:rPr>
                <w:rFonts w:ascii="宋体" w:hAnsi="宋体" w:eastAsia="宋体" w:cs="宋体"/>
                <w:spacing w:val="8"/>
                <w:szCs w:val="21"/>
                <w:shd w:val="clear" w:color="auto" w:fill="FFFFFF"/>
              </w:rPr>
            </w:pPr>
          </w:p>
        </w:tc>
        <w:tc>
          <w:tcPr>
            <w:tcW w:w="1269" w:type="dxa"/>
            <w:vAlign w:val="center"/>
          </w:tcPr>
          <w:p>
            <w:pPr>
              <w:widowControl/>
              <w:jc w:val="center"/>
              <w:rPr>
                <w:rFonts w:ascii="宋体" w:hAnsi="宋体" w:cs="宋体"/>
                <w:kern w:val="0"/>
                <w:szCs w:val="21"/>
              </w:rPr>
            </w:pPr>
            <w:r>
              <w:rPr>
                <w:rFonts w:hint="eastAsia" w:ascii="宋体" w:hAnsi="宋体" w:cs="宋体"/>
                <w:kern w:val="0"/>
                <w:szCs w:val="21"/>
              </w:rPr>
              <w:t>预算</w:t>
            </w:r>
          </w:p>
          <w:p>
            <w:pPr>
              <w:widowControl/>
              <w:jc w:val="center"/>
              <w:rPr>
                <w:rFonts w:ascii="宋体" w:hAnsi="宋体" w:cs="宋体"/>
                <w:kern w:val="0"/>
                <w:szCs w:val="21"/>
              </w:rPr>
            </w:pPr>
            <w:r>
              <w:rPr>
                <w:rFonts w:hint="eastAsia" w:ascii="宋体" w:hAnsi="宋体" w:cs="宋体"/>
                <w:kern w:val="0"/>
                <w:szCs w:val="21"/>
              </w:rPr>
              <w:t>执行率</w:t>
            </w:r>
          </w:p>
          <w:p>
            <w:pPr>
              <w:widowControl/>
              <w:jc w:val="center"/>
              <w:rPr>
                <w:rFonts w:ascii="宋体" w:hAnsi="宋体" w:eastAsia="宋体" w:cs="宋体"/>
                <w:spacing w:val="8"/>
                <w:szCs w:val="21"/>
                <w:shd w:val="clear" w:color="auto" w:fill="FFFFFF"/>
              </w:rPr>
            </w:pPr>
            <w:r>
              <w:rPr>
                <w:rFonts w:hint="eastAsia" w:ascii="宋体" w:hAnsi="宋体" w:eastAsia="宋体" w:cs="宋体"/>
                <w:kern w:val="0"/>
                <w:szCs w:val="21"/>
              </w:rPr>
              <w:t>（</w:t>
            </w:r>
            <w:r>
              <w:rPr>
                <w:rFonts w:hint="eastAsia" w:ascii="宋体" w:hAnsi="宋体" w:cs="宋体"/>
                <w:kern w:val="0"/>
                <w:szCs w:val="21"/>
              </w:rPr>
              <w:t>3</w:t>
            </w:r>
            <w:r>
              <w:rPr>
                <w:rFonts w:hint="eastAsia" w:ascii="宋体" w:hAnsi="宋体" w:eastAsia="宋体" w:cs="宋体"/>
                <w:kern w:val="0"/>
                <w:szCs w:val="21"/>
              </w:rPr>
              <w:t>分）</w:t>
            </w:r>
          </w:p>
        </w:tc>
        <w:tc>
          <w:tcPr>
            <w:tcW w:w="5415" w:type="dxa"/>
            <w:vAlign w:val="center"/>
          </w:tcPr>
          <w:p>
            <w:pPr>
              <w:widowControl/>
              <w:jc w:val="left"/>
              <w:rPr>
                <w:rFonts w:ascii="宋体" w:hAnsi="宋体" w:cs="宋体"/>
                <w:kern w:val="0"/>
                <w:szCs w:val="21"/>
              </w:rPr>
            </w:pPr>
            <w:r>
              <w:rPr>
                <w:rFonts w:hint="eastAsia" w:ascii="宋体" w:hAnsi="宋体" w:cs="宋体"/>
                <w:kern w:val="0"/>
                <w:szCs w:val="21"/>
              </w:rPr>
              <w:t>预算执行率=(实际支出资金/预算资金)×100%</w:t>
            </w:r>
          </w:p>
          <w:p>
            <w:pPr>
              <w:widowControl/>
              <w:jc w:val="left"/>
              <w:rPr>
                <w:rFonts w:ascii="宋体" w:hAnsi="宋体" w:cs="宋体"/>
                <w:kern w:val="0"/>
                <w:szCs w:val="21"/>
              </w:rPr>
            </w:pPr>
            <w:r>
              <w:rPr>
                <w:rFonts w:hint="eastAsia" w:ascii="宋体" w:hAnsi="宋体" w:cs="宋体"/>
                <w:kern w:val="0"/>
                <w:szCs w:val="21"/>
              </w:rPr>
              <w:t>实际支出资金：一定时期(本年度或项目期)内项目实际拨付的资金。</w:t>
            </w:r>
          </w:p>
          <w:p>
            <w:pPr>
              <w:widowControl/>
              <w:jc w:val="left"/>
              <w:rPr>
                <w:rFonts w:ascii="宋体" w:hAnsi="宋体" w:eastAsia="宋体" w:cs="宋体"/>
                <w:spacing w:val="8"/>
                <w:szCs w:val="21"/>
              </w:rPr>
            </w:pPr>
            <w:r>
              <w:rPr>
                <w:rFonts w:hint="eastAsia" w:ascii="宋体" w:hAnsi="宋体" w:eastAsia="宋体" w:cs="宋体"/>
                <w:kern w:val="0"/>
                <w:szCs w:val="21"/>
              </w:rPr>
              <w:t>预算执行率100%，得满分；每降低5个百分点，扣1分，扣完为止。</w:t>
            </w:r>
          </w:p>
        </w:tc>
        <w:tc>
          <w:tcPr>
            <w:tcW w:w="817" w:type="dxa"/>
            <w:vAlign w:val="center"/>
          </w:tcPr>
          <w:p>
            <w:pPr>
              <w:pStyle w:val="11"/>
              <w:widowControl/>
              <w:wordWrap w:val="0"/>
              <w:spacing w:beforeAutospacing="0" w:afterAutospacing="0"/>
              <w:jc w:val="center"/>
              <w:rPr>
                <w:rFonts w:ascii="宋体" w:hAnsi="宋体" w:eastAsia="宋体" w:cs="宋体"/>
                <w:spacing w:val="8"/>
                <w:sz w:val="21"/>
                <w:szCs w:val="21"/>
              </w:rPr>
            </w:pPr>
            <w:r>
              <w:rPr>
                <w:rFonts w:hint="eastAsia" w:ascii="宋体" w:hAnsi="宋体" w:eastAsia="宋体" w:cs="宋体"/>
                <w:spacing w:val="8"/>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trPr>
        <w:tc>
          <w:tcPr>
            <w:tcW w:w="699" w:type="dxa"/>
            <w:vMerge w:val="continue"/>
          </w:tcPr>
          <w:p>
            <w:pPr>
              <w:jc w:val="center"/>
              <w:rPr>
                <w:rFonts w:ascii="宋体" w:hAnsi="宋体" w:eastAsia="宋体" w:cs="宋体"/>
                <w:b/>
                <w:bCs/>
                <w:color w:val="000000"/>
                <w:sz w:val="24"/>
                <w:szCs w:val="22"/>
              </w:rPr>
            </w:pPr>
          </w:p>
        </w:tc>
        <w:tc>
          <w:tcPr>
            <w:tcW w:w="804" w:type="dxa"/>
            <w:vMerge w:val="continue"/>
            <w:vAlign w:val="center"/>
          </w:tcPr>
          <w:p>
            <w:pPr>
              <w:widowControl/>
              <w:snapToGrid w:val="0"/>
              <w:jc w:val="center"/>
              <w:rPr>
                <w:rFonts w:ascii="宋体" w:hAnsi="宋体" w:eastAsia="宋体" w:cs="宋体"/>
                <w:spacing w:val="8"/>
                <w:szCs w:val="21"/>
                <w:shd w:val="clear" w:color="auto" w:fill="FFFFFF"/>
              </w:rPr>
            </w:pPr>
          </w:p>
        </w:tc>
        <w:tc>
          <w:tcPr>
            <w:tcW w:w="1269" w:type="dxa"/>
            <w:vAlign w:val="center"/>
          </w:tcPr>
          <w:p>
            <w:pPr>
              <w:widowControl/>
              <w:snapToGrid w:val="0"/>
              <w:jc w:val="center"/>
              <w:rPr>
                <w:rFonts w:ascii="宋体" w:hAnsi="宋体" w:eastAsia="宋体" w:cs="宋体"/>
                <w:kern w:val="0"/>
                <w:szCs w:val="21"/>
              </w:rPr>
            </w:pPr>
            <w:r>
              <w:rPr>
                <w:rFonts w:hint="eastAsia" w:ascii="宋体" w:hAnsi="宋体" w:eastAsia="宋体" w:cs="宋体"/>
                <w:kern w:val="0"/>
                <w:szCs w:val="21"/>
              </w:rPr>
              <w:t>资金使用</w:t>
            </w:r>
          </w:p>
          <w:p>
            <w:pPr>
              <w:widowControl/>
              <w:snapToGrid w:val="0"/>
              <w:jc w:val="center"/>
              <w:rPr>
                <w:rFonts w:ascii="宋体" w:hAnsi="宋体" w:eastAsia="宋体" w:cs="宋体"/>
                <w:kern w:val="0"/>
                <w:szCs w:val="21"/>
              </w:rPr>
            </w:pPr>
            <w:r>
              <w:rPr>
                <w:rFonts w:hint="eastAsia" w:ascii="宋体" w:hAnsi="宋体" w:eastAsia="宋体" w:cs="宋体"/>
                <w:kern w:val="0"/>
                <w:szCs w:val="21"/>
              </w:rPr>
              <w:t>合规性</w:t>
            </w:r>
          </w:p>
          <w:p>
            <w:pPr>
              <w:widowControl/>
              <w:snapToGrid w:val="0"/>
              <w:jc w:val="center"/>
              <w:rPr>
                <w:rFonts w:ascii="宋体" w:hAnsi="宋体" w:eastAsia="宋体" w:cs="宋体"/>
                <w:kern w:val="0"/>
                <w:szCs w:val="21"/>
              </w:rPr>
            </w:pPr>
            <w:r>
              <w:rPr>
                <w:rFonts w:hint="eastAsia" w:ascii="宋体" w:hAnsi="宋体" w:eastAsia="宋体" w:cs="宋体"/>
                <w:kern w:val="0"/>
                <w:szCs w:val="21"/>
              </w:rPr>
              <w:t>（4分）</w:t>
            </w:r>
          </w:p>
          <w:p>
            <w:pPr>
              <w:widowControl/>
              <w:snapToGrid w:val="0"/>
              <w:jc w:val="center"/>
              <w:rPr>
                <w:rFonts w:ascii="宋体" w:hAnsi="宋体" w:eastAsia="宋体" w:cs="宋体"/>
                <w:spacing w:val="8"/>
                <w:szCs w:val="21"/>
                <w:shd w:val="clear" w:color="auto" w:fill="FFFFFF"/>
              </w:rPr>
            </w:pPr>
          </w:p>
        </w:tc>
        <w:tc>
          <w:tcPr>
            <w:tcW w:w="5415" w:type="dxa"/>
            <w:vAlign w:val="center"/>
          </w:tcPr>
          <w:p>
            <w:pPr>
              <w:widowControl/>
              <w:snapToGrid w:val="0"/>
              <w:rPr>
                <w:rFonts w:ascii="宋体" w:hAnsi="宋体" w:eastAsia="宋体" w:cs="宋体"/>
                <w:kern w:val="0"/>
                <w:szCs w:val="21"/>
              </w:rPr>
            </w:pPr>
            <w:r>
              <w:rPr>
                <w:rFonts w:hint="eastAsia" w:ascii="宋体" w:hAnsi="宋体" w:eastAsia="宋体" w:cs="宋体"/>
                <w:kern w:val="0"/>
                <w:szCs w:val="21"/>
              </w:rPr>
              <w:t>①符合国家财经法规和财务管理制度规定以及有关部门资金管理办法的规定；</w:t>
            </w:r>
          </w:p>
          <w:p>
            <w:pPr>
              <w:widowControl/>
              <w:snapToGrid w:val="0"/>
              <w:rPr>
                <w:rFonts w:ascii="宋体" w:hAnsi="宋体" w:eastAsia="宋体" w:cs="宋体"/>
                <w:kern w:val="0"/>
                <w:szCs w:val="21"/>
              </w:rPr>
            </w:pPr>
            <w:r>
              <w:rPr>
                <w:rFonts w:hint="eastAsia" w:ascii="宋体" w:hAnsi="宋体" w:eastAsia="宋体" w:cs="宋体"/>
                <w:kern w:val="0"/>
                <w:szCs w:val="21"/>
              </w:rPr>
              <w:t>②资金拨付有完整的审批程序和手续；</w:t>
            </w:r>
          </w:p>
          <w:p>
            <w:pPr>
              <w:widowControl/>
              <w:snapToGrid w:val="0"/>
              <w:rPr>
                <w:rFonts w:ascii="宋体" w:hAnsi="宋体" w:eastAsia="宋体" w:cs="宋体"/>
                <w:kern w:val="0"/>
                <w:szCs w:val="21"/>
              </w:rPr>
            </w:pPr>
            <w:r>
              <w:rPr>
                <w:rFonts w:hint="eastAsia" w:ascii="宋体" w:hAnsi="宋体" w:eastAsia="宋体" w:cs="宋体"/>
                <w:kern w:val="0"/>
                <w:szCs w:val="21"/>
              </w:rPr>
              <w:t>③支出符合部门预算批复的用途；</w:t>
            </w:r>
          </w:p>
          <w:p>
            <w:pPr>
              <w:widowControl/>
              <w:snapToGrid w:val="0"/>
              <w:rPr>
                <w:rFonts w:ascii="宋体" w:hAnsi="宋体" w:eastAsia="宋体" w:cs="宋体"/>
                <w:kern w:val="0"/>
                <w:szCs w:val="21"/>
              </w:rPr>
            </w:pPr>
            <w:r>
              <w:rPr>
                <w:rFonts w:hint="eastAsia" w:ascii="宋体" w:hAnsi="宋体" w:eastAsia="宋体" w:cs="宋体"/>
                <w:kern w:val="0"/>
                <w:szCs w:val="21"/>
              </w:rPr>
              <w:t>④资金使用无截留、挤占、挪用、虚列支出等情况。</w:t>
            </w:r>
          </w:p>
          <w:p>
            <w:pPr>
              <w:widowControl/>
              <w:snapToGrid w:val="0"/>
              <w:rPr>
                <w:rFonts w:ascii="宋体" w:hAnsi="宋体" w:eastAsia="宋体" w:cs="宋体"/>
                <w:spacing w:val="8"/>
                <w:szCs w:val="21"/>
              </w:rPr>
            </w:pPr>
            <w:r>
              <w:rPr>
                <w:rFonts w:hint="eastAsia" w:ascii="宋体" w:hAnsi="宋体" w:eastAsia="宋体" w:cs="宋体"/>
                <w:kern w:val="0"/>
                <w:szCs w:val="21"/>
              </w:rPr>
              <w:t>以上四项都符合得满分；一项不符合扣1分。</w:t>
            </w:r>
          </w:p>
        </w:tc>
        <w:tc>
          <w:tcPr>
            <w:tcW w:w="817" w:type="dxa"/>
            <w:vAlign w:val="center"/>
          </w:tcPr>
          <w:p>
            <w:pPr>
              <w:pStyle w:val="11"/>
              <w:widowControl/>
              <w:wordWrap w:val="0"/>
              <w:spacing w:beforeAutospacing="0" w:afterAutospacing="0"/>
              <w:jc w:val="center"/>
              <w:rPr>
                <w:rFonts w:ascii="宋体" w:hAnsi="宋体" w:eastAsia="宋体" w:cs="宋体"/>
                <w:spacing w:val="8"/>
                <w:sz w:val="21"/>
                <w:szCs w:val="21"/>
              </w:rPr>
            </w:pPr>
            <w:r>
              <w:rPr>
                <w:rFonts w:hint="eastAsia" w:ascii="宋体" w:hAnsi="宋体" w:eastAsia="宋体" w:cs="宋体"/>
                <w:spacing w:val="8"/>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699" w:type="dxa"/>
            <w:vMerge w:val="continue"/>
          </w:tcPr>
          <w:p>
            <w:pPr>
              <w:jc w:val="center"/>
              <w:rPr>
                <w:rFonts w:ascii="宋体" w:hAnsi="宋体" w:eastAsia="宋体" w:cs="宋体"/>
                <w:b/>
                <w:bCs/>
                <w:color w:val="000000"/>
                <w:sz w:val="24"/>
                <w:szCs w:val="22"/>
              </w:rPr>
            </w:pPr>
          </w:p>
        </w:tc>
        <w:tc>
          <w:tcPr>
            <w:tcW w:w="804" w:type="dxa"/>
            <w:vMerge w:val="restart"/>
            <w:vAlign w:val="center"/>
          </w:tcPr>
          <w:p>
            <w:pPr>
              <w:widowControl/>
              <w:snapToGrid w:val="0"/>
              <w:jc w:val="center"/>
              <w:rPr>
                <w:rFonts w:ascii="宋体" w:hAnsi="宋体" w:eastAsia="宋体" w:cs="宋体"/>
                <w:spacing w:val="8"/>
                <w:szCs w:val="21"/>
                <w:shd w:val="clear" w:color="auto" w:fill="FFFFFF"/>
              </w:rPr>
            </w:pPr>
            <w:r>
              <w:rPr>
                <w:rFonts w:hint="eastAsia" w:ascii="宋体" w:hAnsi="宋体" w:eastAsia="宋体" w:cs="宋体"/>
                <w:kern w:val="0"/>
                <w:szCs w:val="21"/>
              </w:rPr>
              <w:t>组织实施（5分）</w:t>
            </w:r>
          </w:p>
        </w:tc>
        <w:tc>
          <w:tcPr>
            <w:tcW w:w="1269" w:type="dxa"/>
            <w:vAlign w:val="center"/>
          </w:tcPr>
          <w:p>
            <w:pPr>
              <w:widowControl/>
              <w:snapToGrid w:val="0"/>
              <w:jc w:val="center"/>
              <w:rPr>
                <w:rFonts w:ascii="宋体" w:hAnsi="宋体" w:eastAsia="宋体" w:cs="宋体"/>
                <w:kern w:val="0"/>
                <w:szCs w:val="21"/>
              </w:rPr>
            </w:pPr>
            <w:r>
              <w:rPr>
                <w:rFonts w:hint="eastAsia" w:ascii="宋体" w:hAnsi="宋体" w:eastAsia="宋体" w:cs="宋体"/>
                <w:kern w:val="0"/>
                <w:szCs w:val="21"/>
              </w:rPr>
              <w:t>管理制度</w:t>
            </w:r>
          </w:p>
          <w:p>
            <w:pPr>
              <w:widowControl/>
              <w:snapToGrid w:val="0"/>
              <w:jc w:val="center"/>
              <w:rPr>
                <w:rFonts w:ascii="宋体" w:hAnsi="宋体" w:eastAsia="宋体" w:cs="宋体"/>
                <w:kern w:val="0"/>
                <w:szCs w:val="21"/>
              </w:rPr>
            </w:pPr>
            <w:r>
              <w:rPr>
                <w:rFonts w:hint="eastAsia" w:ascii="宋体" w:hAnsi="宋体" w:eastAsia="宋体" w:cs="宋体"/>
                <w:kern w:val="0"/>
                <w:szCs w:val="21"/>
              </w:rPr>
              <w:t>健全性</w:t>
            </w:r>
          </w:p>
          <w:p>
            <w:pPr>
              <w:widowControl/>
              <w:snapToGrid w:val="0"/>
              <w:jc w:val="center"/>
              <w:rPr>
                <w:rFonts w:ascii="宋体" w:hAnsi="宋体" w:eastAsia="宋体" w:cs="宋体"/>
                <w:spacing w:val="8"/>
                <w:szCs w:val="21"/>
                <w:shd w:val="clear" w:color="auto" w:fill="FFFFFF"/>
              </w:rPr>
            </w:pPr>
            <w:r>
              <w:rPr>
                <w:rFonts w:hint="eastAsia" w:ascii="宋体" w:hAnsi="宋体" w:eastAsia="宋体" w:cs="宋体"/>
                <w:kern w:val="0"/>
                <w:szCs w:val="21"/>
              </w:rPr>
              <w:t>（2分）</w:t>
            </w:r>
          </w:p>
        </w:tc>
        <w:tc>
          <w:tcPr>
            <w:tcW w:w="5415" w:type="dxa"/>
            <w:vAlign w:val="center"/>
          </w:tcPr>
          <w:p>
            <w:pPr>
              <w:widowControl/>
              <w:snapToGrid w:val="0"/>
              <w:rPr>
                <w:rFonts w:ascii="宋体" w:hAnsi="宋体" w:eastAsia="宋体" w:cs="宋体"/>
                <w:kern w:val="0"/>
                <w:szCs w:val="21"/>
              </w:rPr>
            </w:pPr>
            <w:r>
              <w:rPr>
                <w:rFonts w:hint="eastAsia" w:ascii="宋体" w:hAnsi="宋体" w:eastAsia="宋体" w:cs="宋体"/>
                <w:kern w:val="0"/>
                <w:szCs w:val="21"/>
              </w:rPr>
              <w:t>①是否已制定完善的预算资金管理办法、内部财务管理制度、会计核算制度等管理制度；</w:t>
            </w:r>
          </w:p>
          <w:p>
            <w:pPr>
              <w:widowControl/>
              <w:snapToGrid w:val="0"/>
              <w:rPr>
                <w:rFonts w:ascii="宋体" w:hAnsi="宋体" w:eastAsia="宋体" w:cs="宋体"/>
                <w:kern w:val="0"/>
                <w:szCs w:val="21"/>
              </w:rPr>
            </w:pPr>
            <w:r>
              <w:rPr>
                <w:rFonts w:hint="eastAsia" w:ascii="宋体" w:hAnsi="宋体" w:eastAsia="宋体" w:cs="宋体"/>
                <w:kern w:val="0"/>
                <w:szCs w:val="21"/>
              </w:rPr>
              <w:t>②相关管理制度是否得到有效执行。</w:t>
            </w:r>
          </w:p>
          <w:p>
            <w:pPr>
              <w:widowControl/>
              <w:snapToGrid w:val="0"/>
              <w:rPr>
                <w:rFonts w:ascii="宋体" w:hAnsi="宋体" w:eastAsia="宋体" w:cs="宋体"/>
                <w:spacing w:val="8"/>
                <w:szCs w:val="21"/>
              </w:rPr>
            </w:pPr>
            <w:r>
              <w:rPr>
                <w:rFonts w:hint="eastAsia" w:ascii="宋体" w:hAnsi="宋体" w:eastAsia="宋体" w:cs="宋体"/>
                <w:kern w:val="0"/>
                <w:szCs w:val="21"/>
              </w:rPr>
              <w:t>以上两项都符合得满分；一项不符合扣1分。</w:t>
            </w:r>
          </w:p>
        </w:tc>
        <w:tc>
          <w:tcPr>
            <w:tcW w:w="817" w:type="dxa"/>
            <w:vAlign w:val="center"/>
          </w:tcPr>
          <w:p>
            <w:pPr>
              <w:pStyle w:val="11"/>
              <w:widowControl/>
              <w:wordWrap w:val="0"/>
              <w:spacing w:beforeAutospacing="0" w:afterAutospacing="0"/>
              <w:jc w:val="center"/>
              <w:rPr>
                <w:rFonts w:ascii="宋体" w:hAnsi="宋体" w:eastAsia="宋体" w:cs="宋体"/>
                <w:spacing w:val="8"/>
                <w:sz w:val="21"/>
                <w:szCs w:val="21"/>
              </w:rPr>
            </w:pPr>
            <w:r>
              <w:rPr>
                <w:rFonts w:hint="eastAsia" w:ascii="宋体" w:hAnsi="宋体" w:eastAsia="宋体" w:cs="宋体"/>
                <w:spacing w:val="8"/>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7" w:hRule="atLeast"/>
        </w:trPr>
        <w:tc>
          <w:tcPr>
            <w:tcW w:w="699" w:type="dxa"/>
            <w:vMerge w:val="continue"/>
          </w:tcPr>
          <w:p>
            <w:pPr>
              <w:jc w:val="center"/>
              <w:rPr>
                <w:rFonts w:ascii="宋体" w:hAnsi="宋体" w:eastAsia="宋体" w:cs="宋体"/>
                <w:b/>
                <w:bCs/>
                <w:color w:val="000000"/>
                <w:sz w:val="24"/>
                <w:szCs w:val="22"/>
              </w:rPr>
            </w:pPr>
          </w:p>
        </w:tc>
        <w:tc>
          <w:tcPr>
            <w:tcW w:w="804" w:type="dxa"/>
            <w:vMerge w:val="continue"/>
            <w:vAlign w:val="center"/>
          </w:tcPr>
          <w:p>
            <w:pPr>
              <w:widowControl/>
              <w:snapToGrid w:val="0"/>
              <w:jc w:val="center"/>
              <w:rPr>
                <w:rFonts w:ascii="宋体" w:hAnsi="宋体" w:eastAsia="宋体" w:cs="宋体"/>
                <w:b/>
                <w:bCs/>
                <w:sz w:val="24"/>
                <w:szCs w:val="22"/>
              </w:rPr>
            </w:pPr>
          </w:p>
        </w:tc>
        <w:tc>
          <w:tcPr>
            <w:tcW w:w="126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制度执行</w:t>
            </w:r>
          </w:p>
          <w:p>
            <w:pPr>
              <w:widowControl/>
              <w:jc w:val="center"/>
              <w:rPr>
                <w:rFonts w:ascii="宋体" w:hAnsi="宋体" w:eastAsia="宋体" w:cs="宋体"/>
                <w:kern w:val="0"/>
                <w:szCs w:val="21"/>
              </w:rPr>
            </w:pPr>
            <w:r>
              <w:rPr>
                <w:rFonts w:hint="eastAsia" w:ascii="宋体" w:hAnsi="宋体" w:eastAsia="宋体" w:cs="宋体"/>
                <w:kern w:val="0"/>
                <w:szCs w:val="21"/>
              </w:rPr>
              <w:t>有效性</w:t>
            </w:r>
          </w:p>
          <w:p>
            <w:pPr>
              <w:widowControl/>
              <w:jc w:val="center"/>
              <w:rPr>
                <w:rFonts w:ascii="宋体" w:hAnsi="宋体" w:eastAsia="宋体" w:cs="宋体"/>
                <w:spacing w:val="8"/>
                <w:szCs w:val="21"/>
                <w:shd w:val="clear" w:color="auto" w:fill="FFFFFF"/>
              </w:rPr>
            </w:pPr>
            <w:r>
              <w:rPr>
                <w:rFonts w:hint="eastAsia" w:ascii="宋体" w:hAnsi="宋体" w:eastAsia="宋体" w:cs="宋体"/>
                <w:kern w:val="0"/>
                <w:szCs w:val="21"/>
              </w:rPr>
              <w:t>（3分）</w:t>
            </w:r>
          </w:p>
        </w:tc>
        <w:tc>
          <w:tcPr>
            <w:tcW w:w="5415" w:type="dxa"/>
            <w:vAlign w:val="center"/>
          </w:tcPr>
          <w:p>
            <w:pPr>
              <w:rPr>
                <w:rFonts w:ascii="宋体" w:hAnsi="宋体" w:eastAsia="宋体" w:cs="宋体"/>
                <w:kern w:val="0"/>
                <w:szCs w:val="21"/>
              </w:rPr>
            </w:pPr>
            <w:r>
              <w:rPr>
                <w:rFonts w:hint="eastAsia" w:ascii="宋体" w:hAnsi="宋体" w:eastAsia="宋体" w:cs="宋体"/>
                <w:kern w:val="0"/>
                <w:szCs w:val="21"/>
              </w:rPr>
              <w:t>①是否遵守相关法律法规和相关管理规定；</w:t>
            </w:r>
          </w:p>
          <w:p>
            <w:pPr>
              <w:rPr>
                <w:rFonts w:ascii="宋体" w:hAnsi="宋体" w:eastAsia="宋体" w:cs="宋体"/>
                <w:kern w:val="0"/>
                <w:szCs w:val="21"/>
              </w:rPr>
            </w:pPr>
            <w:r>
              <w:rPr>
                <w:rFonts w:hint="eastAsia" w:ascii="宋体" w:hAnsi="宋体" w:eastAsia="宋体" w:cs="宋体"/>
                <w:kern w:val="0"/>
                <w:szCs w:val="21"/>
              </w:rPr>
              <w:t>②项目合同书、验收报告、技术鉴定等资料是否齐全并及时归档；</w:t>
            </w:r>
          </w:p>
          <w:p>
            <w:pPr>
              <w:rPr>
                <w:rFonts w:ascii="宋体" w:hAnsi="宋体" w:eastAsia="宋体" w:cs="宋体"/>
                <w:kern w:val="0"/>
                <w:szCs w:val="21"/>
              </w:rPr>
            </w:pPr>
            <w:r>
              <w:rPr>
                <w:rFonts w:hint="eastAsia" w:ascii="宋体" w:hAnsi="宋体" w:eastAsia="宋体" w:cs="宋体"/>
                <w:kern w:val="0"/>
                <w:szCs w:val="21"/>
              </w:rPr>
              <w:t>③项目实施的人员条件、场地设备、信息支撑等是否落实到位。</w:t>
            </w:r>
          </w:p>
          <w:p>
            <w:pPr>
              <w:widowControl/>
              <w:jc w:val="left"/>
              <w:rPr>
                <w:rFonts w:ascii="宋体" w:hAnsi="宋体" w:eastAsia="宋体" w:cs="宋体"/>
                <w:spacing w:val="8"/>
                <w:szCs w:val="21"/>
              </w:rPr>
            </w:pPr>
            <w:r>
              <w:rPr>
                <w:rFonts w:hint="eastAsia" w:ascii="宋体" w:hAnsi="宋体" w:eastAsia="宋体" w:cs="宋体"/>
                <w:kern w:val="0"/>
                <w:szCs w:val="21"/>
              </w:rPr>
              <w:t>以上</w:t>
            </w:r>
            <w:r>
              <w:rPr>
                <w:rFonts w:hint="eastAsia" w:ascii="宋体" w:hAnsi="宋体" w:cs="宋体"/>
                <w:kern w:val="0"/>
                <w:szCs w:val="21"/>
              </w:rPr>
              <w:t>三</w:t>
            </w:r>
            <w:r>
              <w:rPr>
                <w:rFonts w:hint="eastAsia" w:ascii="宋体" w:hAnsi="宋体" w:eastAsia="宋体" w:cs="宋体"/>
                <w:kern w:val="0"/>
                <w:szCs w:val="21"/>
              </w:rPr>
              <w:t>项都符合得满分一项不符合扣1分。</w:t>
            </w:r>
          </w:p>
        </w:tc>
        <w:tc>
          <w:tcPr>
            <w:tcW w:w="817" w:type="dxa"/>
            <w:vAlign w:val="center"/>
          </w:tcPr>
          <w:p>
            <w:pPr>
              <w:pStyle w:val="11"/>
              <w:widowControl/>
              <w:wordWrap w:val="0"/>
              <w:spacing w:beforeAutospacing="0" w:afterAutospacing="0"/>
              <w:jc w:val="center"/>
              <w:rPr>
                <w:rFonts w:ascii="宋体" w:hAnsi="宋体" w:eastAsia="宋体" w:cs="宋体"/>
                <w:spacing w:val="8"/>
                <w:sz w:val="21"/>
                <w:szCs w:val="21"/>
              </w:rPr>
            </w:pPr>
            <w:r>
              <w:rPr>
                <w:rFonts w:hint="eastAsia" w:ascii="宋体" w:hAnsi="宋体" w:eastAsia="宋体" w:cs="宋体"/>
                <w:spacing w:val="8"/>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699" w:type="dxa"/>
            <w:vMerge w:val="restart"/>
            <w:vAlign w:val="center"/>
          </w:tcPr>
          <w:p>
            <w:pPr>
              <w:jc w:val="center"/>
              <w:rPr>
                <w:rFonts w:ascii="宋体" w:hAnsi="宋体" w:eastAsia="宋体" w:cs="宋体"/>
                <w:b/>
                <w:bCs/>
                <w:color w:val="000000"/>
                <w:sz w:val="24"/>
                <w:szCs w:val="22"/>
              </w:rPr>
            </w:pPr>
            <w:r>
              <w:rPr>
                <w:rFonts w:hint="eastAsia" w:ascii="宋体" w:hAnsi="宋体" w:eastAsia="宋体" w:cs="宋体"/>
                <w:b/>
                <w:bCs/>
                <w:color w:val="000000"/>
                <w:sz w:val="24"/>
                <w:szCs w:val="22"/>
              </w:rPr>
              <w:t>产出</w:t>
            </w:r>
          </w:p>
          <w:p>
            <w:pPr>
              <w:jc w:val="center"/>
              <w:rPr>
                <w:rFonts w:ascii="宋体" w:hAnsi="宋体" w:eastAsia="宋体" w:cs="宋体"/>
                <w:b/>
                <w:bCs/>
                <w:color w:val="000000"/>
                <w:sz w:val="24"/>
                <w:szCs w:val="22"/>
              </w:rPr>
            </w:pPr>
            <w:r>
              <w:rPr>
                <w:rFonts w:hint="eastAsia" w:ascii="宋体" w:hAnsi="宋体" w:eastAsia="宋体" w:cs="宋体"/>
                <w:b/>
                <w:bCs/>
                <w:color w:val="000000"/>
                <w:sz w:val="24"/>
                <w:szCs w:val="22"/>
              </w:rPr>
              <w:t>（23分）</w:t>
            </w:r>
          </w:p>
        </w:tc>
        <w:tc>
          <w:tcPr>
            <w:tcW w:w="804" w:type="dxa"/>
            <w:vMerge w:val="restart"/>
            <w:vAlign w:val="center"/>
          </w:tcPr>
          <w:p>
            <w:pPr>
              <w:widowControl/>
              <w:snapToGrid w:val="0"/>
              <w:jc w:val="center"/>
              <w:rPr>
                <w:rFonts w:ascii="宋体" w:hAnsi="宋体" w:cs="宋体"/>
                <w:kern w:val="0"/>
                <w:szCs w:val="21"/>
              </w:rPr>
            </w:pPr>
            <w:r>
              <w:rPr>
                <w:rFonts w:hint="eastAsia" w:ascii="宋体" w:hAnsi="宋体"/>
              </w:rPr>
              <w:t>产出数量</w:t>
            </w:r>
          </w:p>
          <w:p>
            <w:pPr>
              <w:widowControl/>
              <w:snapToGrid w:val="0"/>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5</w:t>
            </w:r>
            <w:r>
              <w:rPr>
                <w:rFonts w:hint="eastAsia" w:ascii="宋体" w:hAnsi="宋体" w:eastAsia="宋体" w:cs="宋体"/>
                <w:kern w:val="0"/>
                <w:szCs w:val="21"/>
              </w:rPr>
              <w:t>分）</w:t>
            </w:r>
          </w:p>
          <w:p>
            <w:pPr>
              <w:widowControl/>
              <w:snapToGrid w:val="0"/>
              <w:jc w:val="center"/>
              <w:rPr>
                <w:rFonts w:ascii="宋体" w:hAnsi="宋体" w:eastAsia="宋体" w:cs="宋体"/>
                <w:spacing w:val="8"/>
                <w:szCs w:val="21"/>
                <w:shd w:val="clear" w:color="auto" w:fill="FFFFFF"/>
              </w:rPr>
            </w:pPr>
          </w:p>
        </w:tc>
        <w:tc>
          <w:tcPr>
            <w:tcW w:w="1269" w:type="dxa"/>
            <w:vAlign w:val="center"/>
          </w:tcPr>
          <w:p>
            <w:pPr>
              <w:widowControl/>
              <w:snapToGrid w:val="0"/>
              <w:jc w:val="center"/>
              <w:rPr>
                <w:rFonts w:ascii="宋体" w:hAnsi="宋体" w:eastAsia="宋体" w:cs="宋体"/>
                <w:kern w:val="0"/>
                <w:szCs w:val="21"/>
              </w:rPr>
            </w:pPr>
            <w:r>
              <w:rPr>
                <w:rFonts w:hint="eastAsia" w:ascii="宋体" w:hAnsi="宋体" w:eastAsia="宋体" w:cs="宋体"/>
                <w:kern w:val="0"/>
                <w:szCs w:val="21"/>
              </w:rPr>
              <w:t>禁毒品牌社区数</w:t>
            </w:r>
          </w:p>
          <w:p>
            <w:pPr>
              <w:widowControl/>
              <w:snapToGrid w:val="0"/>
              <w:jc w:val="center"/>
              <w:rPr>
                <w:rFonts w:ascii="宋体" w:hAnsi="宋体" w:eastAsia="宋体" w:cs="宋体"/>
                <w:spacing w:val="8"/>
                <w:szCs w:val="21"/>
                <w:shd w:val="clear" w:color="auto" w:fill="FFFFFF"/>
              </w:rPr>
            </w:pPr>
            <w:r>
              <w:rPr>
                <w:rFonts w:hint="eastAsia" w:ascii="宋体" w:hAnsi="宋体" w:eastAsia="宋体" w:cs="宋体"/>
                <w:kern w:val="0"/>
                <w:szCs w:val="21"/>
              </w:rPr>
              <w:t>（3分）</w:t>
            </w:r>
          </w:p>
        </w:tc>
        <w:tc>
          <w:tcPr>
            <w:tcW w:w="5415" w:type="dxa"/>
            <w:vAlign w:val="center"/>
          </w:tcPr>
          <w:p>
            <w:pPr>
              <w:widowControl/>
              <w:snapToGrid w:val="0"/>
              <w:rPr>
                <w:rFonts w:ascii="宋体" w:hAnsi="宋体" w:eastAsia="宋体" w:cs="宋体"/>
                <w:b/>
                <w:bCs/>
                <w:sz w:val="24"/>
                <w:szCs w:val="22"/>
              </w:rPr>
            </w:pPr>
            <w:r>
              <w:rPr>
                <w:rFonts w:hint="eastAsia" w:ascii="宋体" w:hAnsi="宋体" w:cs="宋体"/>
                <w:kern w:val="0"/>
                <w:szCs w:val="21"/>
              </w:rPr>
              <w:t>禁毒品牌社区数</w:t>
            </w:r>
            <w:r>
              <w:rPr>
                <w:rFonts w:hint="eastAsia" w:ascii="宋体" w:hAnsi="宋体" w:cs="宋体"/>
              </w:rPr>
              <w:t>达到3个得满分，未达到3个，每少1个扣1分。</w:t>
            </w:r>
          </w:p>
        </w:tc>
        <w:tc>
          <w:tcPr>
            <w:tcW w:w="817" w:type="dxa"/>
            <w:vAlign w:val="center"/>
          </w:tcPr>
          <w:p>
            <w:pPr>
              <w:jc w:val="center"/>
              <w:rPr>
                <w:rFonts w:ascii="宋体" w:hAnsi="宋体" w:eastAsia="宋体" w:cs="宋体"/>
                <w:spacing w:val="8"/>
                <w:szCs w:val="21"/>
                <w:shd w:val="clear" w:color="auto" w:fill="FFFFFF"/>
              </w:rPr>
            </w:pPr>
            <w:r>
              <w:rPr>
                <w:rFonts w:hint="eastAsia" w:ascii="宋体" w:hAnsi="宋体" w:eastAsia="宋体" w:cs="宋体"/>
                <w:spacing w:val="8"/>
                <w:szCs w:val="21"/>
                <w:shd w:val="clear" w:color="auto" w:fill="FFFFFF"/>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699" w:type="dxa"/>
            <w:vMerge w:val="continue"/>
            <w:vAlign w:val="center"/>
          </w:tcPr>
          <w:p>
            <w:pPr>
              <w:jc w:val="center"/>
              <w:rPr>
                <w:rFonts w:ascii="宋体" w:hAnsi="宋体" w:eastAsia="宋体" w:cs="宋体"/>
                <w:b/>
                <w:bCs/>
                <w:color w:val="000000"/>
                <w:sz w:val="24"/>
                <w:szCs w:val="22"/>
              </w:rPr>
            </w:pPr>
          </w:p>
        </w:tc>
        <w:tc>
          <w:tcPr>
            <w:tcW w:w="804" w:type="dxa"/>
            <w:vMerge w:val="continue"/>
            <w:vAlign w:val="center"/>
          </w:tcPr>
          <w:p>
            <w:pPr>
              <w:widowControl/>
              <w:snapToGrid w:val="0"/>
              <w:jc w:val="center"/>
              <w:rPr>
                <w:rFonts w:ascii="宋体" w:hAnsi="宋体" w:eastAsia="宋体" w:cs="宋体"/>
                <w:spacing w:val="8"/>
                <w:szCs w:val="21"/>
                <w:shd w:val="clear" w:color="auto" w:fill="FFFFFF"/>
              </w:rPr>
            </w:pPr>
          </w:p>
        </w:tc>
        <w:tc>
          <w:tcPr>
            <w:tcW w:w="1269" w:type="dxa"/>
            <w:vAlign w:val="center"/>
          </w:tcPr>
          <w:p>
            <w:pPr>
              <w:widowControl/>
              <w:snapToGrid w:val="0"/>
              <w:jc w:val="center"/>
              <w:rPr>
                <w:rFonts w:ascii="宋体" w:hAnsi="宋体" w:eastAsia="宋体" w:cs="宋体"/>
                <w:kern w:val="0"/>
                <w:szCs w:val="21"/>
              </w:rPr>
            </w:pPr>
            <w:r>
              <w:rPr>
                <w:rFonts w:hint="eastAsia" w:ascii="宋体" w:hAnsi="宋体" w:cs="宋体"/>
                <w:kern w:val="0"/>
                <w:szCs w:val="21"/>
              </w:rPr>
              <w:t>禁毒宣教室</w:t>
            </w:r>
            <w:r>
              <w:rPr>
                <w:rFonts w:hint="eastAsia" w:ascii="宋体" w:hAnsi="宋体" w:eastAsia="宋体" w:cs="宋体"/>
                <w:kern w:val="0"/>
                <w:szCs w:val="21"/>
              </w:rPr>
              <w:t>数</w:t>
            </w:r>
          </w:p>
          <w:p>
            <w:pPr>
              <w:widowControl/>
              <w:snapToGrid w:val="0"/>
              <w:jc w:val="center"/>
              <w:rPr>
                <w:rFonts w:ascii="宋体" w:hAnsi="宋体" w:eastAsia="宋体" w:cs="宋体"/>
                <w:spacing w:val="8"/>
                <w:szCs w:val="21"/>
                <w:shd w:val="clear" w:color="auto" w:fill="FFFFFF"/>
              </w:rPr>
            </w:pPr>
            <w:r>
              <w:rPr>
                <w:rFonts w:hint="eastAsia" w:ascii="宋体" w:hAnsi="宋体" w:eastAsia="宋体" w:cs="宋体"/>
                <w:kern w:val="0"/>
                <w:szCs w:val="21"/>
              </w:rPr>
              <w:t>（4分）</w:t>
            </w:r>
          </w:p>
        </w:tc>
        <w:tc>
          <w:tcPr>
            <w:tcW w:w="5415" w:type="dxa"/>
            <w:vAlign w:val="center"/>
          </w:tcPr>
          <w:p>
            <w:pPr>
              <w:widowControl/>
              <w:snapToGrid w:val="0"/>
              <w:rPr>
                <w:rFonts w:ascii="宋体" w:hAnsi="宋体" w:eastAsia="宋体" w:cs="宋体"/>
                <w:b/>
                <w:bCs/>
                <w:sz w:val="24"/>
                <w:szCs w:val="22"/>
              </w:rPr>
            </w:pPr>
            <w:r>
              <w:rPr>
                <w:rFonts w:hint="eastAsia" w:ascii="宋体" w:hAnsi="宋体" w:cs="宋体"/>
                <w:kern w:val="0"/>
                <w:szCs w:val="21"/>
              </w:rPr>
              <w:t>禁毒宣教室数达到10个得满分，</w:t>
            </w:r>
            <w:r>
              <w:rPr>
                <w:rFonts w:hint="eastAsia" w:ascii="宋体" w:hAnsi="宋体" w:cs="宋体"/>
              </w:rPr>
              <w:t>未达到10个，每少1个扣1分，扣完为止。</w:t>
            </w:r>
          </w:p>
        </w:tc>
        <w:tc>
          <w:tcPr>
            <w:tcW w:w="817" w:type="dxa"/>
            <w:vAlign w:val="center"/>
          </w:tcPr>
          <w:p>
            <w:pPr>
              <w:jc w:val="center"/>
              <w:rPr>
                <w:rFonts w:ascii="宋体" w:hAnsi="宋体" w:eastAsia="宋体" w:cs="宋体"/>
                <w:spacing w:val="8"/>
                <w:szCs w:val="21"/>
                <w:shd w:val="clear" w:color="auto" w:fill="FFFFFF"/>
              </w:rPr>
            </w:pPr>
            <w:r>
              <w:rPr>
                <w:rFonts w:hint="eastAsia" w:ascii="宋体" w:hAnsi="宋体" w:eastAsia="宋体" w:cs="宋体"/>
                <w:spacing w:val="8"/>
                <w:szCs w:val="21"/>
                <w:shd w:val="clear" w:color="auto" w:fill="FFFFFF"/>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699" w:type="dxa"/>
            <w:vMerge w:val="continue"/>
            <w:vAlign w:val="center"/>
          </w:tcPr>
          <w:p>
            <w:pPr>
              <w:jc w:val="center"/>
              <w:rPr>
                <w:rFonts w:ascii="宋体" w:hAnsi="宋体" w:eastAsia="宋体" w:cs="宋体"/>
                <w:b/>
                <w:bCs/>
                <w:color w:val="000000"/>
                <w:sz w:val="24"/>
                <w:szCs w:val="22"/>
              </w:rPr>
            </w:pPr>
          </w:p>
        </w:tc>
        <w:tc>
          <w:tcPr>
            <w:tcW w:w="804" w:type="dxa"/>
            <w:vMerge w:val="continue"/>
            <w:vAlign w:val="center"/>
          </w:tcPr>
          <w:p>
            <w:pPr>
              <w:widowControl/>
              <w:snapToGrid w:val="0"/>
              <w:jc w:val="center"/>
              <w:rPr>
                <w:rFonts w:ascii="宋体" w:hAnsi="宋体" w:eastAsia="宋体" w:cs="宋体"/>
                <w:spacing w:val="8"/>
                <w:szCs w:val="21"/>
                <w:shd w:val="clear" w:color="auto" w:fill="FFFFFF"/>
              </w:rPr>
            </w:pPr>
          </w:p>
        </w:tc>
        <w:tc>
          <w:tcPr>
            <w:tcW w:w="1269" w:type="dxa"/>
            <w:vAlign w:val="center"/>
          </w:tcPr>
          <w:p>
            <w:pPr>
              <w:widowControl/>
              <w:snapToGrid w:val="0"/>
              <w:jc w:val="center"/>
              <w:rPr>
                <w:rFonts w:ascii="宋体" w:hAnsi="宋体" w:cs="宋体"/>
              </w:rPr>
            </w:pPr>
            <w:r>
              <w:rPr>
                <w:rFonts w:hint="eastAsia" w:ascii="宋体" w:hAnsi="宋体" w:cs="宋体"/>
              </w:rPr>
              <w:t>建成林则徐禁毒教育基地数</w:t>
            </w:r>
          </w:p>
          <w:p>
            <w:pPr>
              <w:widowControl/>
              <w:snapToGrid w:val="0"/>
              <w:jc w:val="center"/>
              <w:rPr>
                <w:rFonts w:ascii="宋体" w:hAnsi="宋体" w:eastAsia="宋体" w:cs="宋体"/>
                <w:spacing w:val="8"/>
                <w:szCs w:val="21"/>
                <w:shd w:val="clear" w:color="auto" w:fill="FFFFFF"/>
              </w:rPr>
            </w:pPr>
            <w:r>
              <w:rPr>
                <w:rFonts w:hint="eastAsia" w:ascii="宋体" w:hAnsi="宋体" w:cs="宋体"/>
                <w:kern w:val="0"/>
                <w:szCs w:val="21"/>
              </w:rPr>
              <w:t>（2分）</w:t>
            </w:r>
          </w:p>
        </w:tc>
        <w:tc>
          <w:tcPr>
            <w:tcW w:w="5415" w:type="dxa"/>
            <w:vAlign w:val="center"/>
          </w:tcPr>
          <w:p>
            <w:pPr>
              <w:widowControl/>
              <w:snapToGrid w:val="0"/>
              <w:rPr>
                <w:rFonts w:ascii="宋体" w:hAnsi="宋体" w:eastAsia="宋体" w:cs="宋体"/>
                <w:spacing w:val="8"/>
                <w:szCs w:val="21"/>
                <w:shd w:val="clear" w:color="auto" w:fill="FFFFFF"/>
              </w:rPr>
            </w:pPr>
            <w:r>
              <w:rPr>
                <w:rFonts w:hint="eastAsia" w:ascii="宋体" w:hAnsi="宋体" w:cs="宋体"/>
                <w:kern w:val="0"/>
                <w:szCs w:val="21"/>
              </w:rPr>
              <w:t>建成1个林则徐禁毒教育基地并投入使用得满分，建成未投入使用得1分，未建成不得分。</w:t>
            </w:r>
          </w:p>
        </w:tc>
        <w:tc>
          <w:tcPr>
            <w:tcW w:w="817" w:type="dxa"/>
            <w:vAlign w:val="center"/>
          </w:tcPr>
          <w:p>
            <w:pPr>
              <w:jc w:val="center"/>
              <w:rPr>
                <w:rFonts w:ascii="宋体" w:hAnsi="宋体" w:eastAsia="宋体" w:cs="宋体"/>
                <w:spacing w:val="8"/>
                <w:szCs w:val="21"/>
                <w:shd w:val="clear" w:color="auto" w:fill="FFFFFF"/>
              </w:rPr>
            </w:pPr>
            <w:r>
              <w:rPr>
                <w:rFonts w:hint="eastAsia" w:ascii="宋体" w:hAnsi="宋体" w:eastAsia="宋体" w:cs="宋体"/>
                <w:spacing w:val="8"/>
                <w:szCs w:val="21"/>
                <w:shd w:val="clear" w:color="auto" w:fill="FFFFFF"/>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699" w:type="dxa"/>
            <w:vMerge w:val="continue"/>
            <w:vAlign w:val="center"/>
          </w:tcPr>
          <w:p>
            <w:pPr>
              <w:jc w:val="center"/>
              <w:rPr>
                <w:rFonts w:ascii="宋体" w:hAnsi="宋体" w:eastAsia="宋体" w:cs="宋体"/>
                <w:b/>
                <w:bCs/>
                <w:color w:val="000000"/>
                <w:sz w:val="24"/>
                <w:szCs w:val="22"/>
              </w:rPr>
            </w:pPr>
          </w:p>
        </w:tc>
        <w:tc>
          <w:tcPr>
            <w:tcW w:w="804" w:type="dxa"/>
            <w:vMerge w:val="continue"/>
            <w:vAlign w:val="center"/>
          </w:tcPr>
          <w:p>
            <w:pPr>
              <w:widowControl/>
              <w:snapToGrid w:val="0"/>
              <w:jc w:val="center"/>
              <w:rPr>
                <w:rFonts w:ascii="宋体" w:hAnsi="宋体" w:eastAsia="宋体" w:cs="宋体"/>
                <w:spacing w:val="8"/>
                <w:szCs w:val="21"/>
                <w:shd w:val="clear" w:color="auto" w:fill="FFFFFF"/>
              </w:rPr>
            </w:pPr>
          </w:p>
        </w:tc>
        <w:tc>
          <w:tcPr>
            <w:tcW w:w="1269" w:type="dxa"/>
            <w:vAlign w:val="center"/>
          </w:tcPr>
          <w:p>
            <w:pPr>
              <w:widowControl/>
              <w:snapToGrid w:val="0"/>
              <w:jc w:val="center"/>
              <w:rPr>
                <w:rFonts w:ascii="宋体" w:hAnsi="宋体" w:eastAsia="宋体" w:cs="宋体"/>
                <w:spacing w:val="8"/>
                <w:szCs w:val="21"/>
                <w:shd w:val="clear" w:color="auto" w:fill="FFFFFF"/>
              </w:rPr>
            </w:pPr>
            <w:r>
              <w:rPr>
                <w:rFonts w:hint="eastAsia" w:ascii="宋体" w:hAnsi="宋体" w:cs="宋体"/>
              </w:rPr>
              <w:t>补助社区戒毒康复工作站数</w:t>
            </w:r>
            <w:r>
              <w:rPr>
                <w:rFonts w:hint="eastAsia" w:ascii="宋体" w:hAnsi="宋体" w:cs="宋体"/>
                <w:kern w:val="0"/>
                <w:szCs w:val="21"/>
              </w:rPr>
              <w:t>（3分）</w:t>
            </w:r>
          </w:p>
        </w:tc>
        <w:tc>
          <w:tcPr>
            <w:tcW w:w="5415" w:type="dxa"/>
            <w:vAlign w:val="center"/>
          </w:tcPr>
          <w:p>
            <w:pPr>
              <w:widowControl/>
              <w:snapToGrid w:val="0"/>
              <w:rPr>
                <w:rFonts w:ascii="宋体" w:hAnsi="宋体" w:eastAsia="宋体" w:cs="宋体"/>
                <w:spacing w:val="8"/>
                <w:szCs w:val="21"/>
                <w:shd w:val="clear" w:color="auto" w:fill="FFFFFF"/>
              </w:rPr>
            </w:pPr>
            <w:r>
              <w:rPr>
                <w:rFonts w:hint="eastAsia" w:ascii="宋体" w:hAnsi="宋体" w:cs="宋体"/>
                <w:kern w:val="0"/>
                <w:szCs w:val="21"/>
              </w:rPr>
              <w:t>补助社区戒毒康复工作站达到8所得满分，</w:t>
            </w:r>
            <w:r>
              <w:rPr>
                <w:rFonts w:hint="eastAsia" w:ascii="宋体" w:hAnsi="宋体" w:cs="宋体"/>
              </w:rPr>
              <w:t>未达到8个，每少1个扣1分，扣完为止。</w:t>
            </w:r>
          </w:p>
        </w:tc>
        <w:tc>
          <w:tcPr>
            <w:tcW w:w="817" w:type="dxa"/>
            <w:vAlign w:val="center"/>
          </w:tcPr>
          <w:p>
            <w:pPr>
              <w:jc w:val="center"/>
              <w:rPr>
                <w:rFonts w:ascii="宋体" w:hAnsi="宋体" w:eastAsia="宋体" w:cs="宋体"/>
                <w:spacing w:val="8"/>
                <w:szCs w:val="21"/>
                <w:shd w:val="clear" w:color="auto" w:fill="FFFFFF"/>
              </w:rPr>
            </w:pPr>
            <w:r>
              <w:rPr>
                <w:rFonts w:hint="eastAsia" w:ascii="宋体" w:hAnsi="宋体" w:eastAsia="宋体" w:cs="宋体"/>
                <w:spacing w:val="8"/>
                <w:szCs w:val="21"/>
                <w:shd w:val="clear" w:color="auto" w:fill="FFFFFF"/>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699" w:type="dxa"/>
            <w:vMerge w:val="continue"/>
            <w:vAlign w:val="center"/>
          </w:tcPr>
          <w:p>
            <w:pPr>
              <w:jc w:val="center"/>
              <w:rPr>
                <w:rFonts w:ascii="宋体" w:hAnsi="宋体" w:eastAsia="宋体" w:cs="宋体"/>
                <w:b/>
                <w:bCs/>
                <w:color w:val="000000"/>
                <w:sz w:val="24"/>
                <w:szCs w:val="22"/>
              </w:rPr>
            </w:pPr>
          </w:p>
        </w:tc>
        <w:tc>
          <w:tcPr>
            <w:tcW w:w="804" w:type="dxa"/>
            <w:vMerge w:val="continue"/>
            <w:vAlign w:val="center"/>
          </w:tcPr>
          <w:p>
            <w:pPr>
              <w:widowControl/>
              <w:snapToGrid w:val="0"/>
              <w:jc w:val="center"/>
              <w:rPr>
                <w:rFonts w:ascii="宋体" w:hAnsi="宋体" w:eastAsia="宋体" w:cs="宋体"/>
                <w:spacing w:val="8"/>
                <w:szCs w:val="21"/>
                <w:shd w:val="clear" w:color="auto" w:fill="FFFFFF"/>
              </w:rPr>
            </w:pPr>
          </w:p>
        </w:tc>
        <w:tc>
          <w:tcPr>
            <w:tcW w:w="1269" w:type="dxa"/>
            <w:vAlign w:val="center"/>
          </w:tcPr>
          <w:p>
            <w:pPr>
              <w:widowControl/>
              <w:snapToGrid w:val="0"/>
              <w:jc w:val="center"/>
              <w:rPr>
                <w:rFonts w:ascii="宋体" w:hAnsi="宋体" w:cs="宋体"/>
              </w:rPr>
            </w:pPr>
            <w:r>
              <w:rPr>
                <w:rFonts w:hint="eastAsia" w:ascii="宋体" w:hAnsi="宋体" w:cs="宋体"/>
              </w:rPr>
              <w:t>设立大型宣传广告牌数</w:t>
            </w:r>
          </w:p>
          <w:p>
            <w:pPr>
              <w:widowControl/>
              <w:snapToGrid w:val="0"/>
              <w:jc w:val="center"/>
              <w:rPr>
                <w:rFonts w:ascii="宋体" w:hAnsi="宋体" w:eastAsia="宋体" w:cs="宋体"/>
                <w:spacing w:val="8"/>
                <w:szCs w:val="21"/>
                <w:shd w:val="clear" w:color="auto" w:fill="FFFFFF"/>
              </w:rPr>
            </w:pPr>
            <w:r>
              <w:rPr>
                <w:rFonts w:hint="eastAsia" w:ascii="宋体" w:hAnsi="宋体" w:cs="宋体"/>
              </w:rPr>
              <w:t>（3分</w:t>
            </w:r>
            <w:r>
              <w:rPr>
                <w:rFonts w:hint="eastAsia" w:ascii="宋体" w:hAnsi="宋体" w:cs="宋体"/>
                <w:kern w:val="0"/>
                <w:szCs w:val="21"/>
              </w:rPr>
              <w:t>）</w:t>
            </w:r>
          </w:p>
        </w:tc>
        <w:tc>
          <w:tcPr>
            <w:tcW w:w="5415" w:type="dxa"/>
            <w:vAlign w:val="center"/>
          </w:tcPr>
          <w:p>
            <w:pPr>
              <w:widowControl/>
              <w:snapToGrid w:val="0"/>
              <w:rPr>
                <w:rFonts w:ascii="宋体" w:hAnsi="宋体" w:eastAsia="宋体" w:cs="宋体"/>
                <w:spacing w:val="8"/>
                <w:szCs w:val="21"/>
                <w:shd w:val="clear" w:color="auto" w:fill="FFFFFF"/>
              </w:rPr>
            </w:pPr>
            <w:r>
              <w:rPr>
                <w:rFonts w:hint="eastAsia" w:ascii="宋体" w:hAnsi="宋体" w:cs="宋体"/>
              </w:rPr>
              <w:t>大型宣传广告牌数设置10处得满分，未达到10个，每少1个扣1分，扣完为止。</w:t>
            </w:r>
          </w:p>
        </w:tc>
        <w:tc>
          <w:tcPr>
            <w:tcW w:w="817" w:type="dxa"/>
            <w:vAlign w:val="center"/>
          </w:tcPr>
          <w:p>
            <w:pPr>
              <w:jc w:val="center"/>
              <w:rPr>
                <w:rFonts w:ascii="宋体" w:hAnsi="宋体" w:eastAsia="宋体" w:cs="宋体"/>
                <w:spacing w:val="8"/>
                <w:szCs w:val="21"/>
                <w:shd w:val="clear" w:color="auto" w:fill="FFFFFF"/>
              </w:rPr>
            </w:pPr>
            <w:r>
              <w:rPr>
                <w:rFonts w:hint="eastAsia" w:ascii="宋体" w:hAnsi="宋体" w:eastAsia="宋体" w:cs="宋体"/>
                <w:spacing w:val="8"/>
                <w:szCs w:val="21"/>
                <w:shd w:val="clear" w:color="auto" w:fill="FFFFFF"/>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4" w:hRule="atLeast"/>
        </w:trPr>
        <w:tc>
          <w:tcPr>
            <w:tcW w:w="699" w:type="dxa"/>
            <w:vMerge w:val="continue"/>
          </w:tcPr>
          <w:p>
            <w:pPr>
              <w:jc w:val="center"/>
              <w:rPr>
                <w:rFonts w:ascii="宋体" w:hAnsi="宋体" w:eastAsia="宋体" w:cs="宋体"/>
                <w:b/>
                <w:bCs/>
                <w:color w:val="000000"/>
                <w:sz w:val="24"/>
                <w:szCs w:val="22"/>
              </w:rPr>
            </w:pPr>
          </w:p>
        </w:tc>
        <w:tc>
          <w:tcPr>
            <w:tcW w:w="804" w:type="dxa"/>
            <w:vMerge w:val="restart"/>
            <w:vAlign w:val="center"/>
          </w:tcPr>
          <w:p>
            <w:pPr>
              <w:widowControl/>
              <w:snapToGrid w:val="0"/>
              <w:jc w:val="center"/>
              <w:rPr>
                <w:rFonts w:ascii="宋体" w:hAnsi="宋体" w:cs="宋体"/>
                <w:kern w:val="0"/>
                <w:szCs w:val="21"/>
              </w:rPr>
            </w:pPr>
            <w:r>
              <w:rPr>
                <w:rFonts w:hint="eastAsia" w:ascii="宋体" w:hAnsi="宋体"/>
              </w:rPr>
              <w:t>产出质量</w:t>
            </w:r>
          </w:p>
          <w:p>
            <w:pPr>
              <w:widowControl/>
              <w:snapToGrid w:val="0"/>
              <w:jc w:val="center"/>
              <w:rPr>
                <w:rFonts w:ascii="宋体" w:hAnsi="宋体" w:eastAsia="宋体" w:cs="宋体"/>
                <w:spacing w:val="8"/>
                <w:szCs w:val="21"/>
                <w:shd w:val="clear" w:color="auto" w:fill="FFFFFF"/>
              </w:rPr>
            </w:pPr>
            <w:r>
              <w:rPr>
                <w:rFonts w:hint="eastAsia" w:ascii="宋体" w:hAnsi="宋体" w:eastAsia="宋体" w:cs="宋体"/>
                <w:kern w:val="0"/>
                <w:szCs w:val="21"/>
              </w:rPr>
              <w:t>（8分）</w:t>
            </w:r>
          </w:p>
        </w:tc>
        <w:tc>
          <w:tcPr>
            <w:tcW w:w="1269" w:type="dxa"/>
            <w:vAlign w:val="center"/>
          </w:tcPr>
          <w:p>
            <w:pPr>
              <w:widowControl/>
              <w:snapToGrid w:val="0"/>
              <w:jc w:val="center"/>
              <w:rPr>
                <w:rFonts w:ascii="宋体" w:hAnsi="宋体" w:eastAsia="宋体" w:cs="宋体"/>
                <w:spacing w:val="8"/>
                <w:szCs w:val="21"/>
                <w:shd w:val="clear" w:color="auto" w:fill="FFFFFF"/>
              </w:rPr>
            </w:pPr>
            <w:r>
              <w:rPr>
                <w:rFonts w:hint="eastAsia" w:ascii="宋体" w:hAnsi="宋体" w:cs="宋体"/>
                <w:kern w:val="0"/>
                <w:szCs w:val="21"/>
              </w:rPr>
              <w:t>在册吸毒人员复吸率</w:t>
            </w:r>
            <w:r>
              <w:rPr>
                <w:rFonts w:hint="eastAsia" w:ascii="宋体" w:hAnsi="宋体" w:cs="宋体"/>
              </w:rPr>
              <w:t>（3分</w:t>
            </w:r>
            <w:r>
              <w:rPr>
                <w:rFonts w:hint="eastAsia" w:ascii="宋体" w:hAnsi="宋体" w:cs="宋体"/>
                <w:kern w:val="0"/>
                <w:szCs w:val="21"/>
              </w:rPr>
              <w:t>）</w:t>
            </w:r>
          </w:p>
        </w:tc>
        <w:tc>
          <w:tcPr>
            <w:tcW w:w="5415" w:type="dxa"/>
            <w:vAlign w:val="center"/>
          </w:tcPr>
          <w:p>
            <w:pPr>
              <w:widowControl/>
              <w:snapToGrid w:val="0"/>
              <w:rPr>
                <w:rFonts w:ascii="宋体" w:hAnsi="宋体" w:eastAsia="宋体" w:cs="宋体"/>
                <w:b/>
                <w:bCs/>
                <w:color w:val="000000"/>
                <w:sz w:val="24"/>
                <w:szCs w:val="22"/>
              </w:rPr>
            </w:pPr>
            <w:r>
              <w:rPr>
                <w:rFonts w:hint="eastAsia" w:ascii="宋体" w:hAnsi="宋体" w:cs="宋体"/>
                <w:kern w:val="0"/>
                <w:szCs w:val="21"/>
              </w:rPr>
              <w:t>在册吸毒人员复吸率</w:t>
            </w:r>
            <w:r>
              <w:rPr>
                <w:rFonts w:hint="eastAsia" w:ascii="宋体" w:hAnsi="宋体" w:cs="宋体"/>
                <w:kern w:val="0"/>
                <w:szCs w:val="21"/>
                <w:lang w:val="en-US" w:eastAsia="zh-CN"/>
              </w:rPr>
              <w:t>=查获有吸毒史人数/在册吸毒人员数，</w:t>
            </w:r>
            <w:r>
              <w:rPr>
                <w:rFonts w:hint="eastAsia" w:ascii="宋体" w:hAnsi="宋体" w:cs="宋体"/>
                <w:kern w:val="0"/>
                <w:szCs w:val="21"/>
              </w:rPr>
              <w:t>在册吸毒人员复吸率</w:t>
            </w:r>
            <w:r>
              <w:rPr>
                <w:rFonts w:hint="eastAsia" w:ascii="宋体" w:hAnsi="宋体" w:cs="宋体"/>
                <w:kern w:val="0"/>
                <w:szCs w:val="21"/>
                <w:lang w:val="en-US" w:eastAsia="zh-CN"/>
              </w:rPr>
              <w:t>较上年持平或增加不得分，较上年</w:t>
            </w:r>
            <w:r>
              <w:rPr>
                <w:rFonts w:hint="eastAsia" w:ascii="宋体" w:hAnsi="宋体" w:cs="宋体"/>
                <w:kern w:val="0"/>
                <w:szCs w:val="21"/>
              </w:rPr>
              <w:t>每</w:t>
            </w:r>
            <w:r>
              <w:rPr>
                <w:rFonts w:hint="eastAsia" w:ascii="宋体" w:hAnsi="宋体" w:cs="宋体"/>
                <w:kern w:val="0"/>
                <w:szCs w:val="21"/>
                <w:lang w:val="en-US" w:eastAsia="zh-CN"/>
              </w:rPr>
              <w:t>减少5</w:t>
            </w:r>
            <w:r>
              <w:rPr>
                <w:rFonts w:hint="eastAsia" w:ascii="宋体" w:hAnsi="宋体" w:cs="宋体"/>
                <w:kern w:val="0"/>
                <w:szCs w:val="21"/>
              </w:rPr>
              <w:t>个百分点</w:t>
            </w:r>
            <w:r>
              <w:rPr>
                <w:rFonts w:hint="eastAsia" w:ascii="宋体" w:hAnsi="宋体" w:cs="宋体"/>
                <w:kern w:val="0"/>
                <w:szCs w:val="21"/>
                <w:lang w:val="en-US" w:eastAsia="zh-CN"/>
              </w:rPr>
              <w:t>得</w:t>
            </w:r>
            <w:r>
              <w:rPr>
                <w:rFonts w:hint="eastAsia" w:ascii="宋体" w:hAnsi="宋体" w:cs="宋体"/>
                <w:kern w:val="0"/>
                <w:szCs w:val="21"/>
              </w:rPr>
              <w:t>1分，</w:t>
            </w:r>
            <w:r>
              <w:rPr>
                <w:rFonts w:hint="eastAsia" w:ascii="宋体" w:hAnsi="宋体" w:cs="宋体"/>
                <w:kern w:val="0"/>
                <w:szCs w:val="21"/>
                <w:lang w:val="en-US" w:eastAsia="zh-CN"/>
              </w:rPr>
              <w:t>得分为1分</w:t>
            </w:r>
            <w:r>
              <w:rPr>
                <w:rFonts w:hint="eastAsia" w:ascii="宋体" w:hAnsi="宋体" w:cs="宋体"/>
                <w:kern w:val="0"/>
                <w:szCs w:val="21"/>
              </w:rPr>
              <w:t>×</w:t>
            </w:r>
            <w:r>
              <w:rPr>
                <w:rFonts w:hint="eastAsia" w:ascii="宋体" w:hAnsi="宋体" w:cs="宋体"/>
                <w:kern w:val="0"/>
                <w:szCs w:val="21"/>
                <w:lang w:eastAsia="zh-CN"/>
              </w:rPr>
              <w:t>（</w:t>
            </w:r>
            <w:r>
              <w:rPr>
                <w:rFonts w:hint="eastAsia" w:ascii="宋体" w:hAnsi="宋体" w:cs="宋体"/>
                <w:kern w:val="0"/>
                <w:szCs w:val="21"/>
                <w:lang w:val="en-US" w:eastAsia="zh-CN"/>
              </w:rPr>
              <w:t>减少的百分比/5%</w:t>
            </w:r>
            <w:r>
              <w:rPr>
                <w:rFonts w:hint="eastAsia" w:ascii="宋体" w:hAnsi="宋体" w:cs="宋体"/>
                <w:kern w:val="0"/>
                <w:szCs w:val="21"/>
                <w:lang w:eastAsia="zh-CN"/>
              </w:rPr>
              <w:t>），</w:t>
            </w:r>
            <w:r>
              <w:rPr>
                <w:rFonts w:hint="eastAsia" w:ascii="宋体" w:hAnsi="宋体" w:cs="宋体"/>
                <w:kern w:val="0"/>
                <w:szCs w:val="21"/>
                <w:lang w:val="en-US" w:eastAsia="zh-CN"/>
              </w:rPr>
              <w:t>满分3分</w:t>
            </w:r>
            <w:r>
              <w:rPr>
                <w:rFonts w:hint="eastAsia" w:ascii="宋体" w:hAnsi="宋体" w:cs="宋体"/>
                <w:kern w:val="0"/>
                <w:szCs w:val="21"/>
              </w:rPr>
              <w:t>。</w:t>
            </w:r>
          </w:p>
        </w:tc>
        <w:tc>
          <w:tcPr>
            <w:tcW w:w="817" w:type="dxa"/>
            <w:vAlign w:val="center"/>
          </w:tcPr>
          <w:p>
            <w:pPr>
              <w:jc w:val="center"/>
              <w:rPr>
                <w:rFonts w:hint="default" w:ascii="宋体" w:hAnsi="宋体" w:eastAsia="宋体" w:cs="宋体"/>
                <w:spacing w:val="8"/>
                <w:szCs w:val="21"/>
                <w:shd w:val="clear" w:color="auto" w:fill="FFFFFF"/>
                <w:lang w:val="en-US" w:eastAsia="zh-CN"/>
              </w:rPr>
            </w:pPr>
            <w:r>
              <w:rPr>
                <w:rFonts w:hint="eastAsia" w:ascii="宋体" w:hAnsi="宋体" w:eastAsia="宋体" w:cs="宋体"/>
                <w:spacing w:val="8"/>
                <w:szCs w:val="21"/>
                <w:shd w:val="clear" w:color="auto" w:fill="FFFFFF"/>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699" w:type="dxa"/>
            <w:vMerge w:val="continue"/>
          </w:tcPr>
          <w:p>
            <w:pPr>
              <w:jc w:val="center"/>
              <w:rPr>
                <w:rFonts w:ascii="宋体" w:hAnsi="宋体" w:eastAsia="宋体" w:cs="宋体"/>
                <w:b/>
                <w:bCs/>
                <w:color w:val="000000"/>
                <w:sz w:val="24"/>
                <w:szCs w:val="22"/>
              </w:rPr>
            </w:pPr>
          </w:p>
        </w:tc>
        <w:tc>
          <w:tcPr>
            <w:tcW w:w="804" w:type="dxa"/>
            <w:vMerge w:val="continue"/>
            <w:vAlign w:val="center"/>
          </w:tcPr>
          <w:p>
            <w:pPr>
              <w:widowControl/>
              <w:snapToGrid w:val="0"/>
              <w:jc w:val="center"/>
              <w:rPr>
                <w:rFonts w:ascii="宋体" w:hAnsi="宋体" w:eastAsia="宋体" w:cs="宋体"/>
                <w:spacing w:val="8"/>
                <w:szCs w:val="21"/>
                <w:shd w:val="clear" w:color="auto" w:fill="FFFFFF"/>
              </w:rPr>
            </w:pPr>
          </w:p>
        </w:tc>
        <w:tc>
          <w:tcPr>
            <w:tcW w:w="1269" w:type="dxa"/>
            <w:vAlign w:val="center"/>
          </w:tcPr>
          <w:p>
            <w:pPr>
              <w:widowControl/>
              <w:snapToGrid w:val="0"/>
              <w:jc w:val="center"/>
              <w:rPr>
                <w:rFonts w:ascii="宋体" w:hAnsi="宋体" w:eastAsia="宋体" w:cs="宋体"/>
                <w:spacing w:val="8"/>
                <w:szCs w:val="21"/>
                <w:shd w:val="clear" w:color="auto" w:fill="FFFFFF"/>
              </w:rPr>
            </w:pPr>
            <w:r>
              <w:rPr>
                <w:rFonts w:hint="eastAsia" w:ascii="宋体" w:hAnsi="宋体" w:cs="宋体"/>
                <w:kern w:val="0"/>
                <w:szCs w:val="21"/>
              </w:rPr>
              <w:t>禁毒工作制度落实情况</w:t>
            </w:r>
            <w:r>
              <w:rPr>
                <w:rFonts w:hint="eastAsia" w:ascii="宋体" w:hAnsi="宋体" w:cs="宋体"/>
              </w:rPr>
              <w:t>（5分</w:t>
            </w:r>
            <w:r>
              <w:rPr>
                <w:rFonts w:hint="eastAsia" w:ascii="宋体" w:hAnsi="宋体" w:cs="宋体"/>
                <w:kern w:val="0"/>
                <w:szCs w:val="21"/>
              </w:rPr>
              <w:t>）</w:t>
            </w:r>
          </w:p>
        </w:tc>
        <w:tc>
          <w:tcPr>
            <w:tcW w:w="5415" w:type="dxa"/>
            <w:vAlign w:val="center"/>
          </w:tcPr>
          <w:p>
            <w:pPr>
              <w:widowControl/>
              <w:snapToGrid w:val="0"/>
              <w:rPr>
                <w:rFonts w:ascii="宋体" w:hAnsi="宋体" w:eastAsia="宋体" w:cs="宋体"/>
                <w:b/>
                <w:bCs/>
                <w:color w:val="000000"/>
                <w:sz w:val="24"/>
                <w:szCs w:val="22"/>
              </w:rPr>
            </w:pPr>
            <w:r>
              <w:rPr>
                <w:rFonts w:hint="eastAsia" w:ascii="宋体" w:hAnsi="宋体" w:cs="宋体"/>
                <w:kern w:val="0"/>
                <w:szCs w:val="21"/>
              </w:rPr>
              <w:t>1家单位未完成禁毒任务扣0.5分，扣完为止。</w:t>
            </w:r>
          </w:p>
        </w:tc>
        <w:tc>
          <w:tcPr>
            <w:tcW w:w="817" w:type="dxa"/>
            <w:vAlign w:val="center"/>
          </w:tcPr>
          <w:p>
            <w:pPr>
              <w:jc w:val="center"/>
              <w:rPr>
                <w:rFonts w:ascii="宋体" w:hAnsi="宋体" w:eastAsia="宋体" w:cs="宋体"/>
                <w:spacing w:val="8"/>
                <w:szCs w:val="21"/>
                <w:shd w:val="clear" w:color="auto" w:fill="FFFFFF"/>
              </w:rPr>
            </w:pPr>
            <w:r>
              <w:rPr>
                <w:rFonts w:hint="eastAsia" w:ascii="宋体" w:hAnsi="宋体" w:eastAsia="宋体" w:cs="宋体"/>
                <w:spacing w:val="8"/>
                <w:szCs w:val="21"/>
                <w:shd w:val="clear" w:color="auto" w:fill="FFFFFF"/>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699" w:type="dxa"/>
            <w:vMerge w:val="restart"/>
            <w:vAlign w:val="center"/>
          </w:tcPr>
          <w:p>
            <w:pPr>
              <w:jc w:val="center"/>
              <w:rPr>
                <w:rFonts w:ascii="宋体" w:hAnsi="宋体" w:eastAsia="宋体" w:cs="宋体"/>
                <w:b/>
                <w:bCs/>
                <w:color w:val="000000"/>
                <w:sz w:val="24"/>
                <w:szCs w:val="22"/>
              </w:rPr>
            </w:pPr>
            <w:r>
              <w:rPr>
                <w:rFonts w:hint="eastAsia" w:ascii="宋体" w:hAnsi="宋体" w:eastAsia="宋体" w:cs="宋体"/>
                <w:b/>
                <w:bCs/>
                <w:color w:val="000000"/>
                <w:sz w:val="24"/>
                <w:szCs w:val="22"/>
              </w:rPr>
              <w:t>效益</w:t>
            </w:r>
          </w:p>
          <w:p>
            <w:pPr>
              <w:jc w:val="center"/>
              <w:rPr>
                <w:rFonts w:ascii="宋体" w:hAnsi="宋体" w:eastAsia="宋体" w:cs="宋体"/>
                <w:b/>
                <w:bCs/>
                <w:color w:val="000000"/>
                <w:sz w:val="24"/>
                <w:szCs w:val="22"/>
              </w:rPr>
            </w:pPr>
            <w:r>
              <w:rPr>
                <w:rFonts w:hint="eastAsia" w:ascii="宋体" w:hAnsi="宋体" w:eastAsia="宋体" w:cs="宋体"/>
                <w:b/>
                <w:bCs/>
                <w:color w:val="000000"/>
                <w:sz w:val="24"/>
                <w:szCs w:val="22"/>
              </w:rPr>
              <w:t>（45分）</w:t>
            </w:r>
          </w:p>
        </w:tc>
        <w:tc>
          <w:tcPr>
            <w:tcW w:w="804" w:type="dxa"/>
            <w:vMerge w:val="restart"/>
            <w:vAlign w:val="center"/>
          </w:tcPr>
          <w:p>
            <w:pPr>
              <w:widowControl/>
              <w:snapToGrid w:val="0"/>
              <w:jc w:val="center"/>
              <w:rPr>
                <w:rFonts w:ascii="宋体" w:hAnsi="宋体" w:eastAsia="宋体" w:cs="宋体"/>
                <w:spacing w:val="8"/>
                <w:szCs w:val="21"/>
                <w:shd w:val="clear" w:color="auto" w:fill="FFFFFF"/>
              </w:rPr>
            </w:pPr>
            <w:r>
              <w:rPr>
                <w:rFonts w:hint="eastAsia" w:ascii="宋体" w:hAnsi="宋体" w:eastAsia="宋体" w:cs="宋体"/>
                <w:kern w:val="0"/>
                <w:szCs w:val="21"/>
              </w:rPr>
              <w:t>社会效益</w:t>
            </w:r>
            <w:r>
              <w:rPr>
                <w:rFonts w:hint="eastAsia" w:ascii="宋体" w:hAnsi="宋体" w:cs="宋体"/>
                <w:kern w:val="0"/>
                <w:szCs w:val="21"/>
              </w:rPr>
              <w:t>（18分）</w:t>
            </w:r>
          </w:p>
        </w:tc>
        <w:tc>
          <w:tcPr>
            <w:tcW w:w="1269" w:type="dxa"/>
            <w:vAlign w:val="center"/>
          </w:tcPr>
          <w:p>
            <w:pPr>
              <w:widowControl/>
              <w:snapToGrid w:val="0"/>
              <w:jc w:val="center"/>
              <w:rPr>
                <w:rFonts w:ascii="宋体" w:hAnsi="宋体" w:cs="宋体"/>
                <w:kern w:val="0"/>
                <w:szCs w:val="21"/>
              </w:rPr>
            </w:pPr>
            <w:r>
              <w:rPr>
                <w:rFonts w:hint="eastAsia" w:ascii="宋体" w:hAnsi="宋体" w:cs="宋体"/>
                <w:kern w:val="0"/>
                <w:szCs w:val="21"/>
              </w:rPr>
              <w:t>宣传报道在媒体发布情况</w:t>
            </w:r>
          </w:p>
          <w:p>
            <w:pPr>
              <w:widowControl/>
              <w:snapToGrid w:val="0"/>
              <w:jc w:val="center"/>
              <w:rPr>
                <w:rFonts w:ascii="宋体" w:hAnsi="宋体" w:eastAsia="宋体" w:cs="宋体"/>
                <w:spacing w:val="8"/>
                <w:szCs w:val="21"/>
                <w:shd w:val="clear" w:color="auto" w:fill="FFFFFF"/>
              </w:rPr>
            </w:pPr>
            <w:r>
              <w:rPr>
                <w:rFonts w:hint="eastAsia" w:ascii="宋体" w:hAnsi="宋体" w:cs="宋体"/>
              </w:rPr>
              <w:t>（5分</w:t>
            </w:r>
            <w:r>
              <w:rPr>
                <w:rFonts w:hint="eastAsia" w:ascii="宋体" w:hAnsi="宋体" w:cs="宋体"/>
                <w:kern w:val="0"/>
                <w:szCs w:val="21"/>
              </w:rPr>
              <w:t>）</w:t>
            </w:r>
          </w:p>
        </w:tc>
        <w:tc>
          <w:tcPr>
            <w:tcW w:w="5415" w:type="dxa"/>
            <w:vAlign w:val="center"/>
          </w:tcPr>
          <w:p>
            <w:pPr>
              <w:rPr>
                <w:rFonts w:ascii="宋体" w:hAnsi="宋体" w:eastAsia="宋体" w:cs="宋体"/>
                <w:b/>
                <w:bCs/>
                <w:color w:val="000000"/>
                <w:sz w:val="24"/>
                <w:szCs w:val="22"/>
              </w:rPr>
            </w:pPr>
            <w:r>
              <w:rPr>
                <w:rFonts w:hint="eastAsia" w:ascii="宋体" w:hAnsi="宋体" w:cs="宋体"/>
                <w:kern w:val="0"/>
                <w:szCs w:val="21"/>
              </w:rPr>
              <w:t>宣传报道在省级媒体平台发布1篇0.5分，在国家级媒体平台发布1篇得1分，满分5分。</w:t>
            </w:r>
          </w:p>
        </w:tc>
        <w:tc>
          <w:tcPr>
            <w:tcW w:w="817" w:type="dxa"/>
            <w:vAlign w:val="center"/>
          </w:tcPr>
          <w:p>
            <w:pPr>
              <w:jc w:val="center"/>
              <w:rPr>
                <w:rFonts w:ascii="宋体" w:hAnsi="宋体" w:eastAsia="宋体" w:cs="宋体"/>
                <w:spacing w:val="8"/>
                <w:szCs w:val="21"/>
                <w:shd w:val="clear" w:color="auto" w:fill="FFFFFF"/>
              </w:rPr>
            </w:pPr>
            <w:r>
              <w:rPr>
                <w:rFonts w:hint="eastAsia" w:ascii="宋体" w:hAnsi="宋体" w:eastAsia="宋体" w:cs="宋体"/>
                <w:spacing w:val="8"/>
                <w:szCs w:val="21"/>
                <w:shd w:val="clear" w:color="auto" w:fill="FFFFFF"/>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699" w:type="dxa"/>
            <w:vMerge w:val="continue"/>
          </w:tcPr>
          <w:p>
            <w:pPr>
              <w:jc w:val="center"/>
              <w:rPr>
                <w:rFonts w:ascii="宋体" w:hAnsi="宋体" w:eastAsia="宋体" w:cs="宋体"/>
                <w:b/>
                <w:bCs/>
                <w:color w:val="000000"/>
                <w:sz w:val="24"/>
                <w:szCs w:val="22"/>
              </w:rPr>
            </w:pPr>
          </w:p>
        </w:tc>
        <w:tc>
          <w:tcPr>
            <w:tcW w:w="804" w:type="dxa"/>
            <w:vMerge w:val="continue"/>
            <w:vAlign w:val="center"/>
          </w:tcPr>
          <w:p>
            <w:pPr>
              <w:widowControl/>
              <w:snapToGrid w:val="0"/>
              <w:rPr>
                <w:rFonts w:ascii="宋体" w:hAnsi="宋体" w:eastAsia="宋体" w:cs="宋体"/>
                <w:spacing w:val="8"/>
                <w:szCs w:val="21"/>
                <w:shd w:val="clear" w:color="auto" w:fill="FFFFFF"/>
              </w:rPr>
            </w:pPr>
          </w:p>
        </w:tc>
        <w:tc>
          <w:tcPr>
            <w:tcW w:w="1269" w:type="dxa"/>
            <w:vAlign w:val="center"/>
          </w:tcPr>
          <w:p>
            <w:pPr>
              <w:widowControl/>
              <w:snapToGrid w:val="0"/>
              <w:jc w:val="center"/>
              <w:rPr>
                <w:rFonts w:ascii="宋体" w:hAnsi="宋体" w:cs="宋体"/>
              </w:rPr>
            </w:pPr>
            <w:r>
              <w:rPr>
                <w:rFonts w:hint="eastAsia" w:ascii="宋体" w:hAnsi="宋体" w:cs="宋体"/>
              </w:rPr>
              <w:t>青少年</w:t>
            </w:r>
          </w:p>
          <w:p>
            <w:pPr>
              <w:widowControl/>
              <w:snapToGrid w:val="0"/>
              <w:jc w:val="center"/>
              <w:rPr>
                <w:rFonts w:ascii="宋体" w:hAnsi="宋体" w:cs="宋体"/>
              </w:rPr>
            </w:pPr>
            <w:r>
              <w:rPr>
                <w:rFonts w:hint="eastAsia" w:ascii="宋体" w:hAnsi="宋体" w:cs="宋体"/>
              </w:rPr>
              <w:t>接受禁毒</w:t>
            </w:r>
          </w:p>
          <w:p>
            <w:pPr>
              <w:widowControl/>
              <w:snapToGrid w:val="0"/>
              <w:jc w:val="center"/>
              <w:rPr>
                <w:rFonts w:ascii="宋体" w:hAnsi="宋体" w:cs="宋体"/>
              </w:rPr>
            </w:pPr>
            <w:r>
              <w:rPr>
                <w:rFonts w:hint="eastAsia" w:ascii="宋体" w:hAnsi="宋体" w:cs="宋体"/>
              </w:rPr>
              <w:t>教育课时</w:t>
            </w:r>
          </w:p>
          <w:p>
            <w:pPr>
              <w:widowControl/>
              <w:snapToGrid w:val="0"/>
              <w:jc w:val="center"/>
              <w:rPr>
                <w:rFonts w:ascii="宋体" w:hAnsi="宋体" w:eastAsia="宋体" w:cs="宋体"/>
                <w:spacing w:val="8"/>
                <w:szCs w:val="21"/>
                <w:shd w:val="clear" w:color="auto" w:fill="FFFFFF"/>
              </w:rPr>
            </w:pPr>
            <w:r>
              <w:rPr>
                <w:rFonts w:hint="eastAsia" w:ascii="宋体" w:hAnsi="宋体" w:cs="宋体"/>
              </w:rPr>
              <w:t>（4分</w:t>
            </w:r>
            <w:r>
              <w:rPr>
                <w:rFonts w:hint="eastAsia" w:ascii="宋体" w:hAnsi="宋体" w:cs="宋体"/>
                <w:kern w:val="0"/>
                <w:szCs w:val="21"/>
              </w:rPr>
              <w:t>）</w:t>
            </w:r>
          </w:p>
        </w:tc>
        <w:tc>
          <w:tcPr>
            <w:tcW w:w="5415" w:type="dxa"/>
            <w:vAlign w:val="center"/>
          </w:tcPr>
          <w:p>
            <w:pPr>
              <w:rPr>
                <w:rFonts w:ascii="宋体" w:hAnsi="宋体" w:eastAsia="宋体" w:cs="宋体"/>
                <w:spacing w:val="8"/>
                <w:szCs w:val="21"/>
                <w:shd w:val="clear" w:color="auto" w:fill="FFFFFF"/>
              </w:rPr>
            </w:pPr>
            <w:r>
              <w:rPr>
                <w:rFonts w:hint="eastAsia" w:ascii="宋体" w:hAnsi="宋体" w:cs="宋体"/>
              </w:rPr>
              <w:t>每学年达到2课时得满分，每减少</w:t>
            </w:r>
            <w:r>
              <w:rPr>
                <w:rFonts w:hint="eastAsia" w:ascii="宋体" w:hAnsi="宋体" w:cs="宋体"/>
                <w:kern w:val="0"/>
                <w:szCs w:val="21"/>
              </w:rPr>
              <w:t>1个课时扣2分。</w:t>
            </w:r>
          </w:p>
        </w:tc>
        <w:tc>
          <w:tcPr>
            <w:tcW w:w="817" w:type="dxa"/>
            <w:vAlign w:val="center"/>
          </w:tcPr>
          <w:p>
            <w:pPr>
              <w:jc w:val="center"/>
              <w:rPr>
                <w:rFonts w:ascii="宋体" w:hAnsi="宋体" w:eastAsia="宋体" w:cs="宋体"/>
                <w:spacing w:val="8"/>
                <w:szCs w:val="21"/>
                <w:shd w:val="clear" w:color="auto" w:fill="FFFFFF"/>
              </w:rPr>
            </w:pPr>
            <w:r>
              <w:rPr>
                <w:rFonts w:hint="eastAsia" w:ascii="宋体" w:hAnsi="宋体" w:eastAsia="宋体" w:cs="宋体"/>
                <w:spacing w:val="8"/>
                <w:szCs w:val="21"/>
                <w:shd w:val="clear" w:color="auto" w:fill="FFFFFF"/>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699" w:type="dxa"/>
            <w:vMerge w:val="continue"/>
          </w:tcPr>
          <w:p>
            <w:pPr>
              <w:jc w:val="center"/>
              <w:rPr>
                <w:rFonts w:ascii="宋体" w:hAnsi="宋体" w:eastAsia="宋体" w:cs="宋体"/>
                <w:b/>
                <w:bCs/>
                <w:color w:val="000000"/>
                <w:sz w:val="24"/>
                <w:szCs w:val="22"/>
              </w:rPr>
            </w:pPr>
          </w:p>
        </w:tc>
        <w:tc>
          <w:tcPr>
            <w:tcW w:w="804" w:type="dxa"/>
            <w:vMerge w:val="continue"/>
            <w:vAlign w:val="center"/>
          </w:tcPr>
          <w:p>
            <w:pPr>
              <w:widowControl/>
              <w:snapToGrid w:val="0"/>
              <w:rPr>
                <w:rFonts w:ascii="宋体" w:hAnsi="宋体" w:eastAsia="宋体" w:cs="宋体"/>
                <w:spacing w:val="8"/>
                <w:szCs w:val="21"/>
                <w:shd w:val="clear" w:color="auto" w:fill="FFFFFF"/>
              </w:rPr>
            </w:pPr>
          </w:p>
        </w:tc>
        <w:tc>
          <w:tcPr>
            <w:tcW w:w="1269" w:type="dxa"/>
            <w:vAlign w:val="center"/>
          </w:tcPr>
          <w:p>
            <w:pPr>
              <w:widowControl/>
              <w:snapToGrid w:val="0"/>
              <w:jc w:val="center"/>
              <w:rPr>
                <w:rFonts w:ascii="宋体" w:hAnsi="宋体" w:cs="宋体"/>
              </w:rPr>
            </w:pPr>
            <w:r>
              <w:rPr>
                <w:rFonts w:hint="eastAsia" w:ascii="宋体" w:hAnsi="宋体" w:cs="宋体"/>
              </w:rPr>
              <w:t>宣传形式多样化</w:t>
            </w:r>
          </w:p>
          <w:p>
            <w:pPr>
              <w:widowControl/>
              <w:snapToGrid w:val="0"/>
              <w:jc w:val="center"/>
              <w:rPr>
                <w:rFonts w:ascii="宋体" w:hAnsi="宋体" w:eastAsia="宋体" w:cs="宋体"/>
                <w:spacing w:val="8"/>
                <w:szCs w:val="21"/>
                <w:shd w:val="clear" w:color="auto" w:fill="FFFFFF"/>
              </w:rPr>
            </w:pPr>
            <w:r>
              <w:rPr>
                <w:rFonts w:hint="eastAsia" w:ascii="宋体" w:hAnsi="宋体" w:cs="宋体"/>
              </w:rPr>
              <w:t>（5分</w:t>
            </w:r>
            <w:r>
              <w:rPr>
                <w:rFonts w:hint="eastAsia" w:ascii="宋体" w:hAnsi="宋体" w:cs="宋体"/>
                <w:kern w:val="0"/>
                <w:szCs w:val="21"/>
              </w:rPr>
              <w:t>）</w:t>
            </w:r>
          </w:p>
        </w:tc>
        <w:tc>
          <w:tcPr>
            <w:tcW w:w="5415" w:type="dxa"/>
            <w:vAlign w:val="center"/>
          </w:tcPr>
          <w:p>
            <w:pPr>
              <w:rPr>
                <w:rFonts w:ascii="宋体" w:hAnsi="宋体" w:eastAsia="宋体" w:cs="宋体"/>
                <w:spacing w:val="8"/>
                <w:szCs w:val="21"/>
                <w:shd w:val="clear" w:color="auto" w:fill="FFFFFF"/>
              </w:rPr>
            </w:pPr>
            <w:r>
              <w:rPr>
                <w:rFonts w:hint="eastAsia" w:ascii="宋体" w:hAnsi="宋体" w:cs="宋体"/>
              </w:rPr>
              <w:t>宣传形式达到5种以上得满分，每减少</w:t>
            </w:r>
            <w:r>
              <w:rPr>
                <w:rFonts w:hint="eastAsia" w:ascii="宋体" w:hAnsi="宋体" w:cs="宋体"/>
                <w:kern w:val="0"/>
                <w:szCs w:val="21"/>
              </w:rPr>
              <w:t>1种扣1分。</w:t>
            </w:r>
          </w:p>
        </w:tc>
        <w:tc>
          <w:tcPr>
            <w:tcW w:w="817" w:type="dxa"/>
            <w:vAlign w:val="center"/>
          </w:tcPr>
          <w:p>
            <w:pPr>
              <w:jc w:val="center"/>
              <w:rPr>
                <w:rFonts w:ascii="宋体" w:hAnsi="宋体" w:eastAsia="宋体" w:cs="宋体"/>
                <w:spacing w:val="8"/>
                <w:szCs w:val="21"/>
                <w:shd w:val="clear" w:color="auto" w:fill="FFFFFF"/>
              </w:rPr>
            </w:pPr>
            <w:r>
              <w:rPr>
                <w:rFonts w:hint="eastAsia" w:ascii="宋体" w:hAnsi="宋体" w:eastAsia="宋体" w:cs="宋体"/>
                <w:spacing w:val="8"/>
                <w:szCs w:val="21"/>
                <w:shd w:val="clear" w:color="auto" w:fill="FFFFFF"/>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699" w:type="dxa"/>
            <w:vMerge w:val="continue"/>
          </w:tcPr>
          <w:p>
            <w:pPr>
              <w:jc w:val="center"/>
              <w:rPr>
                <w:rFonts w:ascii="宋体" w:hAnsi="宋体" w:eastAsia="宋体" w:cs="宋体"/>
                <w:b/>
                <w:bCs/>
                <w:color w:val="000000"/>
                <w:sz w:val="24"/>
                <w:szCs w:val="22"/>
              </w:rPr>
            </w:pPr>
          </w:p>
        </w:tc>
        <w:tc>
          <w:tcPr>
            <w:tcW w:w="804" w:type="dxa"/>
            <w:vMerge w:val="continue"/>
            <w:vAlign w:val="center"/>
          </w:tcPr>
          <w:p>
            <w:pPr>
              <w:widowControl/>
              <w:snapToGrid w:val="0"/>
              <w:rPr>
                <w:rFonts w:ascii="宋体" w:hAnsi="宋体" w:eastAsia="宋体" w:cs="宋体"/>
                <w:spacing w:val="8"/>
                <w:szCs w:val="21"/>
                <w:shd w:val="clear" w:color="auto" w:fill="FFFFFF"/>
              </w:rPr>
            </w:pPr>
          </w:p>
        </w:tc>
        <w:tc>
          <w:tcPr>
            <w:tcW w:w="1269" w:type="dxa"/>
            <w:vAlign w:val="center"/>
          </w:tcPr>
          <w:p>
            <w:pPr>
              <w:widowControl/>
              <w:snapToGrid w:val="0"/>
              <w:jc w:val="center"/>
              <w:rPr>
                <w:rFonts w:ascii="宋体" w:hAnsi="宋体" w:cs="宋体"/>
                <w:kern w:val="0"/>
                <w:szCs w:val="21"/>
              </w:rPr>
            </w:pPr>
            <w:r>
              <w:rPr>
                <w:rFonts w:hint="eastAsia" w:ascii="宋体" w:hAnsi="宋体" w:cs="宋体"/>
                <w:kern w:val="0"/>
                <w:szCs w:val="21"/>
              </w:rPr>
              <w:t>新四进</w:t>
            </w:r>
          </w:p>
          <w:p>
            <w:pPr>
              <w:widowControl/>
              <w:snapToGrid w:val="0"/>
              <w:jc w:val="center"/>
              <w:rPr>
                <w:rFonts w:ascii="宋体" w:hAnsi="宋体" w:cs="宋体"/>
                <w:kern w:val="0"/>
                <w:szCs w:val="21"/>
              </w:rPr>
            </w:pPr>
            <w:r>
              <w:rPr>
                <w:rFonts w:hint="eastAsia" w:ascii="宋体" w:hAnsi="宋体" w:cs="宋体"/>
                <w:kern w:val="0"/>
                <w:szCs w:val="21"/>
              </w:rPr>
              <w:t>全覆盖</w:t>
            </w:r>
          </w:p>
          <w:p>
            <w:pPr>
              <w:widowControl/>
              <w:snapToGrid w:val="0"/>
              <w:jc w:val="center"/>
              <w:rPr>
                <w:rFonts w:ascii="宋体" w:hAnsi="宋体" w:eastAsia="宋体" w:cs="宋体"/>
                <w:spacing w:val="8"/>
                <w:szCs w:val="21"/>
                <w:shd w:val="clear" w:color="auto" w:fill="FFFFFF"/>
              </w:rPr>
            </w:pPr>
            <w:r>
              <w:rPr>
                <w:rFonts w:hint="eastAsia" w:ascii="宋体" w:hAnsi="宋体" w:cs="宋体"/>
              </w:rPr>
              <w:t>（4分</w:t>
            </w:r>
            <w:r>
              <w:rPr>
                <w:rFonts w:hint="eastAsia" w:ascii="宋体" w:hAnsi="宋体" w:cs="宋体"/>
                <w:kern w:val="0"/>
                <w:szCs w:val="21"/>
              </w:rPr>
              <w:t>）</w:t>
            </w:r>
          </w:p>
        </w:tc>
        <w:tc>
          <w:tcPr>
            <w:tcW w:w="5415" w:type="dxa"/>
            <w:vAlign w:val="center"/>
          </w:tcPr>
          <w:p>
            <w:pPr>
              <w:rPr>
                <w:rFonts w:ascii="宋体" w:hAnsi="宋体" w:eastAsia="宋体" w:cs="宋体"/>
                <w:spacing w:val="8"/>
                <w:szCs w:val="21"/>
                <w:shd w:val="clear" w:color="auto" w:fill="FFFFFF"/>
              </w:rPr>
            </w:pPr>
            <w:r>
              <w:rPr>
                <w:rFonts w:hint="eastAsia" w:ascii="宋体" w:hAnsi="宋体" w:cs="宋体"/>
              </w:rPr>
              <w:t>实现进广场、进景区、进公共文化场所、进高速服务区</w:t>
            </w:r>
            <w:r>
              <w:rPr>
                <w:rFonts w:hint="eastAsia" w:ascii="宋体" w:hAnsi="宋体" w:cs="宋体"/>
                <w:kern w:val="0"/>
                <w:szCs w:val="21"/>
              </w:rPr>
              <w:t>新四进全覆盖得满分，未达到全覆盖，每</w:t>
            </w:r>
            <w:r>
              <w:rPr>
                <w:rFonts w:hint="eastAsia" w:ascii="宋体" w:hAnsi="宋体" w:cs="宋体"/>
              </w:rPr>
              <w:t>少</w:t>
            </w:r>
            <w:r>
              <w:rPr>
                <w:rFonts w:hint="eastAsia" w:ascii="宋体" w:hAnsi="宋体" w:cs="宋体"/>
                <w:kern w:val="0"/>
                <w:szCs w:val="21"/>
              </w:rPr>
              <w:t>1项扣1分。</w:t>
            </w:r>
          </w:p>
        </w:tc>
        <w:tc>
          <w:tcPr>
            <w:tcW w:w="817" w:type="dxa"/>
            <w:vAlign w:val="center"/>
          </w:tcPr>
          <w:p>
            <w:pPr>
              <w:jc w:val="center"/>
              <w:rPr>
                <w:rFonts w:ascii="宋体" w:hAnsi="宋体" w:eastAsia="宋体" w:cs="宋体"/>
                <w:spacing w:val="8"/>
                <w:szCs w:val="21"/>
                <w:shd w:val="clear" w:color="auto" w:fill="FFFFFF"/>
              </w:rPr>
            </w:pPr>
            <w:r>
              <w:rPr>
                <w:rFonts w:hint="eastAsia" w:ascii="宋体" w:hAnsi="宋体" w:eastAsia="宋体" w:cs="宋体"/>
                <w:spacing w:val="8"/>
                <w:szCs w:val="21"/>
                <w:shd w:val="clear" w:color="auto" w:fill="FFFFFF"/>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699" w:type="dxa"/>
            <w:vMerge w:val="continue"/>
          </w:tcPr>
          <w:p>
            <w:pPr>
              <w:jc w:val="center"/>
              <w:rPr>
                <w:rFonts w:ascii="宋体" w:hAnsi="宋体" w:eastAsia="宋体" w:cs="宋体"/>
                <w:b/>
                <w:bCs/>
                <w:color w:val="000000"/>
                <w:sz w:val="24"/>
                <w:szCs w:val="22"/>
              </w:rPr>
            </w:pPr>
          </w:p>
        </w:tc>
        <w:tc>
          <w:tcPr>
            <w:tcW w:w="804" w:type="dxa"/>
            <w:vMerge w:val="restart"/>
            <w:vAlign w:val="center"/>
          </w:tcPr>
          <w:p>
            <w:pPr>
              <w:widowControl/>
              <w:snapToGrid w:val="0"/>
              <w:jc w:val="center"/>
              <w:rPr>
                <w:rFonts w:ascii="宋体" w:hAnsi="宋体" w:eastAsia="宋体" w:cs="宋体"/>
                <w:kern w:val="0"/>
                <w:szCs w:val="21"/>
              </w:rPr>
            </w:pPr>
            <w:r>
              <w:rPr>
                <w:rFonts w:hint="eastAsia" w:ascii="宋体" w:hAnsi="宋体" w:eastAsia="宋体" w:cs="宋体"/>
                <w:kern w:val="0"/>
                <w:szCs w:val="21"/>
              </w:rPr>
              <w:t>可持续</w:t>
            </w:r>
          </w:p>
          <w:p>
            <w:pPr>
              <w:widowControl/>
              <w:snapToGrid w:val="0"/>
              <w:jc w:val="center"/>
              <w:rPr>
                <w:rFonts w:ascii="宋体" w:hAnsi="宋体" w:eastAsia="宋体" w:cs="宋体"/>
                <w:kern w:val="0"/>
                <w:szCs w:val="21"/>
              </w:rPr>
            </w:pPr>
            <w:r>
              <w:rPr>
                <w:rFonts w:hint="eastAsia" w:ascii="宋体" w:hAnsi="宋体" w:eastAsia="宋体" w:cs="宋体"/>
                <w:kern w:val="0"/>
                <w:szCs w:val="21"/>
              </w:rPr>
              <w:t>影响</w:t>
            </w:r>
          </w:p>
          <w:p>
            <w:pPr>
              <w:widowControl/>
              <w:snapToGrid w:val="0"/>
              <w:jc w:val="center"/>
              <w:rPr>
                <w:rFonts w:ascii="宋体" w:hAnsi="宋体" w:eastAsia="宋体" w:cs="宋体"/>
                <w:spacing w:val="8"/>
                <w:szCs w:val="21"/>
                <w:shd w:val="clear" w:color="auto" w:fill="FFFFFF"/>
              </w:rPr>
            </w:pPr>
            <w:r>
              <w:rPr>
                <w:rFonts w:hint="eastAsia" w:ascii="宋体" w:hAnsi="宋体" w:eastAsia="宋体" w:cs="宋体"/>
                <w:kern w:val="0"/>
                <w:szCs w:val="21"/>
              </w:rPr>
              <w:t>（15分）</w:t>
            </w:r>
          </w:p>
        </w:tc>
        <w:tc>
          <w:tcPr>
            <w:tcW w:w="1269" w:type="dxa"/>
            <w:vAlign w:val="center"/>
          </w:tcPr>
          <w:p>
            <w:pPr>
              <w:widowControl/>
              <w:snapToGrid w:val="0"/>
              <w:jc w:val="center"/>
              <w:rPr>
                <w:rFonts w:ascii="宋体" w:hAnsi="宋体" w:cs="宋体"/>
                <w:kern w:val="0"/>
                <w:szCs w:val="21"/>
              </w:rPr>
            </w:pPr>
            <w:r>
              <w:rPr>
                <w:rFonts w:hint="eastAsia" w:ascii="宋体" w:hAnsi="宋体" w:cs="宋体"/>
                <w:kern w:val="0"/>
                <w:szCs w:val="21"/>
              </w:rPr>
              <w:t>宣教次数</w:t>
            </w:r>
          </w:p>
          <w:p>
            <w:pPr>
              <w:widowControl/>
              <w:snapToGrid w:val="0"/>
              <w:jc w:val="center"/>
              <w:rPr>
                <w:rFonts w:ascii="宋体" w:hAnsi="宋体" w:eastAsia="宋体" w:cs="宋体"/>
                <w:spacing w:val="8"/>
                <w:szCs w:val="21"/>
                <w:shd w:val="clear" w:color="auto" w:fill="FFFFFF"/>
              </w:rPr>
            </w:pPr>
            <w:r>
              <w:rPr>
                <w:rFonts w:hint="eastAsia" w:ascii="宋体" w:hAnsi="宋体" w:cs="宋体"/>
              </w:rPr>
              <w:t>（5分</w:t>
            </w:r>
            <w:r>
              <w:rPr>
                <w:rFonts w:hint="eastAsia" w:ascii="宋体" w:hAnsi="宋体" w:cs="宋体"/>
                <w:kern w:val="0"/>
                <w:szCs w:val="21"/>
              </w:rPr>
              <w:t>）</w:t>
            </w:r>
          </w:p>
        </w:tc>
        <w:tc>
          <w:tcPr>
            <w:tcW w:w="5415" w:type="dxa"/>
            <w:vAlign w:val="center"/>
          </w:tcPr>
          <w:p>
            <w:pPr>
              <w:rPr>
                <w:rFonts w:ascii="宋体" w:hAnsi="宋体" w:eastAsia="宋体" w:cs="宋体"/>
                <w:spacing w:val="8"/>
                <w:szCs w:val="21"/>
                <w:shd w:val="clear" w:color="auto" w:fill="FFFFFF"/>
              </w:rPr>
            </w:pPr>
            <w:r>
              <w:rPr>
                <w:rFonts w:hint="eastAsia" w:ascii="宋体" w:hAnsi="宋体" w:cs="宋体"/>
                <w:szCs w:val="32"/>
              </w:rPr>
              <w:t>组织宣传教育活动1场</w:t>
            </w:r>
            <w:r>
              <w:rPr>
                <w:rFonts w:hint="eastAsia" w:ascii="宋体" w:hAnsi="宋体" w:cs="宋体"/>
              </w:rPr>
              <w:t>得0.1分，满分5分。</w:t>
            </w:r>
          </w:p>
        </w:tc>
        <w:tc>
          <w:tcPr>
            <w:tcW w:w="817" w:type="dxa"/>
            <w:vAlign w:val="center"/>
          </w:tcPr>
          <w:p>
            <w:pPr>
              <w:jc w:val="center"/>
              <w:rPr>
                <w:rFonts w:ascii="宋体" w:hAnsi="宋体" w:eastAsia="宋体" w:cs="宋体"/>
                <w:spacing w:val="8"/>
                <w:szCs w:val="21"/>
                <w:shd w:val="clear" w:color="auto" w:fill="FFFFFF"/>
              </w:rPr>
            </w:pPr>
            <w:r>
              <w:rPr>
                <w:rFonts w:hint="eastAsia" w:ascii="宋体" w:hAnsi="宋体" w:eastAsia="宋体" w:cs="宋体"/>
                <w:spacing w:val="8"/>
                <w:szCs w:val="21"/>
                <w:shd w:val="clear" w:color="auto" w:fill="FFFFFF"/>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6" w:hRule="atLeast"/>
        </w:trPr>
        <w:tc>
          <w:tcPr>
            <w:tcW w:w="699" w:type="dxa"/>
            <w:vMerge w:val="continue"/>
          </w:tcPr>
          <w:p>
            <w:pPr>
              <w:jc w:val="center"/>
              <w:rPr>
                <w:rFonts w:ascii="宋体" w:hAnsi="宋体" w:eastAsia="宋体" w:cs="宋体"/>
                <w:b/>
                <w:bCs/>
                <w:color w:val="000000"/>
                <w:sz w:val="24"/>
                <w:szCs w:val="22"/>
              </w:rPr>
            </w:pPr>
          </w:p>
        </w:tc>
        <w:tc>
          <w:tcPr>
            <w:tcW w:w="804" w:type="dxa"/>
            <w:vMerge w:val="continue"/>
            <w:vAlign w:val="center"/>
          </w:tcPr>
          <w:p>
            <w:pPr>
              <w:widowControl/>
              <w:snapToGrid w:val="0"/>
              <w:jc w:val="center"/>
              <w:rPr>
                <w:rFonts w:ascii="宋体" w:hAnsi="宋体" w:eastAsia="宋体" w:cs="宋体"/>
                <w:spacing w:val="8"/>
                <w:szCs w:val="21"/>
                <w:shd w:val="clear" w:color="auto" w:fill="FFFFFF"/>
              </w:rPr>
            </w:pPr>
          </w:p>
        </w:tc>
        <w:tc>
          <w:tcPr>
            <w:tcW w:w="1269" w:type="dxa"/>
            <w:vAlign w:val="center"/>
          </w:tcPr>
          <w:p>
            <w:pPr>
              <w:widowControl/>
              <w:snapToGrid w:val="0"/>
              <w:jc w:val="center"/>
              <w:rPr>
                <w:rFonts w:ascii="宋体" w:hAnsi="宋体" w:cs="宋体"/>
                <w:kern w:val="0"/>
                <w:szCs w:val="21"/>
              </w:rPr>
            </w:pPr>
            <w:r>
              <w:rPr>
                <w:rFonts w:hint="eastAsia" w:ascii="宋体" w:hAnsi="宋体" w:cs="宋体"/>
                <w:kern w:val="0"/>
                <w:szCs w:val="21"/>
              </w:rPr>
              <w:t>宣传</w:t>
            </w:r>
          </w:p>
          <w:p>
            <w:pPr>
              <w:widowControl/>
              <w:snapToGrid w:val="0"/>
              <w:jc w:val="center"/>
              <w:rPr>
                <w:rFonts w:ascii="宋体" w:hAnsi="宋体" w:cs="宋体"/>
                <w:kern w:val="0"/>
                <w:szCs w:val="21"/>
              </w:rPr>
            </w:pPr>
            <w:r>
              <w:rPr>
                <w:rFonts w:hint="eastAsia" w:ascii="宋体" w:hAnsi="宋体" w:cs="宋体"/>
                <w:kern w:val="0"/>
                <w:szCs w:val="21"/>
              </w:rPr>
              <w:t>覆盖率</w:t>
            </w:r>
          </w:p>
          <w:p>
            <w:pPr>
              <w:widowControl/>
              <w:snapToGrid w:val="0"/>
              <w:jc w:val="center"/>
              <w:rPr>
                <w:rFonts w:ascii="宋体" w:hAnsi="宋体" w:eastAsia="宋体" w:cs="宋体"/>
                <w:spacing w:val="8"/>
                <w:szCs w:val="21"/>
                <w:shd w:val="clear" w:color="auto" w:fill="FFFFFF"/>
              </w:rPr>
            </w:pPr>
            <w:r>
              <w:rPr>
                <w:rFonts w:hint="eastAsia" w:ascii="宋体" w:hAnsi="宋体" w:cs="宋体"/>
              </w:rPr>
              <w:t>（5分</w:t>
            </w:r>
            <w:r>
              <w:rPr>
                <w:rFonts w:hint="eastAsia" w:ascii="宋体" w:hAnsi="宋体" w:cs="宋体"/>
                <w:kern w:val="0"/>
                <w:szCs w:val="21"/>
              </w:rPr>
              <w:t>）</w:t>
            </w:r>
          </w:p>
        </w:tc>
        <w:tc>
          <w:tcPr>
            <w:tcW w:w="5415" w:type="dxa"/>
            <w:vAlign w:val="center"/>
          </w:tcPr>
          <w:p>
            <w:pPr>
              <w:rPr>
                <w:rFonts w:ascii="宋体" w:hAnsi="宋体" w:eastAsia="宋体" w:cs="宋体"/>
                <w:spacing w:val="8"/>
                <w:szCs w:val="21"/>
                <w:shd w:val="clear" w:color="auto" w:fill="FFFFFF"/>
              </w:rPr>
            </w:pPr>
            <w:r>
              <w:rPr>
                <w:rFonts w:hint="eastAsia" w:ascii="宋体" w:hAnsi="宋体" w:cs="宋体"/>
                <w:szCs w:val="32"/>
              </w:rPr>
              <w:t>根据调查问卷，对于禁毒宣传的群众知晓率≥90%得满分，群众知晓率＜90%每降低1%扣1分，扣完为止。</w:t>
            </w:r>
          </w:p>
        </w:tc>
        <w:tc>
          <w:tcPr>
            <w:tcW w:w="817" w:type="dxa"/>
            <w:vAlign w:val="center"/>
          </w:tcPr>
          <w:p>
            <w:pPr>
              <w:jc w:val="center"/>
              <w:rPr>
                <w:rFonts w:ascii="宋体" w:hAnsi="宋体" w:eastAsia="宋体" w:cs="宋体"/>
                <w:spacing w:val="8"/>
                <w:szCs w:val="21"/>
                <w:shd w:val="clear" w:color="auto" w:fill="FFFFFF"/>
              </w:rPr>
            </w:pPr>
            <w:r>
              <w:rPr>
                <w:rFonts w:hint="eastAsia" w:ascii="宋体" w:hAnsi="宋体" w:eastAsia="宋体" w:cs="宋体"/>
                <w:spacing w:val="8"/>
                <w:szCs w:val="21"/>
                <w:shd w:val="clear" w:color="auto" w:fill="FFFFFF"/>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699" w:type="dxa"/>
            <w:vMerge w:val="continue"/>
          </w:tcPr>
          <w:p>
            <w:pPr>
              <w:jc w:val="center"/>
              <w:rPr>
                <w:rFonts w:ascii="宋体" w:hAnsi="宋体" w:eastAsia="宋体" w:cs="宋体"/>
                <w:b/>
                <w:bCs/>
                <w:color w:val="000000"/>
                <w:sz w:val="24"/>
                <w:szCs w:val="22"/>
              </w:rPr>
            </w:pPr>
          </w:p>
        </w:tc>
        <w:tc>
          <w:tcPr>
            <w:tcW w:w="804" w:type="dxa"/>
            <w:vMerge w:val="continue"/>
            <w:vAlign w:val="center"/>
          </w:tcPr>
          <w:p>
            <w:pPr>
              <w:widowControl/>
              <w:snapToGrid w:val="0"/>
              <w:jc w:val="center"/>
              <w:rPr>
                <w:rFonts w:ascii="宋体" w:hAnsi="宋体" w:eastAsia="宋体" w:cs="宋体"/>
                <w:spacing w:val="8"/>
                <w:szCs w:val="21"/>
                <w:shd w:val="clear" w:color="auto" w:fill="FFFFFF"/>
              </w:rPr>
            </w:pPr>
          </w:p>
        </w:tc>
        <w:tc>
          <w:tcPr>
            <w:tcW w:w="1269" w:type="dxa"/>
            <w:vAlign w:val="center"/>
          </w:tcPr>
          <w:p>
            <w:pPr>
              <w:widowControl/>
              <w:snapToGrid w:val="0"/>
              <w:jc w:val="center"/>
              <w:rPr>
                <w:rFonts w:ascii="宋体" w:hAnsi="宋体" w:cs="宋体"/>
                <w:kern w:val="0"/>
                <w:szCs w:val="21"/>
              </w:rPr>
            </w:pPr>
            <w:r>
              <w:rPr>
                <w:rFonts w:hint="eastAsia" w:ascii="宋体" w:hAnsi="宋体" w:cs="宋体"/>
                <w:kern w:val="0"/>
                <w:szCs w:val="21"/>
              </w:rPr>
              <w:t>社工队伍</w:t>
            </w:r>
          </w:p>
          <w:p>
            <w:pPr>
              <w:widowControl/>
              <w:snapToGrid w:val="0"/>
              <w:jc w:val="center"/>
              <w:rPr>
                <w:rFonts w:ascii="宋体" w:hAnsi="宋体" w:cs="宋体"/>
                <w:kern w:val="0"/>
                <w:szCs w:val="21"/>
              </w:rPr>
            </w:pPr>
            <w:r>
              <w:rPr>
                <w:rFonts w:hint="eastAsia" w:ascii="宋体" w:hAnsi="宋体" w:cs="宋体"/>
                <w:kern w:val="0"/>
                <w:szCs w:val="21"/>
              </w:rPr>
              <w:t>建设</w:t>
            </w:r>
          </w:p>
          <w:p>
            <w:pPr>
              <w:widowControl/>
              <w:snapToGrid w:val="0"/>
              <w:jc w:val="center"/>
              <w:rPr>
                <w:rFonts w:ascii="宋体" w:hAnsi="宋体" w:eastAsia="宋体" w:cs="宋体"/>
                <w:spacing w:val="8"/>
                <w:szCs w:val="21"/>
                <w:shd w:val="clear" w:color="auto" w:fill="FFFFFF"/>
              </w:rPr>
            </w:pPr>
            <w:r>
              <w:rPr>
                <w:rFonts w:hint="eastAsia" w:ascii="宋体" w:hAnsi="宋体" w:cs="宋体"/>
              </w:rPr>
              <w:t>（5分</w:t>
            </w:r>
            <w:r>
              <w:rPr>
                <w:rFonts w:hint="eastAsia" w:ascii="宋体" w:hAnsi="宋体" w:cs="宋体"/>
                <w:kern w:val="0"/>
                <w:szCs w:val="21"/>
              </w:rPr>
              <w:t>）</w:t>
            </w:r>
          </w:p>
        </w:tc>
        <w:tc>
          <w:tcPr>
            <w:tcW w:w="5415" w:type="dxa"/>
            <w:vAlign w:val="center"/>
          </w:tcPr>
          <w:p>
            <w:pPr>
              <w:widowControl/>
              <w:snapToGrid w:val="0"/>
              <w:jc w:val="left"/>
              <w:rPr>
                <w:rFonts w:ascii="宋体" w:hAnsi="宋体" w:eastAsia="宋体" w:cs="宋体"/>
                <w:spacing w:val="8"/>
                <w:szCs w:val="21"/>
                <w:shd w:val="clear" w:color="auto" w:fill="FFFFFF"/>
              </w:rPr>
            </w:pPr>
            <w:r>
              <w:rPr>
                <w:rFonts w:hint="eastAsia" w:ascii="宋体" w:hAnsi="宋体" w:cs="宋体"/>
              </w:rPr>
              <w:t>社工队伍建设达到1</w:t>
            </w:r>
            <w:r>
              <w:rPr>
                <w:rFonts w:hint="eastAsia" w:ascii="宋体" w:hAnsi="宋体" w:cs="宋体"/>
                <w:lang w:val="en-US" w:eastAsia="zh-CN"/>
              </w:rPr>
              <w:t>3</w:t>
            </w:r>
            <w:r>
              <w:rPr>
                <w:rFonts w:hint="eastAsia" w:ascii="宋体" w:hAnsi="宋体" w:cs="宋体"/>
              </w:rPr>
              <w:t>名满分，未达到1</w:t>
            </w:r>
            <w:r>
              <w:rPr>
                <w:rFonts w:hint="eastAsia" w:ascii="宋体" w:hAnsi="宋体" w:cs="宋体"/>
                <w:lang w:val="en-US" w:eastAsia="zh-CN"/>
              </w:rPr>
              <w:t>3</w:t>
            </w:r>
            <w:r>
              <w:rPr>
                <w:rFonts w:hint="eastAsia" w:ascii="宋体" w:hAnsi="宋体" w:cs="宋体"/>
              </w:rPr>
              <w:t>名每少1名扣0.5分，扣完为止。</w:t>
            </w:r>
          </w:p>
        </w:tc>
        <w:tc>
          <w:tcPr>
            <w:tcW w:w="817" w:type="dxa"/>
            <w:vAlign w:val="center"/>
          </w:tcPr>
          <w:p>
            <w:pPr>
              <w:jc w:val="center"/>
              <w:rPr>
                <w:rFonts w:hint="eastAsia" w:ascii="宋体" w:hAnsi="宋体" w:eastAsia="宋体" w:cs="宋体"/>
                <w:spacing w:val="8"/>
                <w:szCs w:val="21"/>
                <w:shd w:val="clear" w:color="auto" w:fill="FFFFFF"/>
                <w:lang w:eastAsia="zh-CN"/>
              </w:rPr>
            </w:pPr>
            <w:r>
              <w:rPr>
                <w:rFonts w:hint="eastAsia" w:ascii="宋体" w:hAnsi="宋体" w:eastAsia="宋体" w:cs="宋体"/>
                <w:spacing w:val="8"/>
                <w:szCs w:val="21"/>
                <w:shd w:val="clear" w:color="auto" w:fill="FFFFFF"/>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Merge w:val="continue"/>
          </w:tcPr>
          <w:p>
            <w:pPr>
              <w:jc w:val="center"/>
              <w:rPr>
                <w:rFonts w:ascii="宋体" w:hAnsi="宋体" w:eastAsia="宋体" w:cs="宋体"/>
                <w:b/>
                <w:bCs/>
                <w:color w:val="000000"/>
                <w:sz w:val="24"/>
                <w:szCs w:val="22"/>
              </w:rPr>
            </w:pPr>
          </w:p>
        </w:tc>
        <w:tc>
          <w:tcPr>
            <w:tcW w:w="804" w:type="dxa"/>
            <w:vMerge w:val="restart"/>
            <w:vAlign w:val="center"/>
          </w:tcPr>
          <w:p>
            <w:pPr>
              <w:widowControl/>
              <w:snapToGrid w:val="0"/>
              <w:jc w:val="center"/>
              <w:rPr>
                <w:rFonts w:ascii="宋体" w:hAnsi="宋体" w:eastAsia="宋体" w:cs="宋体"/>
                <w:kern w:val="0"/>
                <w:szCs w:val="21"/>
              </w:rPr>
            </w:pPr>
            <w:r>
              <w:rPr>
                <w:rFonts w:hint="eastAsia" w:ascii="宋体" w:hAnsi="宋体" w:eastAsia="宋体" w:cs="宋体"/>
                <w:kern w:val="0"/>
                <w:szCs w:val="21"/>
              </w:rPr>
              <w:t>满意度</w:t>
            </w:r>
          </w:p>
          <w:p>
            <w:pPr>
              <w:widowControl/>
              <w:snapToGrid w:val="0"/>
              <w:jc w:val="center"/>
              <w:rPr>
                <w:rFonts w:ascii="宋体" w:hAnsi="宋体" w:eastAsia="宋体" w:cs="宋体"/>
                <w:spacing w:val="8"/>
                <w:szCs w:val="21"/>
                <w:shd w:val="clear" w:color="auto" w:fill="FFFFFF"/>
              </w:rPr>
            </w:pPr>
            <w:r>
              <w:rPr>
                <w:rFonts w:hint="eastAsia" w:ascii="宋体" w:hAnsi="宋体" w:eastAsia="宋体" w:cs="宋体"/>
                <w:kern w:val="0"/>
                <w:szCs w:val="21"/>
              </w:rPr>
              <w:t>（12分）</w:t>
            </w:r>
          </w:p>
        </w:tc>
        <w:tc>
          <w:tcPr>
            <w:tcW w:w="1269" w:type="dxa"/>
            <w:vAlign w:val="center"/>
          </w:tcPr>
          <w:p>
            <w:pPr>
              <w:widowControl/>
              <w:snapToGrid w:val="0"/>
              <w:jc w:val="center"/>
              <w:rPr>
                <w:rFonts w:ascii="宋体" w:hAnsi="宋体" w:eastAsia="宋体" w:cs="宋体"/>
                <w:kern w:val="0"/>
                <w:szCs w:val="21"/>
              </w:rPr>
            </w:pPr>
            <w:r>
              <w:rPr>
                <w:rFonts w:hint="eastAsia" w:ascii="宋体" w:hAnsi="宋体" w:eastAsia="宋体" w:cs="宋体"/>
                <w:kern w:val="0"/>
                <w:szCs w:val="21"/>
              </w:rPr>
              <w:t>上级</w:t>
            </w:r>
          </w:p>
          <w:p>
            <w:pPr>
              <w:widowControl/>
              <w:snapToGrid w:val="0"/>
              <w:jc w:val="center"/>
              <w:rPr>
                <w:rFonts w:ascii="宋体" w:hAnsi="宋体" w:eastAsia="宋体" w:cs="宋体"/>
                <w:kern w:val="0"/>
                <w:szCs w:val="21"/>
              </w:rPr>
            </w:pPr>
            <w:r>
              <w:rPr>
                <w:rFonts w:hint="eastAsia" w:ascii="宋体" w:hAnsi="宋体" w:cs="宋体"/>
                <w:kern w:val="0"/>
                <w:szCs w:val="21"/>
              </w:rPr>
              <w:t>主管</w:t>
            </w:r>
            <w:r>
              <w:rPr>
                <w:rFonts w:hint="eastAsia" w:ascii="宋体" w:hAnsi="宋体" w:eastAsia="宋体" w:cs="宋体"/>
                <w:kern w:val="0"/>
                <w:szCs w:val="21"/>
              </w:rPr>
              <w:t>部门</w:t>
            </w:r>
          </w:p>
          <w:p>
            <w:pPr>
              <w:widowControl/>
              <w:snapToGrid w:val="0"/>
              <w:jc w:val="center"/>
              <w:rPr>
                <w:rFonts w:ascii="宋体" w:hAnsi="宋体" w:eastAsia="宋体" w:cs="宋体"/>
                <w:kern w:val="0"/>
                <w:szCs w:val="21"/>
              </w:rPr>
            </w:pPr>
            <w:r>
              <w:rPr>
                <w:rFonts w:hint="eastAsia" w:ascii="宋体" w:hAnsi="宋体" w:eastAsia="宋体" w:cs="宋体"/>
                <w:kern w:val="0"/>
                <w:szCs w:val="21"/>
              </w:rPr>
              <w:t>满意度</w:t>
            </w:r>
          </w:p>
          <w:p>
            <w:pPr>
              <w:widowControl/>
              <w:snapToGrid w:val="0"/>
              <w:jc w:val="center"/>
              <w:rPr>
                <w:rFonts w:ascii="宋体" w:hAnsi="宋体" w:eastAsia="宋体" w:cs="宋体"/>
                <w:spacing w:val="8"/>
                <w:szCs w:val="21"/>
                <w:shd w:val="clear" w:color="auto" w:fill="FFFFFF"/>
              </w:rPr>
            </w:pPr>
            <w:r>
              <w:t>（</w:t>
            </w:r>
            <w:r>
              <w:rPr>
                <w:rFonts w:hint="eastAsia" w:ascii="宋体" w:hAnsi="宋体" w:eastAsia="宋体" w:cs="宋体"/>
                <w:kern w:val="0"/>
                <w:szCs w:val="21"/>
              </w:rPr>
              <w:t>6分）</w:t>
            </w:r>
          </w:p>
        </w:tc>
        <w:tc>
          <w:tcPr>
            <w:tcW w:w="5415" w:type="dxa"/>
            <w:vAlign w:val="center"/>
          </w:tcPr>
          <w:p>
            <w:pPr>
              <w:widowControl/>
              <w:snapToGrid w:val="0"/>
              <w:jc w:val="left"/>
              <w:rPr>
                <w:rFonts w:ascii="宋体" w:hAnsi="宋体" w:eastAsia="宋体" w:cs="宋体"/>
                <w:spacing w:val="8"/>
                <w:szCs w:val="21"/>
              </w:rPr>
            </w:pPr>
            <w:r>
              <w:rPr>
                <w:rFonts w:hint="eastAsia" w:ascii="宋体" w:hAnsi="宋体"/>
                <w:kern w:val="0"/>
                <w:sz w:val="20"/>
                <w:szCs w:val="20"/>
              </w:rPr>
              <w:t>摘掉“禁毒重点关注地区”帽子得6分，未摘帽但获得市级（含）以上领导表扬得3分。</w:t>
            </w:r>
          </w:p>
        </w:tc>
        <w:tc>
          <w:tcPr>
            <w:tcW w:w="817" w:type="dxa"/>
            <w:vAlign w:val="center"/>
          </w:tcPr>
          <w:p>
            <w:pPr>
              <w:pStyle w:val="11"/>
              <w:widowControl/>
              <w:wordWrap w:val="0"/>
              <w:spacing w:beforeAutospacing="0" w:afterAutospacing="0"/>
              <w:jc w:val="center"/>
              <w:rPr>
                <w:rFonts w:ascii="宋体" w:hAnsi="宋体" w:eastAsia="宋体" w:cs="宋体"/>
                <w:spacing w:val="8"/>
                <w:sz w:val="21"/>
                <w:szCs w:val="21"/>
              </w:rPr>
            </w:pPr>
            <w:r>
              <w:rPr>
                <w:rFonts w:hint="eastAsia" w:ascii="宋体" w:hAnsi="宋体" w:eastAsia="宋体" w:cs="宋体"/>
                <w:spacing w:val="8"/>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Merge w:val="continue"/>
          </w:tcPr>
          <w:p>
            <w:pPr>
              <w:jc w:val="center"/>
              <w:rPr>
                <w:rFonts w:ascii="宋体" w:hAnsi="宋体" w:eastAsia="宋体" w:cs="宋体"/>
                <w:b/>
                <w:bCs/>
                <w:color w:val="000000"/>
                <w:sz w:val="24"/>
                <w:szCs w:val="22"/>
              </w:rPr>
            </w:pPr>
          </w:p>
        </w:tc>
        <w:tc>
          <w:tcPr>
            <w:tcW w:w="804" w:type="dxa"/>
            <w:vMerge w:val="continue"/>
            <w:vAlign w:val="center"/>
          </w:tcPr>
          <w:p>
            <w:pPr>
              <w:widowControl/>
              <w:snapToGrid w:val="0"/>
              <w:jc w:val="center"/>
              <w:rPr>
                <w:rFonts w:ascii="宋体" w:hAnsi="宋体" w:eastAsia="宋体" w:cs="宋体"/>
                <w:spacing w:val="8"/>
                <w:szCs w:val="21"/>
                <w:shd w:val="clear" w:color="auto" w:fill="FFFFFF"/>
              </w:rPr>
            </w:pPr>
          </w:p>
        </w:tc>
        <w:tc>
          <w:tcPr>
            <w:tcW w:w="1269" w:type="dxa"/>
            <w:vAlign w:val="center"/>
          </w:tcPr>
          <w:p>
            <w:pPr>
              <w:widowControl/>
              <w:snapToGrid w:val="0"/>
              <w:jc w:val="center"/>
              <w:rPr>
                <w:rFonts w:ascii="宋体" w:hAnsi="宋体" w:cs="宋体"/>
                <w:kern w:val="0"/>
                <w:szCs w:val="21"/>
              </w:rPr>
            </w:pPr>
            <w:r>
              <w:rPr>
                <w:rFonts w:hint="eastAsia" w:ascii="宋体" w:hAnsi="宋体" w:cs="宋体"/>
                <w:kern w:val="0"/>
                <w:szCs w:val="21"/>
              </w:rPr>
              <w:t>群众</w:t>
            </w:r>
          </w:p>
          <w:p>
            <w:pPr>
              <w:widowControl/>
              <w:snapToGrid w:val="0"/>
              <w:jc w:val="center"/>
              <w:rPr>
                <w:rFonts w:ascii="宋体" w:hAnsi="宋体" w:eastAsia="宋体" w:cs="宋体"/>
                <w:kern w:val="0"/>
                <w:szCs w:val="21"/>
              </w:rPr>
            </w:pPr>
            <w:r>
              <w:rPr>
                <w:rFonts w:hint="eastAsia" w:ascii="宋体" w:hAnsi="宋体" w:eastAsia="宋体" w:cs="宋体"/>
                <w:kern w:val="0"/>
                <w:szCs w:val="21"/>
              </w:rPr>
              <w:t>满意度</w:t>
            </w:r>
          </w:p>
          <w:p>
            <w:pPr>
              <w:widowControl/>
              <w:snapToGrid w:val="0"/>
              <w:jc w:val="center"/>
              <w:rPr>
                <w:rFonts w:ascii="宋体" w:hAnsi="宋体" w:eastAsia="宋体" w:cs="宋体"/>
                <w:spacing w:val="8"/>
                <w:szCs w:val="21"/>
                <w:shd w:val="clear" w:color="auto" w:fill="FFFFFF"/>
              </w:rPr>
            </w:pPr>
            <w:r>
              <w:rPr>
                <w:rFonts w:hint="eastAsia" w:ascii="宋体" w:hAnsi="宋体" w:eastAsia="宋体" w:cs="宋体"/>
                <w:kern w:val="0"/>
                <w:szCs w:val="21"/>
              </w:rPr>
              <w:t>（6分）</w:t>
            </w:r>
          </w:p>
        </w:tc>
        <w:tc>
          <w:tcPr>
            <w:tcW w:w="5415" w:type="dxa"/>
            <w:vAlign w:val="center"/>
          </w:tcPr>
          <w:p>
            <w:pPr>
              <w:widowControl/>
              <w:snapToGrid w:val="0"/>
              <w:rPr>
                <w:rFonts w:ascii="宋体" w:hAnsi="宋体" w:eastAsia="宋体" w:cs="宋体"/>
                <w:spacing w:val="8"/>
                <w:szCs w:val="21"/>
              </w:rPr>
            </w:pPr>
            <w:r>
              <w:rPr>
                <w:rFonts w:hint="eastAsia" w:ascii="宋体" w:hAnsi="宋体" w:eastAsia="宋体" w:cs="宋体"/>
                <w:kern w:val="0"/>
                <w:szCs w:val="21"/>
              </w:rPr>
              <w:t>根据问卷调查数据打分，</w:t>
            </w:r>
            <w:r>
              <w:rPr>
                <w:rFonts w:hint="eastAsia" w:asciiTheme="minorEastAsia" w:hAnsiTheme="minorEastAsia" w:cstheme="minorEastAsia"/>
                <w:kern w:val="0"/>
                <w:szCs w:val="21"/>
              </w:rPr>
              <w:t>群众对禁毒宣传方式和力度</w:t>
            </w:r>
            <w:r>
              <w:rPr>
                <w:rFonts w:hint="eastAsia" w:asciiTheme="minorEastAsia" w:hAnsiTheme="minorEastAsia" w:cstheme="minorEastAsia"/>
                <w:kern w:val="0"/>
                <w:szCs w:val="21"/>
                <w:lang w:val="en-US" w:eastAsia="zh-CN"/>
              </w:rPr>
              <w:t>的</w:t>
            </w:r>
            <w:r>
              <w:rPr>
                <w:rFonts w:hint="eastAsia" w:ascii="宋体" w:hAnsi="宋体" w:eastAsia="宋体" w:cs="宋体"/>
                <w:kern w:val="0"/>
                <w:szCs w:val="21"/>
              </w:rPr>
              <w:t>满意度≥90%得满分，</w:t>
            </w:r>
            <w:r>
              <w:rPr>
                <w:rFonts w:hint="eastAsia" w:asciiTheme="minorEastAsia" w:hAnsiTheme="minorEastAsia" w:cstheme="minorEastAsia"/>
                <w:color w:val="auto"/>
                <w:kern w:val="0"/>
                <w:szCs w:val="21"/>
                <w:lang w:val="en-US" w:eastAsia="zh-CN"/>
              </w:rPr>
              <w:t>群众</w:t>
            </w:r>
            <w:r>
              <w:rPr>
                <w:rFonts w:hint="eastAsia" w:ascii="宋体" w:hAnsi="宋体" w:eastAsia="宋体" w:cs="宋体"/>
                <w:kern w:val="0"/>
                <w:szCs w:val="21"/>
              </w:rPr>
              <w:t>满意度＜90%，每降低2%扣1分，扣完为止。</w:t>
            </w:r>
          </w:p>
        </w:tc>
        <w:tc>
          <w:tcPr>
            <w:tcW w:w="817" w:type="dxa"/>
            <w:vAlign w:val="center"/>
          </w:tcPr>
          <w:p>
            <w:pPr>
              <w:pStyle w:val="11"/>
              <w:widowControl/>
              <w:wordWrap w:val="0"/>
              <w:spacing w:beforeAutospacing="0" w:afterAutospacing="0"/>
              <w:jc w:val="center"/>
              <w:rPr>
                <w:rFonts w:ascii="宋体" w:hAnsi="宋体" w:eastAsia="宋体" w:cs="宋体"/>
                <w:spacing w:val="8"/>
                <w:sz w:val="21"/>
                <w:szCs w:val="21"/>
              </w:rPr>
            </w:pPr>
            <w:r>
              <w:rPr>
                <w:rFonts w:hint="eastAsia" w:ascii="宋体" w:hAnsi="宋体" w:eastAsia="宋体" w:cs="宋体"/>
                <w:spacing w:val="8"/>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8187" w:type="dxa"/>
            <w:gridSpan w:val="4"/>
            <w:vAlign w:val="center"/>
          </w:tcPr>
          <w:p>
            <w:pPr>
              <w:pStyle w:val="11"/>
              <w:widowControl/>
              <w:wordWrap w:val="0"/>
              <w:spacing w:beforeAutospacing="0" w:afterAutospacing="0"/>
              <w:jc w:val="center"/>
              <w:rPr>
                <w:rFonts w:ascii="宋体" w:hAnsi="宋体" w:eastAsia="宋体" w:cs="宋体"/>
                <w:spacing w:val="8"/>
                <w:sz w:val="21"/>
                <w:szCs w:val="21"/>
              </w:rPr>
            </w:pPr>
            <w:r>
              <w:rPr>
                <w:rFonts w:hint="eastAsia" w:ascii="宋体" w:hAnsi="宋体" w:eastAsia="宋体" w:cs="宋体"/>
                <w:b/>
                <w:bCs/>
                <w:color w:val="000000"/>
                <w:kern w:val="2"/>
                <w:szCs w:val="22"/>
              </w:rPr>
              <w:t>总分</w:t>
            </w:r>
          </w:p>
        </w:tc>
        <w:tc>
          <w:tcPr>
            <w:tcW w:w="817" w:type="dxa"/>
            <w:vAlign w:val="center"/>
          </w:tcPr>
          <w:p>
            <w:pPr>
              <w:pStyle w:val="11"/>
              <w:widowControl/>
              <w:wordWrap w:val="0"/>
              <w:spacing w:beforeAutospacing="0" w:afterAutospacing="0"/>
              <w:jc w:val="center"/>
              <w:rPr>
                <w:rFonts w:hint="default" w:ascii="宋体" w:hAnsi="宋体" w:eastAsia="宋体" w:cs="宋体"/>
                <w:spacing w:val="8"/>
                <w:sz w:val="21"/>
                <w:szCs w:val="21"/>
                <w:lang w:val="en-US" w:eastAsia="zh-CN"/>
              </w:rPr>
            </w:pPr>
            <w:r>
              <w:rPr>
                <w:rFonts w:hint="eastAsia" w:ascii="宋体" w:hAnsi="宋体" w:eastAsia="宋体" w:cs="宋体"/>
                <w:spacing w:val="8"/>
                <w:sz w:val="21"/>
                <w:szCs w:val="21"/>
              </w:rPr>
              <w:t>9</w:t>
            </w:r>
            <w:r>
              <w:rPr>
                <w:rFonts w:hint="eastAsia" w:ascii="宋体" w:hAnsi="宋体" w:eastAsia="宋体" w:cs="宋体"/>
                <w:spacing w:val="8"/>
                <w:sz w:val="21"/>
                <w:szCs w:val="21"/>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1498" w:type="dxa"/>
            <w:gridSpan w:val="2"/>
            <w:vAlign w:val="center"/>
          </w:tcPr>
          <w:p>
            <w:pPr>
              <w:widowControl/>
              <w:snapToGrid w:val="0"/>
              <w:jc w:val="center"/>
              <w:rPr>
                <w:rFonts w:ascii="宋体" w:hAnsi="宋体" w:eastAsia="宋体" w:cs="宋体"/>
                <w:b/>
                <w:bCs/>
                <w:color w:val="000000"/>
                <w:szCs w:val="22"/>
              </w:rPr>
            </w:pPr>
            <w:r>
              <w:rPr>
                <w:rFonts w:hint="eastAsia" w:asciiTheme="minorEastAsia" w:hAnsiTheme="minorEastAsia" w:cstheme="minorEastAsia"/>
                <w:b/>
                <w:bCs/>
                <w:kern w:val="0"/>
                <w:szCs w:val="21"/>
              </w:rPr>
              <w:t>评价等级</w:t>
            </w:r>
          </w:p>
        </w:tc>
        <w:tc>
          <w:tcPr>
            <w:tcW w:w="7506" w:type="dxa"/>
            <w:gridSpan w:val="3"/>
            <w:vAlign w:val="center"/>
          </w:tcPr>
          <w:p>
            <w:pPr>
              <w:widowControl/>
              <w:snapToGrid w:val="0"/>
              <w:spacing w:line="360" w:lineRule="auto"/>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sym w:font="Wingdings 2" w:char="0052"/>
            </w:r>
            <w:r>
              <w:rPr>
                <w:rFonts w:hint="eastAsia" w:asciiTheme="minorEastAsia" w:hAnsiTheme="minorEastAsia" w:cstheme="minorEastAsia"/>
                <w:b/>
                <w:bCs/>
                <w:kern w:val="0"/>
                <w:szCs w:val="21"/>
              </w:rPr>
              <w:t xml:space="preserve">优秀（S≥90）     </w:t>
            </w:r>
            <w:r>
              <w:rPr>
                <w:rFonts w:hint="eastAsia" w:asciiTheme="minorEastAsia" w:hAnsiTheme="minorEastAsia" w:cstheme="minorEastAsia"/>
                <w:b/>
                <w:bCs/>
                <w:kern w:val="0"/>
                <w:szCs w:val="21"/>
              </w:rPr>
              <w:sym w:font="Wingdings 2" w:char="F0A3"/>
            </w:r>
            <w:r>
              <w:rPr>
                <w:rFonts w:hint="eastAsia" w:asciiTheme="minorEastAsia" w:hAnsiTheme="minorEastAsia" w:cstheme="minorEastAsia"/>
                <w:b/>
                <w:bCs/>
                <w:kern w:val="0"/>
                <w:szCs w:val="21"/>
              </w:rPr>
              <w:t>良好（90﹥S≧75）</w:t>
            </w:r>
          </w:p>
          <w:p>
            <w:pPr>
              <w:widowControl/>
              <w:snapToGrid w:val="0"/>
              <w:spacing w:line="360" w:lineRule="auto"/>
              <w:jc w:val="center"/>
              <w:rPr>
                <w:rFonts w:ascii="宋体" w:hAnsi="宋体" w:eastAsia="宋体" w:cs="宋体"/>
                <w:spacing w:val="8"/>
                <w:szCs w:val="21"/>
              </w:rPr>
            </w:pPr>
            <w:r>
              <w:rPr>
                <w:rFonts w:hint="eastAsia" w:asciiTheme="minorEastAsia" w:hAnsiTheme="minorEastAsia" w:cstheme="minorEastAsia"/>
                <w:b/>
                <w:bCs/>
                <w:kern w:val="0"/>
                <w:szCs w:val="21"/>
              </w:rPr>
              <w:sym w:font="Wingdings 2" w:char="00A3"/>
            </w:r>
            <w:r>
              <w:rPr>
                <w:rFonts w:hint="eastAsia" w:asciiTheme="minorEastAsia" w:hAnsiTheme="minorEastAsia" w:cstheme="minorEastAsia"/>
                <w:b/>
                <w:bCs/>
                <w:kern w:val="0"/>
                <w:szCs w:val="21"/>
              </w:rPr>
              <w:t xml:space="preserve">合格（75﹥S≧60）    </w:t>
            </w:r>
            <w:r>
              <w:rPr>
                <w:rFonts w:hint="eastAsia" w:asciiTheme="minorEastAsia" w:hAnsiTheme="minorEastAsia" w:cstheme="minorEastAsia"/>
                <w:b/>
                <w:bCs/>
                <w:kern w:val="0"/>
                <w:szCs w:val="21"/>
              </w:rPr>
              <w:sym w:font="Wingdings 2" w:char="00A3"/>
            </w:r>
            <w:r>
              <w:rPr>
                <w:rFonts w:hint="eastAsia" w:asciiTheme="minorEastAsia" w:hAnsiTheme="minorEastAsia" w:cstheme="minorEastAsia"/>
                <w:b/>
                <w:bCs/>
                <w:kern w:val="0"/>
                <w:szCs w:val="21"/>
              </w:rPr>
              <w:t>不合格（60&lt;S）</w:t>
            </w:r>
          </w:p>
        </w:tc>
      </w:tr>
    </w:tbl>
    <w:p>
      <w:pPr>
        <w:rPr>
          <w:rStyle w:val="20"/>
          <w:rFonts w:ascii="黑体" w:hAnsi="黑体" w:eastAsia="黑体" w:cs="黑体"/>
          <w:b w:val="0"/>
          <w:bCs/>
        </w:rPr>
      </w:pPr>
    </w:p>
    <w:p>
      <w:pPr>
        <w:rPr>
          <w:rStyle w:val="20"/>
          <w:rFonts w:ascii="黑体" w:hAnsi="黑体" w:eastAsia="黑体" w:cs="黑体"/>
          <w:b w:val="0"/>
          <w:bCs/>
          <w:szCs w:val="22"/>
        </w:rPr>
      </w:pPr>
      <w:bookmarkStart w:id="27" w:name="_Toc4285"/>
      <w:r>
        <w:rPr>
          <w:rStyle w:val="20"/>
          <w:rFonts w:hint="eastAsia" w:ascii="黑体" w:hAnsi="黑体" w:eastAsia="黑体" w:cs="黑体"/>
          <w:b w:val="0"/>
          <w:bCs/>
          <w:szCs w:val="22"/>
        </w:rPr>
        <w:br w:type="page"/>
      </w:r>
    </w:p>
    <w:p>
      <w:pPr>
        <w:jc w:val="center"/>
        <w:outlineLvl w:val="0"/>
        <w:rPr>
          <w:rStyle w:val="20"/>
          <w:rFonts w:ascii="黑体" w:hAnsi="黑体" w:eastAsia="黑体" w:cs="黑体"/>
          <w:b w:val="0"/>
          <w:bCs/>
          <w:szCs w:val="22"/>
        </w:rPr>
      </w:pPr>
      <w:bookmarkStart w:id="28" w:name="_Toc1075"/>
      <w:r>
        <w:rPr>
          <w:rStyle w:val="20"/>
          <w:rFonts w:hint="eastAsia" w:ascii="黑体" w:hAnsi="黑体" w:eastAsia="黑体" w:cs="黑体"/>
          <w:b w:val="0"/>
          <w:bCs/>
          <w:szCs w:val="22"/>
        </w:rPr>
        <w:t>附件2  绩效评价资料清单</w:t>
      </w:r>
      <w:bookmarkEnd w:id="27"/>
      <w:bookmarkEnd w:id="28"/>
    </w:p>
    <w:p>
      <w:pPr>
        <w:spacing w:line="360" w:lineRule="auto"/>
        <w:ind w:left="-263" w:leftChars="-125"/>
        <w:rPr>
          <w:rFonts w:ascii="宋体" w:hAnsi="宋体" w:cs="宋体"/>
          <w:sz w:val="24"/>
        </w:rPr>
      </w:pPr>
    </w:p>
    <w:p>
      <w:pPr>
        <w:numPr>
          <w:ilvl w:val="0"/>
          <w:numId w:val="1"/>
        </w:numPr>
        <w:spacing w:line="360" w:lineRule="auto"/>
        <w:ind w:left="300" w:hanging="300" w:hangingChars="125"/>
        <w:rPr>
          <w:rFonts w:ascii="宋体" w:hAnsi="宋体" w:cs="宋体"/>
          <w:sz w:val="24"/>
        </w:rPr>
      </w:pPr>
      <w:r>
        <w:rPr>
          <w:rFonts w:hint="eastAsia" w:ascii="宋体" w:hAnsi="宋体" w:cs="宋体"/>
          <w:sz w:val="24"/>
        </w:rPr>
        <w:t>2019年度禁毒工作专项经费预算说明、批复文件；</w:t>
      </w:r>
    </w:p>
    <w:p>
      <w:pPr>
        <w:numPr>
          <w:ilvl w:val="0"/>
          <w:numId w:val="1"/>
        </w:numPr>
        <w:spacing w:line="360" w:lineRule="auto"/>
        <w:ind w:left="300" w:hanging="300" w:hangingChars="125"/>
        <w:rPr>
          <w:rFonts w:ascii="宋体" w:hAnsi="宋体" w:cs="宋体"/>
          <w:sz w:val="24"/>
        </w:rPr>
      </w:pPr>
      <w:r>
        <w:rPr>
          <w:rFonts w:hint="eastAsia" w:hAnsi="宋体" w:cs="宋体"/>
          <w:sz w:val="24"/>
        </w:rPr>
        <w:t>《</w:t>
      </w:r>
      <w:r>
        <w:rPr>
          <w:rFonts w:hint="eastAsia" w:ascii="宋体" w:hAnsi="宋体" w:cs="宋体"/>
          <w:sz w:val="24"/>
        </w:rPr>
        <w:t>泉州市丰泽区禁毒委员会关于印发&lt;丰泽区2019年禁毒重点整治攻坚行动实施方案&gt;的通知》（泉丰禁委〔2019〕2号）；</w:t>
      </w:r>
    </w:p>
    <w:p>
      <w:pPr>
        <w:numPr>
          <w:ilvl w:val="0"/>
          <w:numId w:val="1"/>
        </w:numPr>
        <w:spacing w:line="360" w:lineRule="auto"/>
        <w:ind w:left="300" w:hanging="300" w:hangingChars="125"/>
        <w:rPr>
          <w:rFonts w:hint="eastAsia" w:ascii="宋体" w:hAnsi="宋体" w:cs="宋体"/>
          <w:sz w:val="24"/>
        </w:rPr>
      </w:pPr>
      <w:r>
        <w:rPr>
          <w:rFonts w:hint="eastAsia" w:ascii="宋体" w:hAnsi="宋体" w:cs="宋体"/>
          <w:sz w:val="24"/>
        </w:rPr>
        <w:t>《丰泽区区委常委第102次会议纪要》（中共泉州市丰泽区第五届委员会会议纪要〔2019〕4号）</w:t>
      </w:r>
      <w:r>
        <w:rPr>
          <w:rFonts w:hint="eastAsia" w:ascii="宋体" w:hAnsi="宋体" w:cs="宋体"/>
          <w:sz w:val="24"/>
          <w:lang w:eastAsia="zh-CN"/>
        </w:rPr>
        <w:t>；</w:t>
      </w:r>
    </w:p>
    <w:p>
      <w:pPr>
        <w:numPr>
          <w:ilvl w:val="0"/>
          <w:numId w:val="1"/>
        </w:numPr>
        <w:spacing w:line="360" w:lineRule="auto"/>
        <w:ind w:left="300" w:hanging="300" w:hangingChars="125"/>
        <w:rPr>
          <w:rFonts w:hint="eastAsia" w:ascii="宋体" w:hAnsi="宋体" w:cs="宋体"/>
          <w:sz w:val="24"/>
        </w:rPr>
      </w:pPr>
      <w:r>
        <w:rPr>
          <w:rFonts w:hint="eastAsia" w:ascii="宋体" w:hAnsi="宋体" w:cs="宋体"/>
          <w:sz w:val="24"/>
          <w:lang w:val="en-US" w:eastAsia="zh-CN"/>
        </w:rPr>
        <w:t>《丰泽区机关、事业单位工作人员调配领导小组二〇一九年第四次会议纪要》（〔2019〕4号）；</w:t>
      </w:r>
    </w:p>
    <w:p>
      <w:pPr>
        <w:numPr>
          <w:ilvl w:val="0"/>
          <w:numId w:val="1"/>
        </w:numPr>
        <w:spacing w:line="360" w:lineRule="auto"/>
        <w:ind w:left="300" w:hanging="300" w:hangingChars="125"/>
        <w:rPr>
          <w:rFonts w:ascii="宋体" w:hAnsi="宋体" w:cs="宋体"/>
          <w:sz w:val="24"/>
        </w:rPr>
      </w:pPr>
      <w:r>
        <w:rPr>
          <w:rFonts w:hint="eastAsia" w:ascii="宋体" w:hAnsi="宋体" w:cs="宋体"/>
          <w:sz w:val="24"/>
        </w:rPr>
        <w:t>各街道社区资金使用明细账等资料；</w:t>
      </w:r>
    </w:p>
    <w:p>
      <w:pPr>
        <w:numPr>
          <w:ilvl w:val="0"/>
          <w:numId w:val="1"/>
        </w:numPr>
        <w:spacing w:line="360" w:lineRule="auto"/>
        <w:ind w:left="300" w:hanging="300" w:hangingChars="125"/>
        <w:rPr>
          <w:rFonts w:ascii="宋体" w:hAnsi="宋体" w:cs="宋体"/>
          <w:sz w:val="24"/>
        </w:rPr>
      </w:pPr>
      <w:r>
        <w:rPr>
          <w:rFonts w:hint="eastAsia" w:ascii="宋体" w:hAnsi="宋体" w:cs="宋体"/>
          <w:sz w:val="24"/>
        </w:rPr>
        <w:t>区禁毒办编制的2019年度禁毒工作专项经费绩效目标表、自评表、自评报告等；</w:t>
      </w:r>
    </w:p>
    <w:p>
      <w:pPr>
        <w:numPr>
          <w:ilvl w:val="0"/>
          <w:numId w:val="1"/>
        </w:numPr>
        <w:spacing w:line="360" w:lineRule="auto"/>
        <w:ind w:left="300" w:hanging="300" w:hangingChars="125"/>
        <w:rPr>
          <w:rFonts w:ascii="宋体" w:hAnsi="宋体" w:cs="宋体"/>
          <w:sz w:val="24"/>
        </w:rPr>
      </w:pPr>
      <w:r>
        <w:rPr>
          <w:rFonts w:hint="eastAsia" w:ascii="宋体" w:hAnsi="宋体" w:cs="宋体"/>
          <w:sz w:val="24"/>
        </w:rPr>
        <w:t>其他相关数据资料。</w:t>
      </w:r>
    </w:p>
    <w:p>
      <w:pPr>
        <w:shd w:val="clear" w:color="auto" w:fill="FFFFFF"/>
        <w:spacing w:line="360" w:lineRule="auto"/>
        <w:ind w:left="240" w:hanging="240" w:hangingChars="100"/>
        <w:outlineLvl w:val="2"/>
        <w:rPr>
          <w:rFonts w:ascii="宋体" w:hAnsi="宋体" w:cs="宋体"/>
          <w:sz w:val="24"/>
        </w:rPr>
      </w:pPr>
    </w:p>
    <w:p>
      <w:pPr>
        <w:rPr>
          <w:rFonts w:ascii="宋体" w:hAnsi="宋体" w:cs="宋体"/>
          <w:sz w:val="24"/>
        </w:rPr>
      </w:pPr>
      <w:r>
        <w:rPr>
          <w:rFonts w:hint="eastAsia" w:ascii="宋体" w:hAnsi="宋体" w:cs="宋体"/>
          <w:sz w:val="24"/>
        </w:rPr>
        <w:br w:type="page"/>
      </w:r>
    </w:p>
    <w:p>
      <w:pPr>
        <w:jc w:val="center"/>
        <w:outlineLvl w:val="0"/>
        <w:rPr>
          <w:rStyle w:val="20"/>
          <w:rFonts w:ascii="黑体" w:hAnsi="黑体" w:eastAsia="黑体" w:cs="黑体"/>
          <w:b w:val="0"/>
          <w:bCs/>
          <w:szCs w:val="22"/>
        </w:rPr>
      </w:pPr>
      <w:bookmarkStart w:id="29" w:name="_Toc32288"/>
      <w:bookmarkStart w:id="30" w:name="_Toc3314"/>
      <w:r>
        <w:rPr>
          <w:rStyle w:val="20"/>
          <w:rFonts w:hint="eastAsia" w:ascii="黑体" w:hAnsi="黑体" w:eastAsia="黑体" w:cs="黑体"/>
          <w:b w:val="0"/>
          <w:bCs/>
          <w:szCs w:val="22"/>
        </w:rPr>
        <w:t>附件3  满意度调查问卷</w:t>
      </w:r>
      <w:bookmarkEnd w:id="29"/>
      <w:r>
        <w:rPr>
          <w:rStyle w:val="20"/>
          <w:rFonts w:hint="eastAsia" w:ascii="黑体" w:hAnsi="黑体" w:eastAsia="黑体" w:cs="黑体"/>
          <w:b w:val="0"/>
          <w:bCs/>
          <w:szCs w:val="22"/>
        </w:rPr>
        <w:t>分析</w:t>
      </w:r>
      <w:bookmarkEnd w:id="30"/>
    </w:p>
    <w:p/>
    <w:p>
      <w:pPr>
        <w:spacing w:after="400"/>
        <w:ind w:firstLine="160"/>
        <w:jc w:val="center"/>
      </w:pPr>
      <w:r>
        <w:rPr>
          <w:b/>
          <w:sz w:val="24"/>
        </w:rPr>
        <w:t>泉州市丰泽区禁毒工作的</w:t>
      </w:r>
      <w:r>
        <w:rPr>
          <w:rFonts w:hint="eastAsia"/>
          <w:b/>
          <w:sz w:val="24"/>
        </w:rPr>
        <w:t>宣传</w:t>
      </w:r>
      <w:r>
        <w:rPr>
          <w:b/>
          <w:sz w:val="24"/>
        </w:rPr>
        <w:t>满意度调查问卷</w:t>
      </w:r>
    </w:p>
    <w:p>
      <w:pPr>
        <w:rPr>
          <w:b/>
          <w:sz w:val="32"/>
        </w:rPr>
      </w:pPr>
      <w:r>
        <w:rPr>
          <w:color w:val="000000"/>
          <w:sz w:val="24"/>
        </w:rPr>
        <w:t xml:space="preserve">1.您是否看到过禁毒宣传?   </w:t>
      </w:r>
      <w:r>
        <w:rPr>
          <w:color w:val="0066FF"/>
          <w:sz w:val="24"/>
        </w:rPr>
        <w:t>[单选题]</w:t>
      </w:r>
    </w:p>
    <w:p>
      <w:pPr>
        <w:rPr>
          <w:color w:val="0066FF"/>
          <w:sz w:val="24"/>
        </w:rPr>
      </w:pPr>
    </w:p>
    <w:tbl>
      <w:tblPr>
        <w:tblStyle w:val="12"/>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083"/>
        <w:gridCol w:w="1034"/>
        <w:gridCol w:w="4887"/>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jc w:val="left"/>
            </w:pPr>
            <w:r>
              <w:t>是</w:t>
            </w:r>
          </w:p>
        </w:tc>
        <w:tc>
          <w:tcPr>
            <w:tcW w:w="0" w:type="auto"/>
            <w:shd w:val="clear" w:color="auto" w:fill="FFFFFF"/>
            <w:vAlign w:val="center"/>
          </w:tcPr>
          <w:p>
            <w:pPr>
              <w:jc w:val="center"/>
            </w:pPr>
            <w:r>
              <w:t>313</w:t>
            </w:r>
          </w:p>
        </w:tc>
        <w:tc>
          <w:tcPr>
            <w:tcW w:w="0" w:type="auto"/>
            <w:shd w:val="clear" w:color="auto" w:fill="FFFFFF"/>
            <w:vAlign w:val="center"/>
          </w:tcPr>
          <w:p>
            <w:pPr>
              <w:jc w:val="left"/>
            </w:pPr>
            <w:r>
              <w:drawing>
                <wp:inline distT="0" distB="0" distL="114300" distR="114300">
                  <wp:extent cx="1343025" cy="114300"/>
                  <wp:effectExtent l="0" t="0" r="13335" b="7620"/>
                  <wp:docPr id="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
                          <pic:cNvPicPr>
                            <a:picLocks noChangeAspect="1"/>
                          </pic:cNvPicPr>
                        </pic:nvPicPr>
                        <pic:blipFill>
                          <a:blip r:embed="rId7"/>
                          <a:stretch>
                            <a:fillRect/>
                          </a:stretch>
                        </pic:blipFill>
                        <pic:spPr>
                          <a:xfrm>
                            <a:off x="0" y="0"/>
                            <a:ext cx="1343025" cy="114300"/>
                          </a:xfrm>
                          <a:prstGeom prst="rect">
                            <a:avLst/>
                          </a:prstGeom>
                          <a:noFill/>
                          <a:ln>
                            <a:noFill/>
                          </a:ln>
                        </pic:spPr>
                      </pic:pic>
                    </a:graphicData>
                  </a:graphic>
                </wp:inline>
              </w:drawing>
            </w:r>
            <w:r>
              <w:drawing>
                <wp:inline distT="0" distB="0" distL="114300" distR="114300">
                  <wp:extent cx="9525" cy="114300"/>
                  <wp:effectExtent l="0" t="0" r="5715" b="6985"/>
                  <wp:docPr id="2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
                          <pic:cNvPicPr>
                            <a:picLocks noChangeAspect="1"/>
                          </pic:cNvPicPr>
                        </pic:nvPicPr>
                        <pic:blipFill>
                          <a:blip r:embed="rId6"/>
                          <a:stretch>
                            <a:fillRect/>
                          </a:stretch>
                        </pic:blipFill>
                        <pic:spPr>
                          <a:xfrm>
                            <a:off x="0" y="0"/>
                            <a:ext cx="9525" cy="114300"/>
                          </a:xfrm>
                          <a:prstGeom prst="rect">
                            <a:avLst/>
                          </a:prstGeom>
                          <a:noFill/>
                          <a:ln>
                            <a:noFill/>
                          </a:ln>
                        </pic:spPr>
                      </pic:pic>
                    </a:graphicData>
                  </a:graphic>
                </wp:inline>
              </w:drawing>
            </w:r>
            <w:r>
              <w:t>99.68%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jc w:val="left"/>
            </w:pPr>
            <w:r>
              <w:t>否</w:t>
            </w:r>
          </w:p>
        </w:tc>
        <w:tc>
          <w:tcPr>
            <w:tcW w:w="0" w:type="auto"/>
            <w:shd w:val="clear" w:color="auto" w:fill="F9F9F9"/>
            <w:vAlign w:val="center"/>
          </w:tcPr>
          <w:p>
            <w:pPr>
              <w:jc w:val="center"/>
            </w:pPr>
            <w:r>
              <w:t>1</w:t>
            </w:r>
          </w:p>
        </w:tc>
        <w:tc>
          <w:tcPr>
            <w:tcW w:w="0" w:type="auto"/>
            <w:shd w:val="clear" w:color="auto" w:fill="F9F9F9"/>
            <w:vAlign w:val="center"/>
          </w:tcPr>
          <w:p>
            <w:pPr>
              <w:jc w:val="left"/>
            </w:pPr>
            <w:r>
              <w:drawing>
                <wp:inline distT="0" distB="0" distL="114300" distR="114300">
                  <wp:extent cx="1352550" cy="114300"/>
                  <wp:effectExtent l="0" t="0" r="3810" b="7620"/>
                  <wp:docPr id="3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
                          <pic:cNvPicPr>
                            <a:picLocks noChangeAspect="1"/>
                          </pic:cNvPicPr>
                        </pic:nvPicPr>
                        <pic:blipFill>
                          <a:blip r:embed="rId8"/>
                          <a:stretch>
                            <a:fillRect/>
                          </a:stretch>
                        </pic:blipFill>
                        <pic:spPr>
                          <a:xfrm>
                            <a:off x="0" y="0"/>
                            <a:ext cx="1352550" cy="114300"/>
                          </a:xfrm>
                          <a:prstGeom prst="rect">
                            <a:avLst/>
                          </a:prstGeom>
                          <a:noFill/>
                          <a:ln>
                            <a:noFill/>
                          </a:ln>
                        </pic:spPr>
                      </pic:pic>
                    </a:graphicData>
                  </a:graphic>
                </wp:inline>
              </w:drawing>
            </w:r>
            <w:r>
              <w:t>0.32%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left"/>
            </w:pPr>
            <w:r>
              <w:t>本题有效填写人次</w:t>
            </w:r>
          </w:p>
        </w:tc>
        <w:tc>
          <w:tcPr>
            <w:tcW w:w="0" w:type="auto"/>
            <w:shd w:val="clear" w:color="auto" w:fill="E0E0E0"/>
            <w:vAlign w:val="center"/>
          </w:tcPr>
          <w:p>
            <w:pPr>
              <w:jc w:val="center"/>
            </w:pPr>
            <w:r>
              <w:t>314</w:t>
            </w:r>
          </w:p>
        </w:tc>
        <w:tc>
          <w:tcPr>
            <w:tcW w:w="0" w:type="auto"/>
            <w:shd w:val="clear" w:color="auto" w:fill="E0E0E0"/>
            <w:vAlign w:val="center"/>
          </w:tcPr>
          <w:p>
            <w:pPr>
              <w:jc w:val="left"/>
            </w:pPr>
          </w:p>
        </w:tc>
      </w:tr>
    </w:tbl>
    <w:p/>
    <w:p/>
    <w:p>
      <w:r>
        <w:rPr>
          <w:color w:val="000000"/>
          <w:sz w:val="24"/>
        </w:rPr>
        <w:t xml:space="preserve">2.您通过哪些途径看到禁毒宣传?（备注:第一题回答否的不用回答）   </w:t>
      </w:r>
      <w:r>
        <w:rPr>
          <w:color w:val="0066FF"/>
          <w:sz w:val="24"/>
        </w:rPr>
        <w:t>[多选题]</w:t>
      </w:r>
    </w:p>
    <w:p>
      <w:pPr>
        <w:rPr>
          <w:color w:val="0066FF"/>
          <w:sz w:val="24"/>
        </w:rPr>
      </w:pPr>
    </w:p>
    <w:tbl>
      <w:tblPr>
        <w:tblStyle w:val="12"/>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305"/>
        <w:gridCol w:w="995"/>
        <w:gridCol w:w="4704"/>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jc w:val="left"/>
            </w:pPr>
            <w:r>
              <w:t>宣传材料</w:t>
            </w:r>
          </w:p>
        </w:tc>
        <w:tc>
          <w:tcPr>
            <w:tcW w:w="0" w:type="auto"/>
            <w:shd w:val="clear" w:color="auto" w:fill="FFFFFF"/>
            <w:vAlign w:val="center"/>
          </w:tcPr>
          <w:p>
            <w:pPr>
              <w:jc w:val="center"/>
            </w:pPr>
            <w:r>
              <w:t>296</w:t>
            </w:r>
          </w:p>
        </w:tc>
        <w:tc>
          <w:tcPr>
            <w:tcW w:w="0" w:type="auto"/>
            <w:shd w:val="clear" w:color="auto" w:fill="FFFFFF"/>
            <w:vAlign w:val="center"/>
          </w:tcPr>
          <w:p>
            <w:pPr>
              <w:jc w:val="left"/>
            </w:pPr>
            <w:r>
              <w:drawing>
                <wp:inline distT="0" distB="0" distL="114300" distR="114300">
                  <wp:extent cx="1266825" cy="114300"/>
                  <wp:effectExtent l="0" t="0" r="13335" b="7620"/>
                  <wp:docPr id="3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4"/>
                          <pic:cNvPicPr>
                            <a:picLocks noChangeAspect="1"/>
                          </pic:cNvPicPr>
                        </pic:nvPicPr>
                        <pic:blipFill>
                          <a:blip r:embed="rId9"/>
                          <a:stretch>
                            <a:fillRect/>
                          </a:stretch>
                        </pic:blipFill>
                        <pic:spPr>
                          <a:xfrm>
                            <a:off x="0" y="0"/>
                            <a:ext cx="1266825" cy="114300"/>
                          </a:xfrm>
                          <a:prstGeom prst="rect">
                            <a:avLst/>
                          </a:prstGeom>
                          <a:noFill/>
                          <a:ln>
                            <a:noFill/>
                          </a:ln>
                        </pic:spPr>
                      </pic:pic>
                    </a:graphicData>
                  </a:graphic>
                </wp:inline>
              </w:drawing>
            </w:r>
            <w:r>
              <w:drawing>
                <wp:inline distT="0" distB="0" distL="114300" distR="114300">
                  <wp:extent cx="85725" cy="114300"/>
                  <wp:effectExtent l="0" t="0" r="5715" b="7620"/>
                  <wp:docPr id="3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5"/>
                          <pic:cNvPicPr>
                            <a:picLocks noChangeAspect="1"/>
                          </pic:cNvPicPr>
                        </pic:nvPicPr>
                        <pic:blipFill>
                          <a:blip r:embed="rId10"/>
                          <a:stretch>
                            <a:fillRect/>
                          </a:stretch>
                        </pic:blipFill>
                        <pic:spPr>
                          <a:xfrm>
                            <a:off x="0" y="0"/>
                            <a:ext cx="85725" cy="114300"/>
                          </a:xfrm>
                          <a:prstGeom prst="rect">
                            <a:avLst/>
                          </a:prstGeom>
                          <a:noFill/>
                          <a:ln>
                            <a:noFill/>
                          </a:ln>
                        </pic:spPr>
                      </pic:pic>
                    </a:graphicData>
                  </a:graphic>
                </wp:inline>
              </w:drawing>
            </w:r>
            <w:r>
              <w:t>94.27%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jc w:val="left"/>
            </w:pPr>
            <w:r>
              <w:t>宣传报道</w:t>
            </w:r>
          </w:p>
        </w:tc>
        <w:tc>
          <w:tcPr>
            <w:tcW w:w="0" w:type="auto"/>
            <w:shd w:val="clear" w:color="auto" w:fill="F9F9F9"/>
            <w:vAlign w:val="center"/>
          </w:tcPr>
          <w:p>
            <w:pPr>
              <w:jc w:val="center"/>
            </w:pPr>
            <w:r>
              <w:t>262</w:t>
            </w:r>
          </w:p>
        </w:tc>
        <w:tc>
          <w:tcPr>
            <w:tcW w:w="0" w:type="auto"/>
            <w:shd w:val="clear" w:color="auto" w:fill="F9F9F9"/>
            <w:vAlign w:val="center"/>
          </w:tcPr>
          <w:p>
            <w:pPr>
              <w:jc w:val="left"/>
            </w:pPr>
            <w:r>
              <w:drawing>
                <wp:inline distT="0" distB="0" distL="114300" distR="114300">
                  <wp:extent cx="1123950" cy="114300"/>
                  <wp:effectExtent l="0" t="0" r="3810" b="7620"/>
                  <wp:docPr id="2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6"/>
                          <pic:cNvPicPr>
                            <a:picLocks noChangeAspect="1"/>
                          </pic:cNvPicPr>
                        </pic:nvPicPr>
                        <pic:blipFill>
                          <a:blip r:embed="rId11"/>
                          <a:stretch>
                            <a:fillRect/>
                          </a:stretch>
                        </pic:blipFill>
                        <pic:spPr>
                          <a:xfrm>
                            <a:off x="0" y="0"/>
                            <a:ext cx="1123950" cy="114300"/>
                          </a:xfrm>
                          <a:prstGeom prst="rect">
                            <a:avLst/>
                          </a:prstGeom>
                          <a:noFill/>
                          <a:ln>
                            <a:noFill/>
                          </a:ln>
                        </pic:spPr>
                      </pic:pic>
                    </a:graphicData>
                  </a:graphic>
                </wp:inline>
              </w:drawing>
            </w:r>
            <w:r>
              <w:drawing>
                <wp:inline distT="0" distB="0" distL="114300" distR="114300">
                  <wp:extent cx="228600" cy="114300"/>
                  <wp:effectExtent l="0" t="0" r="0" b="7620"/>
                  <wp:docPr id="3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7"/>
                          <pic:cNvPicPr>
                            <a:picLocks noChangeAspect="1"/>
                          </pic:cNvPicPr>
                        </pic:nvPicPr>
                        <pic:blipFill>
                          <a:blip r:embed="rId12"/>
                          <a:stretch>
                            <a:fillRect/>
                          </a:stretch>
                        </pic:blipFill>
                        <pic:spPr>
                          <a:xfrm>
                            <a:off x="0" y="0"/>
                            <a:ext cx="228600" cy="114300"/>
                          </a:xfrm>
                          <a:prstGeom prst="rect">
                            <a:avLst/>
                          </a:prstGeom>
                          <a:noFill/>
                          <a:ln>
                            <a:noFill/>
                          </a:ln>
                        </pic:spPr>
                      </pic:pic>
                    </a:graphicData>
                  </a:graphic>
                </wp:inline>
              </w:drawing>
            </w:r>
            <w:r>
              <w:t>83.44%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jc w:val="left"/>
            </w:pPr>
            <w:r>
              <w:t>禁毒讲座</w:t>
            </w:r>
          </w:p>
        </w:tc>
        <w:tc>
          <w:tcPr>
            <w:tcW w:w="0" w:type="auto"/>
            <w:shd w:val="clear" w:color="auto" w:fill="FFFFFF"/>
            <w:vAlign w:val="center"/>
          </w:tcPr>
          <w:p>
            <w:pPr>
              <w:jc w:val="center"/>
            </w:pPr>
            <w:r>
              <w:t>210</w:t>
            </w:r>
          </w:p>
        </w:tc>
        <w:tc>
          <w:tcPr>
            <w:tcW w:w="0" w:type="auto"/>
            <w:shd w:val="clear" w:color="auto" w:fill="FFFFFF"/>
            <w:vAlign w:val="center"/>
          </w:tcPr>
          <w:p>
            <w:pPr>
              <w:jc w:val="left"/>
            </w:pPr>
            <w:r>
              <w:drawing>
                <wp:inline distT="0" distB="0" distL="114300" distR="114300">
                  <wp:extent cx="895350" cy="114300"/>
                  <wp:effectExtent l="0" t="0" r="3810" b="7620"/>
                  <wp:docPr id="2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8"/>
                          <pic:cNvPicPr>
                            <a:picLocks noChangeAspect="1"/>
                          </pic:cNvPicPr>
                        </pic:nvPicPr>
                        <pic:blipFill>
                          <a:blip r:embed="rId13"/>
                          <a:stretch>
                            <a:fillRect/>
                          </a:stretch>
                        </pic:blipFill>
                        <pic:spPr>
                          <a:xfrm>
                            <a:off x="0" y="0"/>
                            <a:ext cx="895350" cy="114300"/>
                          </a:xfrm>
                          <a:prstGeom prst="rect">
                            <a:avLst/>
                          </a:prstGeom>
                          <a:noFill/>
                          <a:ln>
                            <a:noFill/>
                          </a:ln>
                        </pic:spPr>
                      </pic:pic>
                    </a:graphicData>
                  </a:graphic>
                </wp:inline>
              </w:drawing>
            </w:r>
            <w:r>
              <w:drawing>
                <wp:inline distT="0" distB="0" distL="114300" distR="114300">
                  <wp:extent cx="457200" cy="114300"/>
                  <wp:effectExtent l="0" t="0" r="0" b="7620"/>
                  <wp:docPr id="2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9"/>
                          <pic:cNvPicPr>
                            <a:picLocks noChangeAspect="1"/>
                          </pic:cNvPicPr>
                        </pic:nvPicPr>
                        <pic:blipFill>
                          <a:blip r:embed="rId14"/>
                          <a:stretch>
                            <a:fillRect/>
                          </a:stretch>
                        </pic:blipFill>
                        <pic:spPr>
                          <a:xfrm>
                            <a:off x="0" y="0"/>
                            <a:ext cx="457200" cy="114300"/>
                          </a:xfrm>
                          <a:prstGeom prst="rect">
                            <a:avLst/>
                          </a:prstGeom>
                          <a:noFill/>
                          <a:ln>
                            <a:noFill/>
                          </a:ln>
                        </pic:spPr>
                      </pic:pic>
                    </a:graphicData>
                  </a:graphic>
                </wp:inline>
              </w:drawing>
            </w:r>
            <w:r>
              <w:t>66.88%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jc w:val="left"/>
            </w:pPr>
            <w:r>
              <w:t>禁毒期刊</w:t>
            </w:r>
          </w:p>
        </w:tc>
        <w:tc>
          <w:tcPr>
            <w:tcW w:w="0" w:type="auto"/>
            <w:shd w:val="clear" w:color="auto" w:fill="F9F9F9"/>
            <w:vAlign w:val="center"/>
          </w:tcPr>
          <w:p>
            <w:pPr>
              <w:jc w:val="center"/>
            </w:pPr>
            <w:r>
              <w:t>171</w:t>
            </w:r>
          </w:p>
        </w:tc>
        <w:tc>
          <w:tcPr>
            <w:tcW w:w="0" w:type="auto"/>
            <w:shd w:val="clear" w:color="auto" w:fill="F9F9F9"/>
            <w:vAlign w:val="center"/>
          </w:tcPr>
          <w:p>
            <w:pPr>
              <w:jc w:val="left"/>
            </w:pPr>
            <w:r>
              <w:drawing>
                <wp:inline distT="0" distB="0" distL="114300" distR="114300">
                  <wp:extent cx="733425" cy="114300"/>
                  <wp:effectExtent l="0" t="0" r="13335" b="7620"/>
                  <wp:docPr id="3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0"/>
                          <pic:cNvPicPr>
                            <a:picLocks noChangeAspect="1"/>
                          </pic:cNvPicPr>
                        </pic:nvPicPr>
                        <pic:blipFill>
                          <a:blip r:embed="rId15"/>
                          <a:stretch>
                            <a:fillRect/>
                          </a:stretch>
                        </pic:blipFill>
                        <pic:spPr>
                          <a:xfrm>
                            <a:off x="0" y="0"/>
                            <a:ext cx="733425" cy="114300"/>
                          </a:xfrm>
                          <a:prstGeom prst="rect">
                            <a:avLst/>
                          </a:prstGeom>
                          <a:noFill/>
                          <a:ln>
                            <a:noFill/>
                          </a:ln>
                        </pic:spPr>
                      </pic:pic>
                    </a:graphicData>
                  </a:graphic>
                </wp:inline>
              </w:drawing>
            </w:r>
            <w:r>
              <w:drawing>
                <wp:inline distT="0" distB="0" distL="114300" distR="114300">
                  <wp:extent cx="619125" cy="114300"/>
                  <wp:effectExtent l="0" t="0" r="5715" b="7620"/>
                  <wp:docPr id="2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1"/>
                          <pic:cNvPicPr>
                            <a:picLocks noChangeAspect="1"/>
                          </pic:cNvPicPr>
                        </pic:nvPicPr>
                        <pic:blipFill>
                          <a:blip r:embed="rId16"/>
                          <a:stretch>
                            <a:fillRect/>
                          </a:stretch>
                        </pic:blipFill>
                        <pic:spPr>
                          <a:xfrm>
                            <a:off x="0" y="0"/>
                            <a:ext cx="619125" cy="114300"/>
                          </a:xfrm>
                          <a:prstGeom prst="rect">
                            <a:avLst/>
                          </a:prstGeom>
                          <a:noFill/>
                          <a:ln>
                            <a:noFill/>
                          </a:ln>
                        </pic:spPr>
                      </pic:pic>
                    </a:graphicData>
                  </a:graphic>
                </wp:inline>
              </w:drawing>
            </w:r>
            <w:r>
              <w:t>54.46%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jc w:val="left"/>
            </w:pPr>
            <w:r>
              <w:t>禁毒广告</w:t>
            </w:r>
          </w:p>
        </w:tc>
        <w:tc>
          <w:tcPr>
            <w:tcW w:w="0" w:type="auto"/>
            <w:shd w:val="clear" w:color="auto" w:fill="FFFFFF"/>
            <w:vAlign w:val="center"/>
          </w:tcPr>
          <w:p>
            <w:pPr>
              <w:jc w:val="center"/>
            </w:pPr>
            <w:r>
              <w:t>244</w:t>
            </w:r>
          </w:p>
        </w:tc>
        <w:tc>
          <w:tcPr>
            <w:tcW w:w="0" w:type="auto"/>
            <w:shd w:val="clear" w:color="auto" w:fill="FFFFFF"/>
            <w:vAlign w:val="center"/>
          </w:tcPr>
          <w:p>
            <w:pPr>
              <w:jc w:val="left"/>
            </w:pPr>
            <w:r>
              <w:drawing>
                <wp:inline distT="0" distB="0" distL="114300" distR="114300">
                  <wp:extent cx="1047750" cy="114300"/>
                  <wp:effectExtent l="0" t="0" r="3810" b="7620"/>
                  <wp:docPr id="3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2"/>
                          <pic:cNvPicPr>
                            <a:picLocks noChangeAspect="1"/>
                          </pic:cNvPicPr>
                        </pic:nvPicPr>
                        <pic:blipFill>
                          <a:blip r:embed="rId17"/>
                          <a:stretch>
                            <a:fillRect/>
                          </a:stretch>
                        </pic:blipFill>
                        <pic:spPr>
                          <a:xfrm>
                            <a:off x="0" y="0"/>
                            <a:ext cx="1047750" cy="114300"/>
                          </a:xfrm>
                          <a:prstGeom prst="rect">
                            <a:avLst/>
                          </a:prstGeom>
                          <a:noFill/>
                          <a:ln>
                            <a:noFill/>
                          </a:ln>
                        </pic:spPr>
                      </pic:pic>
                    </a:graphicData>
                  </a:graphic>
                </wp:inline>
              </w:drawing>
            </w:r>
            <w:r>
              <w:drawing>
                <wp:inline distT="0" distB="0" distL="114300" distR="114300">
                  <wp:extent cx="304800" cy="114300"/>
                  <wp:effectExtent l="0" t="0" r="0" b="7620"/>
                  <wp:docPr id="3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3"/>
                          <pic:cNvPicPr>
                            <a:picLocks noChangeAspect="1"/>
                          </pic:cNvPicPr>
                        </pic:nvPicPr>
                        <pic:blipFill>
                          <a:blip r:embed="rId18"/>
                          <a:stretch>
                            <a:fillRect/>
                          </a:stretch>
                        </pic:blipFill>
                        <pic:spPr>
                          <a:xfrm>
                            <a:off x="0" y="0"/>
                            <a:ext cx="304800" cy="114300"/>
                          </a:xfrm>
                          <a:prstGeom prst="rect">
                            <a:avLst/>
                          </a:prstGeom>
                          <a:noFill/>
                          <a:ln>
                            <a:noFill/>
                          </a:ln>
                        </pic:spPr>
                      </pic:pic>
                    </a:graphicData>
                  </a:graphic>
                </wp:inline>
              </w:drawing>
            </w:r>
            <w:r>
              <w:t>77.71%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jc w:val="left"/>
            </w:pPr>
            <w:r>
              <w:t>标语和LED电子屏幕</w:t>
            </w:r>
          </w:p>
        </w:tc>
        <w:tc>
          <w:tcPr>
            <w:tcW w:w="0" w:type="auto"/>
            <w:shd w:val="clear" w:color="auto" w:fill="F9F9F9"/>
            <w:vAlign w:val="center"/>
          </w:tcPr>
          <w:p>
            <w:pPr>
              <w:jc w:val="center"/>
            </w:pPr>
            <w:r>
              <w:t>263</w:t>
            </w:r>
          </w:p>
        </w:tc>
        <w:tc>
          <w:tcPr>
            <w:tcW w:w="0" w:type="auto"/>
            <w:shd w:val="clear" w:color="auto" w:fill="F9F9F9"/>
            <w:vAlign w:val="center"/>
          </w:tcPr>
          <w:p>
            <w:pPr>
              <w:jc w:val="left"/>
            </w:pPr>
            <w:r>
              <w:drawing>
                <wp:inline distT="0" distB="0" distL="114300" distR="114300">
                  <wp:extent cx="1123950" cy="114300"/>
                  <wp:effectExtent l="0" t="0" r="3810" b="7620"/>
                  <wp:docPr id="21"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4"/>
                          <pic:cNvPicPr>
                            <a:picLocks noChangeAspect="1"/>
                          </pic:cNvPicPr>
                        </pic:nvPicPr>
                        <pic:blipFill>
                          <a:blip r:embed="rId11"/>
                          <a:stretch>
                            <a:fillRect/>
                          </a:stretch>
                        </pic:blipFill>
                        <pic:spPr>
                          <a:xfrm>
                            <a:off x="0" y="0"/>
                            <a:ext cx="1123950" cy="114300"/>
                          </a:xfrm>
                          <a:prstGeom prst="rect">
                            <a:avLst/>
                          </a:prstGeom>
                          <a:noFill/>
                          <a:ln>
                            <a:noFill/>
                          </a:ln>
                        </pic:spPr>
                      </pic:pic>
                    </a:graphicData>
                  </a:graphic>
                </wp:inline>
              </w:drawing>
            </w:r>
            <w:r>
              <w:drawing>
                <wp:inline distT="0" distB="0" distL="114300" distR="114300">
                  <wp:extent cx="228600" cy="114300"/>
                  <wp:effectExtent l="0" t="0" r="0" b="7620"/>
                  <wp:docPr id="14"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5"/>
                          <pic:cNvPicPr>
                            <a:picLocks noChangeAspect="1"/>
                          </pic:cNvPicPr>
                        </pic:nvPicPr>
                        <pic:blipFill>
                          <a:blip r:embed="rId12"/>
                          <a:stretch>
                            <a:fillRect/>
                          </a:stretch>
                        </pic:blipFill>
                        <pic:spPr>
                          <a:xfrm>
                            <a:off x="0" y="0"/>
                            <a:ext cx="228600" cy="114300"/>
                          </a:xfrm>
                          <a:prstGeom prst="rect">
                            <a:avLst/>
                          </a:prstGeom>
                          <a:noFill/>
                          <a:ln>
                            <a:noFill/>
                          </a:ln>
                        </pic:spPr>
                      </pic:pic>
                    </a:graphicData>
                  </a:graphic>
                </wp:inline>
              </w:drawing>
            </w:r>
            <w:r>
              <w:t>83.76%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jc w:val="left"/>
            </w:pPr>
            <w:r>
              <w:t>专项培训</w:t>
            </w:r>
          </w:p>
        </w:tc>
        <w:tc>
          <w:tcPr>
            <w:tcW w:w="0" w:type="auto"/>
            <w:shd w:val="clear" w:color="auto" w:fill="FFFFFF"/>
            <w:vAlign w:val="center"/>
          </w:tcPr>
          <w:p>
            <w:pPr>
              <w:jc w:val="center"/>
            </w:pPr>
            <w:r>
              <w:t>108</w:t>
            </w:r>
          </w:p>
        </w:tc>
        <w:tc>
          <w:tcPr>
            <w:tcW w:w="0" w:type="auto"/>
            <w:shd w:val="clear" w:color="auto" w:fill="FFFFFF"/>
            <w:vAlign w:val="center"/>
          </w:tcPr>
          <w:p>
            <w:pPr>
              <w:jc w:val="left"/>
            </w:pPr>
            <w:r>
              <w:drawing>
                <wp:inline distT="0" distB="0" distL="114300" distR="114300">
                  <wp:extent cx="457200" cy="114300"/>
                  <wp:effectExtent l="0" t="0" r="0" b="7620"/>
                  <wp:docPr id="15"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6"/>
                          <pic:cNvPicPr>
                            <a:picLocks noChangeAspect="1"/>
                          </pic:cNvPicPr>
                        </pic:nvPicPr>
                        <pic:blipFill>
                          <a:blip r:embed="rId19"/>
                          <a:stretch>
                            <a:fillRect/>
                          </a:stretch>
                        </pic:blipFill>
                        <pic:spPr>
                          <a:xfrm>
                            <a:off x="0" y="0"/>
                            <a:ext cx="457200" cy="114300"/>
                          </a:xfrm>
                          <a:prstGeom prst="rect">
                            <a:avLst/>
                          </a:prstGeom>
                          <a:noFill/>
                          <a:ln>
                            <a:noFill/>
                          </a:ln>
                        </pic:spPr>
                      </pic:pic>
                    </a:graphicData>
                  </a:graphic>
                </wp:inline>
              </w:drawing>
            </w:r>
            <w:r>
              <w:drawing>
                <wp:inline distT="0" distB="0" distL="114300" distR="114300">
                  <wp:extent cx="895350" cy="114300"/>
                  <wp:effectExtent l="0" t="0" r="3810" b="7620"/>
                  <wp:docPr id="6"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7"/>
                          <pic:cNvPicPr>
                            <a:picLocks noChangeAspect="1"/>
                          </pic:cNvPicPr>
                        </pic:nvPicPr>
                        <pic:blipFill>
                          <a:blip r:embed="rId20"/>
                          <a:stretch>
                            <a:fillRect/>
                          </a:stretch>
                        </pic:blipFill>
                        <pic:spPr>
                          <a:xfrm>
                            <a:off x="0" y="0"/>
                            <a:ext cx="895350" cy="114300"/>
                          </a:xfrm>
                          <a:prstGeom prst="rect">
                            <a:avLst/>
                          </a:prstGeom>
                          <a:noFill/>
                          <a:ln>
                            <a:noFill/>
                          </a:ln>
                        </pic:spPr>
                      </pic:pic>
                    </a:graphicData>
                  </a:graphic>
                </wp:inline>
              </w:drawing>
            </w:r>
            <w:r>
              <w:t>34.39%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jc w:val="left"/>
            </w:pPr>
            <w:r>
              <w:t>宣传教育基地</w:t>
            </w:r>
          </w:p>
        </w:tc>
        <w:tc>
          <w:tcPr>
            <w:tcW w:w="0" w:type="auto"/>
            <w:shd w:val="clear" w:color="auto" w:fill="F9F9F9"/>
            <w:vAlign w:val="center"/>
          </w:tcPr>
          <w:p>
            <w:pPr>
              <w:jc w:val="center"/>
            </w:pPr>
            <w:r>
              <w:t>164</w:t>
            </w:r>
          </w:p>
        </w:tc>
        <w:tc>
          <w:tcPr>
            <w:tcW w:w="0" w:type="auto"/>
            <w:shd w:val="clear" w:color="auto" w:fill="F9F9F9"/>
            <w:vAlign w:val="center"/>
          </w:tcPr>
          <w:p>
            <w:pPr>
              <w:jc w:val="left"/>
            </w:pPr>
            <w:r>
              <w:drawing>
                <wp:inline distT="0" distB="0" distL="114300" distR="114300">
                  <wp:extent cx="704850" cy="114300"/>
                  <wp:effectExtent l="0" t="0" r="11430" b="7620"/>
                  <wp:docPr id="1"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8"/>
                          <pic:cNvPicPr>
                            <a:picLocks noChangeAspect="1"/>
                          </pic:cNvPicPr>
                        </pic:nvPicPr>
                        <pic:blipFill>
                          <a:blip r:embed="rId21"/>
                          <a:stretch>
                            <a:fillRect/>
                          </a:stretch>
                        </pic:blipFill>
                        <pic:spPr>
                          <a:xfrm>
                            <a:off x="0" y="0"/>
                            <a:ext cx="704850" cy="114300"/>
                          </a:xfrm>
                          <a:prstGeom prst="rect">
                            <a:avLst/>
                          </a:prstGeom>
                          <a:noFill/>
                          <a:ln>
                            <a:noFill/>
                          </a:ln>
                        </pic:spPr>
                      </pic:pic>
                    </a:graphicData>
                  </a:graphic>
                </wp:inline>
              </w:drawing>
            </w:r>
            <w:r>
              <w:drawing>
                <wp:inline distT="0" distB="0" distL="114300" distR="114300">
                  <wp:extent cx="647700" cy="114300"/>
                  <wp:effectExtent l="0" t="0" r="7620" b="7620"/>
                  <wp:docPr id="16"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9"/>
                          <pic:cNvPicPr>
                            <a:picLocks noChangeAspect="1"/>
                          </pic:cNvPicPr>
                        </pic:nvPicPr>
                        <pic:blipFill>
                          <a:blip r:embed="rId22"/>
                          <a:stretch>
                            <a:fillRect/>
                          </a:stretch>
                        </pic:blipFill>
                        <pic:spPr>
                          <a:xfrm>
                            <a:off x="0" y="0"/>
                            <a:ext cx="647700" cy="114300"/>
                          </a:xfrm>
                          <a:prstGeom prst="rect">
                            <a:avLst/>
                          </a:prstGeom>
                          <a:noFill/>
                          <a:ln>
                            <a:noFill/>
                          </a:ln>
                        </pic:spPr>
                      </pic:pic>
                    </a:graphicData>
                  </a:graphic>
                </wp:inline>
              </w:drawing>
            </w:r>
            <w:r>
              <w:t>52.23%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left"/>
            </w:pPr>
            <w:r>
              <w:t>本题有效填写人次</w:t>
            </w:r>
          </w:p>
        </w:tc>
        <w:tc>
          <w:tcPr>
            <w:tcW w:w="0" w:type="auto"/>
            <w:shd w:val="clear" w:color="auto" w:fill="E0E0E0"/>
            <w:vAlign w:val="center"/>
          </w:tcPr>
          <w:p>
            <w:pPr>
              <w:jc w:val="center"/>
            </w:pPr>
            <w:r>
              <w:t>314</w:t>
            </w:r>
          </w:p>
        </w:tc>
        <w:tc>
          <w:tcPr>
            <w:tcW w:w="0" w:type="auto"/>
            <w:shd w:val="clear" w:color="auto" w:fill="E0E0E0"/>
            <w:vAlign w:val="center"/>
          </w:tcPr>
          <w:p>
            <w:pPr>
              <w:jc w:val="left"/>
            </w:pPr>
          </w:p>
        </w:tc>
      </w:tr>
    </w:tbl>
    <w:p/>
    <w:p/>
    <w:p>
      <w:r>
        <w:rPr>
          <w:color w:val="000000"/>
          <w:sz w:val="24"/>
        </w:rPr>
        <w:t xml:space="preserve">3.您对该区域禁毒宣传的方式是否满意?5分表示最满意，1分表示最不满意，您打几分?    </w:t>
      </w:r>
      <w:r>
        <w:rPr>
          <w:color w:val="0066FF"/>
          <w:sz w:val="24"/>
        </w:rPr>
        <w:t>[单选题]</w:t>
      </w:r>
    </w:p>
    <w:p>
      <w:pPr>
        <w:rPr>
          <w:color w:val="0066FF"/>
          <w:sz w:val="24"/>
        </w:rPr>
      </w:pPr>
    </w:p>
    <w:tbl>
      <w:tblPr>
        <w:tblStyle w:val="12"/>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083"/>
        <w:gridCol w:w="1034"/>
        <w:gridCol w:w="4887"/>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PrEx>
        <w:trPr>
          <w:trHeight w:val="500" w:hRule="atLeast"/>
        </w:trPr>
        <w:tc>
          <w:tcPr>
            <w:tcW w:w="0" w:type="auto"/>
            <w:shd w:val="clear" w:color="auto" w:fill="FFFFFF"/>
            <w:vAlign w:val="center"/>
          </w:tcPr>
          <w:p>
            <w:pPr>
              <w:jc w:val="left"/>
            </w:pPr>
            <w:r>
              <w:t>5分</w:t>
            </w:r>
          </w:p>
        </w:tc>
        <w:tc>
          <w:tcPr>
            <w:tcW w:w="0" w:type="auto"/>
            <w:shd w:val="clear" w:color="auto" w:fill="FFFFFF"/>
            <w:vAlign w:val="center"/>
          </w:tcPr>
          <w:p>
            <w:pPr>
              <w:jc w:val="center"/>
            </w:pPr>
            <w:r>
              <w:t>293</w:t>
            </w:r>
          </w:p>
        </w:tc>
        <w:tc>
          <w:tcPr>
            <w:tcW w:w="0" w:type="auto"/>
            <w:shd w:val="clear" w:color="auto" w:fill="FFFFFF"/>
            <w:vAlign w:val="center"/>
          </w:tcPr>
          <w:p>
            <w:pPr>
              <w:jc w:val="left"/>
            </w:pPr>
            <w:r>
              <w:drawing>
                <wp:inline distT="0" distB="0" distL="114300" distR="114300">
                  <wp:extent cx="1257300" cy="114300"/>
                  <wp:effectExtent l="0" t="0" r="7620" b="7620"/>
                  <wp:docPr id="1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0"/>
                          <pic:cNvPicPr>
                            <a:picLocks noChangeAspect="1"/>
                          </pic:cNvPicPr>
                        </pic:nvPicPr>
                        <pic:blipFill>
                          <a:blip r:embed="rId23"/>
                          <a:stretch>
                            <a:fillRect/>
                          </a:stretch>
                        </pic:blipFill>
                        <pic:spPr>
                          <a:xfrm>
                            <a:off x="0" y="0"/>
                            <a:ext cx="1257300" cy="114300"/>
                          </a:xfrm>
                          <a:prstGeom prst="rect">
                            <a:avLst/>
                          </a:prstGeom>
                          <a:noFill/>
                          <a:ln>
                            <a:noFill/>
                          </a:ln>
                        </pic:spPr>
                      </pic:pic>
                    </a:graphicData>
                  </a:graphic>
                </wp:inline>
              </w:drawing>
            </w:r>
            <w:r>
              <w:drawing>
                <wp:inline distT="0" distB="0" distL="114300" distR="114300">
                  <wp:extent cx="95250" cy="114300"/>
                  <wp:effectExtent l="0" t="0" r="11430" b="7620"/>
                  <wp:docPr id="12"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1"/>
                          <pic:cNvPicPr>
                            <a:picLocks noChangeAspect="1"/>
                          </pic:cNvPicPr>
                        </pic:nvPicPr>
                        <pic:blipFill>
                          <a:blip r:embed="rId24"/>
                          <a:stretch>
                            <a:fillRect/>
                          </a:stretch>
                        </pic:blipFill>
                        <pic:spPr>
                          <a:xfrm>
                            <a:off x="0" y="0"/>
                            <a:ext cx="95250" cy="114300"/>
                          </a:xfrm>
                          <a:prstGeom prst="rect">
                            <a:avLst/>
                          </a:prstGeom>
                          <a:noFill/>
                          <a:ln>
                            <a:noFill/>
                          </a:ln>
                        </pic:spPr>
                      </pic:pic>
                    </a:graphicData>
                  </a:graphic>
                </wp:inline>
              </w:drawing>
            </w:r>
            <w:r>
              <w:t>93.31%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PrEx>
        <w:trPr>
          <w:trHeight w:val="500" w:hRule="atLeast"/>
        </w:trPr>
        <w:tc>
          <w:tcPr>
            <w:tcW w:w="0" w:type="auto"/>
            <w:shd w:val="clear" w:color="auto" w:fill="F9F9F9"/>
            <w:vAlign w:val="center"/>
          </w:tcPr>
          <w:p>
            <w:pPr>
              <w:jc w:val="left"/>
            </w:pPr>
            <w:r>
              <w:t>4分</w:t>
            </w:r>
          </w:p>
        </w:tc>
        <w:tc>
          <w:tcPr>
            <w:tcW w:w="0" w:type="auto"/>
            <w:shd w:val="clear" w:color="auto" w:fill="F9F9F9"/>
            <w:vAlign w:val="center"/>
          </w:tcPr>
          <w:p>
            <w:pPr>
              <w:jc w:val="center"/>
            </w:pPr>
            <w:r>
              <w:t>15</w:t>
            </w:r>
          </w:p>
        </w:tc>
        <w:tc>
          <w:tcPr>
            <w:tcW w:w="0" w:type="auto"/>
            <w:shd w:val="clear" w:color="auto" w:fill="F9F9F9"/>
            <w:vAlign w:val="center"/>
          </w:tcPr>
          <w:p>
            <w:pPr>
              <w:jc w:val="left"/>
            </w:pPr>
            <w:r>
              <w:drawing>
                <wp:inline distT="0" distB="0" distL="114300" distR="114300">
                  <wp:extent cx="57150" cy="114300"/>
                  <wp:effectExtent l="0" t="0" r="3810" b="7620"/>
                  <wp:docPr id="23"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2"/>
                          <pic:cNvPicPr>
                            <a:picLocks noChangeAspect="1"/>
                          </pic:cNvPicPr>
                        </pic:nvPicPr>
                        <pic:blipFill>
                          <a:blip r:embed="rId25"/>
                          <a:stretch>
                            <a:fillRect/>
                          </a:stretch>
                        </pic:blipFill>
                        <pic:spPr>
                          <a:xfrm>
                            <a:off x="0" y="0"/>
                            <a:ext cx="57150" cy="114300"/>
                          </a:xfrm>
                          <a:prstGeom prst="rect">
                            <a:avLst/>
                          </a:prstGeom>
                          <a:noFill/>
                          <a:ln>
                            <a:noFill/>
                          </a:ln>
                        </pic:spPr>
                      </pic:pic>
                    </a:graphicData>
                  </a:graphic>
                </wp:inline>
              </w:drawing>
            </w:r>
            <w:r>
              <w:drawing>
                <wp:inline distT="0" distB="0" distL="114300" distR="114300">
                  <wp:extent cx="1295400" cy="114300"/>
                  <wp:effectExtent l="0" t="0" r="0" b="7620"/>
                  <wp:docPr id="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3"/>
                          <pic:cNvPicPr>
                            <a:picLocks noChangeAspect="1"/>
                          </pic:cNvPicPr>
                        </pic:nvPicPr>
                        <pic:blipFill>
                          <a:blip r:embed="rId26"/>
                          <a:stretch>
                            <a:fillRect/>
                          </a:stretch>
                        </pic:blipFill>
                        <pic:spPr>
                          <a:xfrm>
                            <a:off x="0" y="0"/>
                            <a:ext cx="1295400" cy="114300"/>
                          </a:xfrm>
                          <a:prstGeom prst="rect">
                            <a:avLst/>
                          </a:prstGeom>
                          <a:noFill/>
                          <a:ln>
                            <a:noFill/>
                          </a:ln>
                        </pic:spPr>
                      </pic:pic>
                    </a:graphicData>
                  </a:graphic>
                </wp:inline>
              </w:drawing>
            </w:r>
            <w:r>
              <w:t>4.78%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jc w:val="left"/>
            </w:pPr>
            <w:r>
              <w:t>3分</w:t>
            </w:r>
          </w:p>
        </w:tc>
        <w:tc>
          <w:tcPr>
            <w:tcW w:w="0" w:type="auto"/>
            <w:shd w:val="clear" w:color="auto" w:fill="FFFFFF"/>
            <w:vAlign w:val="center"/>
          </w:tcPr>
          <w:p>
            <w:pPr>
              <w:jc w:val="center"/>
            </w:pPr>
            <w:r>
              <w:t>5</w:t>
            </w:r>
          </w:p>
        </w:tc>
        <w:tc>
          <w:tcPr>
            <w:tcW w:w="0" w:type="auto"/>
            <w:shd w:val="clear" w:color="auto" w:fill="FFFFFF"/>
            <w:vAlign w:val="center"/>
          </w:tcPr>
          <w:p>
            <w:pPr>
              <w:jc w:val="left"/>
            </w:pPr>
            <w:r>
              <w:drawing>
                <wp:inline distT="0" distB="0" distL="114300" distR="114300">
                  <wp:extent cx="19050" cy="114300"/>
                  <wp:effectExtent l="0" t="0" r="11430" b="7620"/>
                  <wp:docPr id="9"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4"/>
                          <pic:cNvPicPr>
                            <a:picLocks noChangeAspect="1"/>
                          </pic:cNvPicPr>
                        </pic:nvPicPr>
                        <pic:blipFill>
                          <a:blip r:embed="rId27"/>
                          <a:stretch>
                            <a:fillRect/>
                          </a:stretch>
                        </pic:blipFill>
                        <pic:spPr>
                          <a:xfrm>
                            <a:off x="0" y="0"/>
                            <a:ext cx="19050" cy="114300"/>
                          </a:xfrm>
                          <a:prstGeom prst="rect">
                            <a:avLst/>
                          </a:prstGeom>
                          <a:noFill/>
                          <a:ln>
                            <a:noFill/>
                          </a:ln>
                        </pic:spPr>
                      </pic:pic>
                    </a:graphicData>
                  </a:graphic>
                </wp:inline>
              </w:drawing>
            </w:r>
            <w:r>
              <w:drawing>
                <wp:inline distT="0" distB="0" distL="114300" distR="114300">
                  <wp:extent cx="1333500" cy="114300"/>
                  <wp:effectExtent l="0" t="0" r="7620" b="7620"/>
                  <wp:docPr id="13"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5"/>
                          <pic:cNvPicPr>
                            <a:picLocks noChangeAspect="1"/>
                          </pic:cNvPicPr>
                        </pic:nvPicPr>
                        <pic:blipFill>
                          <a:blip r:embed="rId28"/>
                          <a:stretch>
                            <a:fillRect/>
                          </a:stretch>
                        </pic:blipFill>
                        <pic:spPr>
                          <a:xfrm>
                            <a:off x="0" y="0"/>
                            <a:ext cx="1333500" cy="114300"/>
                          </a:xfrm>
                          <a:prstGeom prst="rect">
                            <a:avLst/>
                          </a:prstGeom>
                          <a:noFill/>
                          <a:ln>
                            <a:noFill/>
                          </a:ln>
                        </pic:spPr>
                      </pic:pic>
                    </a:graphicData>
                  </a:graphic>
                </wp:inline>
              </w:drawing>
            </w:r>
            <w:r>
              <w:t>1.59%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jc w:val="left"/>
            </w:pPr>
            <w:r>
              <w:t>2分</w:t>
            </w:r>
          </w:p>
        </w:tc>
        <w:tc>
          <w:tcPr>
            <w:tcW w:w="0" w:type="auto"/>
            <w:shd w:val="clear" w:color="auto" w:fill="F9F9F9"/>
            <w:vAlign w:val="center"/>
          </w:tcPr>
          <w:p>
            <w:pPr>
              <w:jc w:val="center"/>
            </w:pPr>
            <w:r>
              <w:t>0</w:t>
            </w:r>
          </w:p>
        </w:tc>
        <w:tc>
          <w:tcPr>
            <w:tcW w:w="0" w:type="auto"/>
            <w:shd w:val="clear" w:color="auto" w:fill="F9F9F9"/>
            <w:vAlign w:val="center"/>
          </w:tcPr>
          <w:p>
            <w:pPr>
              <w:jc w:val="left"/>
            </w:pPr>
            <w:r>
              <w:drawing>
                <wp:inline distT="0" distB="0" distL="114300" distR="114300">
                  <wp:extent cx="1352550" cy="114300"/>
                  <wp:effectExtent l="0" t="0" r="3810" b="7620"/>
                  <wp:docPr id="7"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6"/>
                          <pic:cNvPicPr>
                            <a:picLocks noChangeAspect="1"/>
                          </pic:cNvPicPr>
                        </pic:nvPicPr>
                        <pic:blipFill>
                          <a:blip r:embed="rId8"/>
                          <a:stretch>
                            <a:fillRect/>
                          </a:stretch>
                        </pic:blipFill>
                        <pic:spPr>
                          <a:xfrm>
                            <a:off x="0" y="0"/>
                            <a:ext cx="1352550" cy="114300"/>
                          </a:xfrm>
                          <a:prstGeom prst="rect">
                            <a:avLst/>
                          </a:prstGeom>
                          <a:noFill/>
                          <a:ln>
                            <a:noFill/>
                          </a:ln>
                        </pic:spPr>
                      </pic:pic>
                    </a:graphicData>
                  </a:graphic>
                </wp:inline>
              </w:drawing>
            </w:r>
            <w: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jc w:val="left"/>
            </w:pPr>
            <w:r>
              <w:t>1分</w:t>
            </w:r>
          </w:p>
        </w:tc>
        <w:tc>
          <w:tcPr>
            <w:tcW w:w="0" w:type="auto"/>
            <w:shd w:val="clear" w:color="auto" w:fill="FFFFFF"/>
            <w:vAlign w:val="center"/>
          </w:tcPr>
          <w:p>
            <w:pPr>
              <w:jc w:val="center"/>
            </w:pPr>
            <w:r>
              <w:t>1</w:t>
            </w:r>
          </w:p>
        </w:tc>
        <w:tc>
          <w:tcPr>
            <w:tcW w:w="0" w:type="auto"/>
            <w:shd w:val="clear" w:color="auto" w:fill="FFFFFF"/>
            <w:vAlign w:val="center"/>
          </w:tcPr>
          <w:p>
            <w:pPr>
              <w:jc w:val="left"/>
            </w:pPr>
            <w:r>
              <w:drawing>
                <wp:inline distT="0" distB="0" distL="114300" distR="114300">
                  <wp:extent cx="1352550" cy="114300"/>
                  <wp:effectExtent l="0" t="0" r="3810" b="7620"/>
                  <wp:docPr id="1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7"/>
                          <pic:cNvPicPr>
                            <a:picLocks noChangeAspect="1"/>
                          </pic:cNvPicPr>
                        </pic:nvPicPr>
                        <pic:blipFill>
                          <a:blip r:embed="rId8"/>
                          <a:stretch>
                            <a:fillRect/>
                          </a:stretch>
                        </pic:blipFill>
                        <pic:spPr>
                          <a:xfrm>
                            <a:off x="0" y="0"/>
                            <a:ext cx="1352550" cy="114300"/>
                          </a:xfrm>
                          <a:prstGeom prst="rect">
                            <a:avLst/>
                          </a:prstGeom>
                          <a:noFill/>
                          <a:ln>
                            <a:noFill/>
                          </a:ln>
                        </pic:spPr>
                      </pic:pic>
                    </a:graphicData>
                  </a:graphic>
                </wp:inline>
              </w:drawing>
            </w:r>
            <w:r>
              <w:t>0.32%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left"/>
            </w:pPr>
            <w:r>
              <w:t>本题有效填写人次</w:t>
            </w:r>
          </w:p>
        </w:tc>
        <w:tc>
          <w:tcPr>
            <w:tcW w:w="0" w:type="auto"/>
            <w:shd w:val="clear" w:color="auto" w:fill="E0E0E0"/>
            <w:vAlign w:val="center"/>
          </w:tcPr>
          <w:p>
            <w:pPr>
              <w:jc w:val="center"/>
            </w:pPr>
            <w:r>
              <w:t>314</w:t>
            </w:r>
          </w:p>
        </w:tc>
        <w:tc>
          <w:tcPr>
            <w:tcW w:w="0" w:type="auto"/>
            <w:shd w:val="clear" w:color="auto" w:fill="E0E0E0"/>
            <w:vAlign w:val="center"/>
          </w:tcPr>
          <w:p>
            <w:pPr>
              <w:jc w:val="left"/>
            </w:pPr>
          </w:p>
        </w:tc>
      </w:tr>
    </w:tbl>
    <w:p/>
    <w:p/>
    <w:p>
      <w:r>
        <w:rPr>
          <w:color w:val="000000"/>
          <w:sz w:val="24"/>
        </w:rPr>
        <w:t xml:space="preserve">4.您对该区域禁毒宣传的力度是否满意?5分表示最满意，1分表示最不满意，您打几分?    </w:t>
      </w:r>
      <w:r>
        <w:rPr>
          <w:color w:val="0066FF"/>
          <w:sz w:val="24"/>
        </w:rPr>
        <w:t>[单选题]</w:t>
      </w:r>
    </w:p>
    <w:p>
      <w:pPr>
        <w:rPr>
          <w:color w:val="0066FF"/>
          <w:sz w:val="24"/>
        </w:rPr>
      </w:pPr>
    </w:p>
    <w:tbl>
      <w:tblPr>
        <w:tblStyle w:val="12"/>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083"/>
        <w:gridCol w:w="1034"/>
        <w:gridCol w:w="4887"/>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jc w:val="left"/>
            </w:pPr>
            <w:r>
              <w:t>5分</w:t>
            </w:r>
          </w:p>
        </w:tc>
        <w:tc>
          <w:tcPr>
            <w:tcW w:w="0" w:type="auto"/>
            <w:shd w:val="clear" w:color="auto" w:fill="FFFFFF"/>
            <w:vAlign w:val="center"/>
          </w:tcPr>
          <w:p>
            <w:pPr>
              <w:jc w:val="center"/>
            </w:pPr>
            <w:r>
              <w:t>288</w:t>
            </w:r>
          </w:p>
        </w:tc>
        <w:tc>
          <w:tcPr>
            <w:tcW w:w="0" w:type="auto"/>
            <w:shd w:val="clear" w:color="auto" w:fill="FFFFFF"/>
            <w:vAlign w:val="center"/>
          </w:tcPr>
          <w:p>
            <w:pPr>
              <w:jc w:val="left"/>
            </w:pPr>
            <w:r>
              <w:drawing>
                <wp:inline distT="0" distB="0" distL="114300" distR="114300">
                  <wp:extent cx="1238250" cy="114300"/>
                  <wp:effectExtent l="0" t="0" r="11430" b="7620"/>
                  <wp:docPr id="1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8"/>
                          <pic:cNvPicPr>
                            <a:picLocks noChangeAspect="1"/>
                          </pic:cNvPicPr>
                        </pic:nvPicPr>
                        <pic:blipFill>
                          <a:blip r:embed="rId29"/>
                          <a:stretch>
                            <a:fillRect/>
                          </a:stretch>
                        </pic:blipFill>
                        <pic:spPr>
                          <a:xfrm>
                            <a:off x="0" y="0"/>
                            <a:ext cx="1238250" cy="114300"/>
                          </a:xfrm>
                          <a:prstGeom prst="rect">
                            <a:avLst/>
                          </a:prstGeom>
                          <a:noFill/>
                          <a:ln>
                            <a:noFill/>
                          </a:ln>
                        </pic:spPr>
                      </pic:pic>
                    </a:graphicData>
                  </a:graphic>
                </wp:inline>
              </w:drawing>
            </w:r>
            <w:r>
              <w:drawing>
                <wp:inline distT="0" distB="0" distL="114300" distR="114300">
                  <wp:extent cx="114300" cy="114300"/>
                  <wp:effectExtent l="0" t="0" r="7620" b="7620"/>
                  <wp:docPr id="4"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9"/>
                          <pic:cNvPicPr>
                            <a:picLocks noChangeAspect="1"/>
                          </pic:cNvPicPr>
                        </pic:nvPicPr>
                        <pic:blipFill>
                          <a:blip r:embed="rId30"/>
                          <a:stretch>
                            <a:fillRect/>
                          </a:stretch>
                        </pic:blipFill>
                        <pic:spPr>
                          <a:xfrm>
                            <a:off x="0" y="0"/>
                            <a:ext cx="114300" cy="114300"/>
                          </a:xfrm>
                          <a:prstGeom prst="rect">
                            <a:avLst/>
                          </a:prstGeom>
                          <a:noFill/>
                          <a:ln>
                            <a:noFill/>
                          </a:ln>
                        </pic:spPr>
                      </pic:pic>
                    </a:graphicData>
                  </a:graphic>
                </wp:inline>
              </w:drawing>
            </w:r>
            <w:r>
              <w:t>91.72%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jc w:val="left"/>
            </w:pPr>
            <w:r>
              <w:t>4分</w:t>
            </w:r>
          </w:p>
        </w:tc>
        <w:tc>
          <w:tcPr>
            <w:tcW w:w="0" w:type="auto"/>
            <w:shd w:val="clear" w:color="auto" w:fill="F9F9F9"/>
            <w:vAlign w:val="center"/>
          </w:tcPr>
          <w:p>
            <w:pPr>
              <w:jc w:val="center"/>
            </w:pPr>
            <w:r>
              <w:t>19</w:t>
            </w:r>
          </w:p>
        </w:tc>
        <w:tc>
          <w:tcPr>
            <w:tcW w:w="0" w:type="auto"/>
            <w:shd w:val="clear" w:color="auto" w:fill="F9F9F9"/>
            <w:vAlign w:val="center"/>
          </w:tcPr>
          <w:p>
            <w:pPr>
              <w:jc w:val="left"/>
            </w:pPr>
            <w:r>
              <w:drawing>
                <wp:inline distT="0" distB="0" distL="114300" distR="114300">
                  <wp:extent cx="76200" cy="114300"/>
                  <wp:effectExtent l="0" t="0" r="0" b="7620"/>
                  <wp:docPr id="5"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0"/>
                          <pic:cNvPicPr>
                            <a:picLocks noChangeAspect="1"/>
                          </pic:cNvPicPr>
                        </pic:nvPicPr>
                        <pic:blipFill>
                          <a:blip r:embed="rId31"/>
                          <a:stretch>
                            <a:fillRect/>
                          </a:stretch>
                        </pic:blipFill>
                        <pic:spPr>
                          <a:xfrm>
                            <a:off x="0" y="0"/>
                            <a:ext cx="76200" cy="114300"/>
                          </a:xfrm>
                          <a:prstGeom prst="rect">
                            <a:avLst/>
                          </a:prstGeom>
                          <a:noFill/>
                          <a:ln>
                            <a:noFill/>
                          </a:ln>
                        </pic:spPr>
                      </pic:pic>
                    </a:graphicData>
                  </a:graphic>
                </wp:inline>
              </w:drawing>
            </w:r>
            <w:r>
              <w:drawing>
                <wp:inline distT="0" distB="0" distL="114300" distR="114300">
                  <wp:extent cx="1276350" cy="114300"/>
                  <wp:effectExtent l="0" t="0" r="3810" b="7620"/>
                  <wp:docPr id="19"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1"/>
                          <pic:cNvPicPr>
                            <a:picLocks noChangeAspect="1"/>
                          </pic:cNvPicPr>
                        </pic:nvPicPr>
                        <pic:blipFill>
                          <a:blip r:embed="rId32"/>
                          <a:stretch>
                            <a:fillRect/>
                          </a:stretch>
                        </pic:blipFill>
                        <pic:spPr>
                          <a:xfrm>
                            <a:off x="0" y="0"/>
                            <a:ext cx="1276350" cy="114300"/>
                          </a:xfrm>
                          <a:prstGeom prst="rect">
                            <a:avLst/>
                          </a:prstGeom>
                          <a:noFill/>
                          <a:ln>
                            <a:noFill/>
                          </a:ln>
                        </pic:spPr>
                      </pic:pic>
                    </a:graphicData>
                  </a:graphic>
                </wp:inline>
              </w:drawing>
            </w:r>
            <w:r>
              <w:t>6.05%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jc w:val="left"/>
            </w:pPr>
            <w:r>
              <w:t>3分</w:t>
            </w:r>
          </w:p>
        </w:tc>
        <w:tc>
          <w:tcPr>
            <w:tcW w:w="0" w:type="auto"/>
            <w:shd w:val="clear" w:color="auto" w:fill="FFFFFF"/>
            <w:vAlign w:val="center"/>
          </w:tcPr>
          <w:p>
            <w:pPr>
              <w:jc w:val="center"/>
            </w:pPr>
            <w:r>
              <w:t>6</w:t>
            </w:r>
          </w:p>
        </w:tc>
        <w:tc>
          <w:tcPr>
            <w:tcW w:w="0" w:type="auto"/>
            <w:shd w:val="clear" w:color="auto" w:fill="FFFFFF"/>
            <w:vAlign w:val="center"/>
          </w:tcPr>
          <w:p>
            <w:pPr>
              <w:jc w:val="left"/>
            </w:pPr>
            <w:r>
              <w:drawing>
                <wp:inline distT="0" distB="0" distL="114300" distR="114300">
                  <wp:extent cx="19050" cy="114300"/>
                  <wp:effectExtent l="0" t="0" r="11430" b="7620"/>
                  <wp:docPr id="20"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2"/>
                          <pic:cNvPicPr>
                            <a:picLocks noChangeAspect="1"/>
                          </pic:cNvPicPr>
                        </pic:nvPicPr>
                        <pic:blipFill>
                          <a:blip r:embed="rId27"/>
                          <a:stretch>
                            <a:fillRect/>
                          </a:stretch>
                        </pic:blipFill>
                        <pic:spPr>
                          <a:xfrm>
                            <a:off x="0" y="0"/>
                            <a:ext cx="19050" cy="114300"/>
                          </a:xfrm>
                          <a:prstGeom prst="rect">
                            <a:avLst/>
                          </a:prstGeom>
                          <a:noFill/>
                          <a:ln>
                            <a:noFill/>
                          </a:ln>
                        </pic:spPr>
                      </pic:pic>
                    </a:graphicData>
                  </a:graphic>
                </wp:inline>
              </w:drawing>
            </w:r>
            <w:r>
              <w:drawing>
                <wp:inline distT="0" distB="0" distL="114300" distR="114300">
                  <wp:extent cx="1333500" cy="114300"/>
                  <wp:effectExtent l="0" t="0" r="7620" b="7620"/>
                  <wp:docPr id="8"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3"/>
                          <pic:cNvPicPr>
                            <a:picLocks noChangeAspect="1"/>
                          </pic:cNvPicPr>
                        </pic:nvPicPr>
                        <pic:blipFill>
                          <a:blip r:embed="rId28"/>
                          <a:stretch>
                            <a:fillRect/>
                          </a:stretch>
                        </pic:blipFill>
                        <pic:spPr>
                          <a:xfrm>
                            <a:off x="0" y="0"/>
                            <a:ext cx="1333500" cy="114300"/>
                          </a:xfrm>
                          <a:prstGeom prst="rect">
                            <a:avLst/>
                          </a:prstGeom>
                          <a:noFill/>
                          <a:ln>
                            <a:noFill/>
                          </a:ln>
                        </pic:spPr>
                      </pic:pic>
                    </a:graphicData>
                  </a:graphic>
                </wp:inline>
              </w:drawing>
            </w:r>
            <w:r>
              <w:t>1.91%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jc w:val="left"/>
            </w:pPr>
            <w:r>
              <w:t>2分</w:t>
            </w:r>
          </w:p>
        </w:tc>
        <w:tc>
          <w:tcPr>
            <w:tcW w:w="0" w:type="auto"/>
            <w:shd w:val="clear" w:color="auto" w:fill="F9F9F9"/>
            <w:vAlign w:val="center"/>
          </w:tcPr>
          <w:p>
            <w:pPr>
              <w:jc w:val="center"/>
            </w:pPr>
            <w:r>
              <w:t>0</w:t>
            </w:r>
          </w:p>
        </w:tc>
        <w:tc>
          <w:tcPr>
            <w:tcW w:w="0" w:type="auto"/>
            <w:shd w:val="clear" w:color="auto" w:fill="F9F9F9"/>
            <w:vAlign w:val="center"/>
          </w:tcPr>
          <w:p>
            <w:pPr>
              <w:jc w:val="left"/>
            </w:pPr>
            <w:r>
              <w:drawing>
                <wp:inline distT="0" distB="0" distL="114300" distR="114300">
                  <wp:extent cx="1352550" cy="114300"/>
                  <wp:effectExtent l="0" t="0" r="3810" b="7620"/>
                  <wp:docPr id="10"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4"/>
                          <pic:cNvPicPr>
                            <a:picLocks noChangeAspect="1"/>
                          </pic:cNvPicPr>
                        </pic:nvPicPr>
                        <pic:blipFill>
                          <a:blip r:embed="rId8"/>
                          <a:stretch>
                            <a:fillRect/>
                          </a:stretch>
                        </pic:blipFill>
                        <pic:spPr>
                          <a:xfrm>
                            <a:off x="0" y="0"/>
                            <a:ext cx="1352550" cy="114300"/>
                          </a:xfrm>
                          <a:prstGeom prst="rect">
                            <a:avLst/>
                          </a:prstGeom>
                          <a:noFill/>
                          <a:ln>
                            <a:noFill/>
                          </a:ln>
                        </pic:spPr>
                      </pic:pic>
                    </a:graphicData>
                  </a:graphic>
                </wp:inline>
              </w:drawing>
            </w:r>
            <w: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jc w:val="left"/>
            </w:pPr>
            <w:r>
              <w:t>1分</w:t>
            </w:r>
          </w:p>
        </w:tc>
        <w:tc>
          <w:tcPr>
            <w:tcW w:w="0" w:type="auto"/>
            <w:shd w:val="clear" w:color="auto" w:fill="FFFFFF"/>
            <w:vAlign w:val="center"/>
          </w:tcPr>
          <w:p>
            <w:pPr>
              <w:jc w:val="center"/>
            </w:pPr>
            <w:r>
              <w:t>1</w:t>
            </w:r>
          </w:p>
        </w:tc>
        <w:tc>
          <w:tcPr>
            <w:tcW w:w="0" w:type="auto"/>
            <w:shd w:val="clear" w:color="auto" w:fill="FFFFFF"/>
            <w:vAlign w:val="center"/>
          </w:tcPr>
          <w:p>
            <w:pPr>
              <w:jc w:val="left"/>
            </w:pPr>
            <w:r>
              <w:drawing>
                <wp:inline distT="0" distB="0" distL="114300" distR="114300">
                  <wp:extent cx="1352550" cy="114300"/>
                  <wp:effectExtent l="0" t="0" r="3810" b="7620"/>
                  <wp:docPr id="22"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5"/>
                          <pic:cNvPicPr>
                            <a:picLocks noChangeAspect="1"/>
                          </pic:cNvPicPr>
                        </pic:nvPicPr>
                        <pic:blipFill>
                          <a:blip r:embed="rId8"/>
                          <a:stretch>
                            <a:fillRect/>
                          </a:stretch>
                        </pic:blipFill>
                        <pic:spPr>
                          <a:xfrm>
                            <a:off x="0" y="0"/>
                            <a:ext cx="1352550" cy="114300"/>
                          </a:xfrm>
                          <a:prstGeom prst="rect">
                            <a:avLst/>
                          </a:prstGeom>
                          <a:noFill/>
                          <a:ln>
                            <a:noFill/>
                          </a:ln>
                        </pic:spPr>
                      </pic:pic>
                    </a:graphicData>
                  </a:graphic>
                </wp:inline>
              </w:drawing>
            </w:r>
            <w:r>
              <w:t>0.32%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left"/>
            </w:pPr>
            <w:r>
              <w:t>本题有效填写人次</w:t>
            </w:r>
          </w:p>
        </w:tc>
        <w:tc>
          <w:tcPr>
            <w:tcW w:w="0" w:type="auto"/>
            <w:shd w:val="clear" w:color="auto" w:fill="E0E0E0"/>
            <w:vAlign w:val="center"/>
          </w:tcPr>
          <w:p>
            <w:pPr>
              <w:jc w:val="center"/>
            </w:pPr>
            <w:r>
              <w:t>314</w:t>
            </w:r>
          </w:p>
        </w:tc>
        <w:tc>
          <w:tcPr>
            <w:tcW w:w="0" w:type="auto"/>
            <w:shd w:val="clear" w:color="auto" w:fill="E0E0E0"/>
            <w:vAlign w:val="center"/>
          </w:tcPr>
          <w:p>
            <w:pPr>
              <w:jc w:val="left"/>
            </w:pPr>
          </w:p>
        </w:tc>
      </w:tr>
    </w:tbl>
    <w:p/>
    <w:p/>
    <w:p/>
    <w:p>
      <w:pPr>
        <w:spacing w:line="360" w:lineRule="auto"/>
        <w:ind w:left="-263" w:leftChars="-125"/>
        <w:rPr>
          <w:rFonts w:ascii="宋体" w:hAnsi="宋体" w:cs="宋体"/>
          <w:sz w:val="24"/>
        </w:rPr>
      </w:pPr>
    </w:p>
    <w:sectPr>
      <w:footerReference r:id="rId4" w:type="default"/>
      <w:footnotePr>
        <w:numFmt w:val="decimalEnclosedCircleChinese"/>
        <w:numRestart w:val="eachPage"/>
      </w:footnotePr>
      <w:pgSz w:w="11906" w:h="16838"/>
      <w:pgMar w:top="1417" w:right="1417" w:bottom="1417"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394"/>
        <w:tab w:val="clear" w:pos="4153"/>
      </w:tabs>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6"/>
                  <w:rPr>
                    <w:rFonts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ascii="宋体" w:hAnsi="宋体" w:eastAsia="宋体" w:cs="宋体"/>
                  </w:rPr>
                  <w:t>17</w:t>
                </w:r>
                <w:r>
                  <w:rPr>
                    <w:rFonts w:hint="eastAsia" w:ascii="宋体" w:hAnsi="宋体" w:eastAsia="宋体" w:cs="宋体"/>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D1F23E"/>
    <w:multiLevelType w:val="singleLevel"/>
    <w:tmpl w:val="FCD1F23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8035D"/>
    <w:rsid w:val="00060E95"/>
    <w:rsid w:val="00183D07"/>
    <w:rsid w:val="006023B3"/>
    <w:rsid w:val="007C2EC5"/>
    <w:rsid w:val="00B8035D"/>
    <w:rsid w:val="00CF3F07"/>
    <w:rsid w:val="00D70C86"/>
    <w:rsid w:val="00D81F7D"/>
    <w:rsid w:val="00E253B5"/>
    <w:rsid w:val="01DB06D1"/>
    <w:rsid w:val="071F0099"/>
    <w:rsid w:val="0E733A2F"/>
    <w:rsid w:val="11083F44"/>
    <w:rsid w:val="13673768"/>
    <w:rsid w:val="13791B71"/>
    <w:rsid w:val="14CB5BD7"/>
    <w:rsid w:val="14EA5CB4"/>
    <w:rsid w:val="16964761"/>
    <w:rsid w:val="18C95D37"/>
    <w:rsid w:val="18D02697"/>
    <w:rsid w:val="19030131"/>
    <w:rsid w:val="1A895C60"/>
    <w:rsid w:val="1AA91C3D"/>
    <w:rsid w:val="1B432C2A"/>
    <w:rsid w:val="1B85254B"/>
    <w:rsid w:val="1BC01A6C"/>
    <w:rsid w:val="1D282C70"/>
    <w:rsid w:val="1E962388"/>
    <w:rsid w:val="1F245857"/>
    <w:rsid w:val="214E532C"/>
    <w:rsid w:val="24D24074"/>
    <w:rsid w:val="27786057"/>
    <w:rsid w:val="28C141D0"/>
    <w:rsid w:val="28F87293"/>
    <w:rsid w:val="296D0C60"/>
    <w:rsid w:val="2B642A9C"/>
    <w:rsid w:val="2B9C7BA8"/>
    <w:rsid w:val="2F8D7255"/>
    <w:rsid w:val="323D2D49"/>
    <w:rsid w:val="32775B12"/>
    <w:rsid w:val="32C33595"/>
    <w:rsid w:val="3391694B"/>
    <w:rsid w:val="33F36356"/>
    <w:rsid w:val="34162C4C"/>
    <w:rsid w:val="352C78C9"/>
    <w:rsid w:val="361817FA"/>
    <w:rsid w:val="362F41B3"/>
    <w:rsid w:val="36E235C7"/>
    <w:rsid w:val="3AB12C30"/>
    <w:rsid w:val="3B000D9D"/>
    <w:rsid w:val="3CB4149E"/>
    <w:rsid w:val="3F21218A"/>
    <w:rsid w:val="3FC1382D"/>
    <w:rsid w:val="41F51012"/>
    <w:rsid w:val="430C255B"/>
    <w:rsid w:val="44690966"/>
    <w:rsid w:val="467F5FF3"/>
    <w:rsid w:val="46B00F79"/>
    <w:rsid w:val="490732AE"/>
    <w:rsid w:val="491611C6"/>
    <w:rsid w:val="4A4D5F33"/>
    <w:rsid w:val="4A975B59"/>
    <w:rsid w:val="4C7D3B4E"/>
    <w:rsid w:val="4C90637D"/>
    <w:rsid w:val="4F1A204F"/>
    <w:rsid w:val="5286654C"/>
    <w:rsid w:val="528C6879"/>
    <w:rsid w:val="52A645F7"/>
    <w:rsid w:val="53CD2E7F"/>
    <w:rsid w:val="540B3095"/>
    <w:rsid w:val="58FC6EE7"/>
    <w:rsid w:val="596958A5"/>
    <w:rsid w:val="5CD13A77"/>
    <w:rsid w:val="5DEB7A81"/>
    <w:rsid w:val="5F16109E"/>
    <w:rsid w:val="62B6357A"/>
    <w:rsid w:val="63591624"/>
    <w:rsid w:val="647E68B3"/>
    <w:rsid w:val="652E3EA1"/>
    <w:rsid w:val="68164311"/>
    <w:rsid w:val="689021D0"/>
    <w:rsid w:val="6A5D38AE"/>
    <w:rsid w:val="6B400DE3"/>
    <w:rsid w:val="6C090032"/>
    <w:rsid w:val="6D48245B"/>
    <w:rsid w:val="6E2976D6"/>
    <w:rsid w:val="6ED246D2"/>
    <w:rsid w:val="6F24633A"/>
    <w:rsid w:val="705947DE"/>
    <w:rsid w:val="70BD3DF9"/>
    <w:rsid w:val="729C6F23"/>
    <w:rsid w:val="72DA4883"/>
    <w:rsid w:val="747961B7"/>
    <w:rsid w:val="75A43337"/>
    <w:rsid w:val="772D1155"/>
    <w:rsid w:val="780932AF"/>
    <w:rsid w:val="796C592B"/>
    <w:rsid w:val="79E876D1"/>
    <w:rsid w:val="7C2271E5"/>
    <w:rsid w:val="7C5D1CD7"/>
    <w:rsid w:val="7F9B7E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9"/>
    <w:pPr>
      <w:ind w:firstLine="482"/>
      <w:outlineLvl w:val="1"/>
    </w:pPr>
    <w:rPr>
      <w:b/>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4">
    <w:name w:val="Plain Text"/>
    <w:basedOn w:val="1"/>
    <w:qFormat/>
    <w:uiPriority w:val="0"/>
    <w:rPr>
      <w:rFonts w:ascii="宋体" w:hAnsi="Courier New" w:cs="Courier New"/>
      <w:szCs w:val="21"/>
    </w:rPr>
  </w:style>
  <w:style w:type="paragraph" w:styleId="5">
    <w:name w:val="Balloon Text"/>
    <w:basedOn w:val="1"/>
    <w:link w:val="22"/>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1"/>
    <w:basedOn w:val="1"/>
    <w:next w:val="1"/>
    <w:link w:val="20"/>
    <w:qFormat/>
    <w:uiPriority w:val="0"/>
    <w:pPr>
      <w:jc w:val="center"/>
    </w:pPr>
    <w:rPr>
      <w:rFonts w:eastAsia="宋体"/>
      <w:b/>
      <w:sz w:val="28"/>
    </w:rPr>
  </w:style>
  <w:style w:type="paragraph" w:styleId="9">
    <w:name w:val="footnote text"/>
    <w:basedOn w:val="1"/>
    <w:qFormat/>
    <w:uiPriority w:val="0"/>
    <w:pPr>
      <w:snapToGrid w:val="0"/>
      <w:jc w:val="left"/>
    </w:pPr>
    <w:rPr>
      <w:sz w:val="18"/>
    </w:rPr>
  </w:style>
  <w:style w:type="paragraph" w:styleId="10">
    <w:name w:val="toc 2"/>
    <w:basedOn w:val="1"/>
    <w:next w:val="1"/>
    <w:qFormat/>
    <w:uiPriority w:val="0"/>
    <w:pPr>
      <w:ind w:firstLine="420" w:firstLineChars="200"/>
    </w:pPr>
    <w:rPr>
      <w:rFonts w:eastAsia="宋体"/>
      <w:b/>
      <w:sz w:val="28"/>
    </w:rPr>
  </w:style>
  <w:style w:type="paragraph" w:styleId="11">
    <w:name w:val="Normal (Web)"/>
    <w:basedOn w:val="1"/>
    <w:qFormat/>
    <w:uiPriority w:val="0"/>
    <w:pPr>
      <w:spacing w:beforeAutospacing="1" w:afterAutospacing="1"/>
      <w:jc w:val="left"/>
    </w:pPr>
    <w:rPr>
      <w:rFonts w:cs="Times New Roman"/>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rPr>
      <w:b/>
    </w:rPr>
  </w:style>
  <w:style w:type="character" w:styleId="16">
    <w:name w:val="Hyperlink"/>
    <w:basedOn w:val="14"/>
    <w:qFormat/>
    <w:uiPriority w:val="0"/>
    <w:rPr>
      <w:color w:val="0000FF"/>
      <w:u w:val="single"/>
    </w:rPr>
  </w:style>
  <w:style w:type="character" w:styleId="17">
    <w:name w:val="footnote reference"/>
    <w:basedOn w:val="14"/>
    <w:qFormat/>
    <w:uiPriority w:val="0"/>
    <w:rPr>
      <w:vertAlign w:val="superscript"/>
    </w:rPr>
  </w:style>
  <w:style w:type="paragraph" w:customStyle="1" w:styleId="18">
    <w:name w:val="WPSOffice手动目录 1"/>
    <w:qFormat/>
    <w:uiPriority w:val="0"/>
    <w:rPr>
      <w:rFonts w:ascii="Times New Roman" w:hAnsi="Times New Roman" w:eastAsia="宋体" w:cs="Times New Roman"/>
      <w:lang w:val="en-US" w:eastAsia="zh-CN" w:bidi="ar-SA"/>
    </w:rPr>
  </w:style>
  <w:style w:type="paragraph" w:customStyle="1" w:styleId="19">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0">
    <w:name w:val="目录 1 Char"/>
    <w:link w:val="8"/>
    <w:qFormat/>
    <w:uiPriority w:val="0"/>
    <w:rPr>
      <w:rFonts w:eastAsia="宋体" w:asciiTheme="minorHAnsi" w:hAnsiTheme="minorHAnsi"/>
      <w:b/>
      <w:sz w:val="28"/>
    </w:rPr>
  </w:style>
  <w:style w:type="paragraph" w:customStyle="1" w:styleId="21">
    <w:name w:val="正文二"/>
    <w:basedOn w:val="1"/>
    <w:qFormat/>
    <w:uiPriority w:val="0"/>
    <w:rPr>
      <w:rFonts w:eastAsia="仿宋_GB2312" w:asciiTheme="majorEastAsia" w:hAnsiTheme="majorEastAsia"/>
    </w:rPr>
  </w:style>
  <w:style w:type="character" w:customStyle="1" w:styleId="22">
    <w:name w:val="批注框文本 Char"/>
    <w:basedOn w:val="14"/>
    <w:link w:val="5"/>
    <w:qFormat/>
    <w:uiPriority w:val="0"/>
    <w:rPr>
      <w:rFonts w:asciiTheme="minorHAnsi" w:hAnsiTheme="minorHAnsi" w:eastAsiaTheme="minorEastAsia" w:cstheme="minorBidi"/>
      <w:kern w:val="2"/>
      <w:sz w:val="18"/>
      <w:szCs w:val="18"/>
    </w:rPr>
  </w:style>
  <w:style w:type="paragraph" w:styleId="2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5" Type="http://schemas.openxmlformats.org/officeDocument/2006/relationships/fontTable" Target="fontTable.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27.png"/><Relationship Id="rId31" Type="http://schemas.openxmlformats.org/officeDocument/2006/relationships/image" Target="media/image26.png"/><Relationship Id="rId30" Type="http://schemas.openxmlformats.org/officeDocument/2006/relationships/image" Target="media/image25.png"/><Relationship Id="rId3" Type="http://schemas.openxmlformats.org/officeDocument/2006/relationships/footer" Target="footer1.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27</Pages>
  <Words>3091</Words>
  <Characters>17622</Characters>
  <Lines>146</Lines>
  <Paragraphs>41</Paragraphs>
  <TotalTime>2</TotalTime>
  <ScaleCrop>false</ScaleCrop>
  <LinksUpToDate>false</LinksUpToDate>
  <CharactersWithSpaces>20672</CharactersWithSpaces>
  <Application>WPS Office_11.1.0.10026_F1E327BC-269C-435d-A152-05C5408002CA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ychen</dc:creator>
  <cp:lastModifiedBy>MOMO</cp:lastModifiedBy>
  <cp:lastPrinted>2020-08-11T09:29:00Z</cp:lastPrinted>
  <dcterms:modified xsi:type="dcterms:W3CDTF">2020-12-27T13:54:13Z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2052-11.1.0.10026</vt:lpwstr>
  </property>
</Properties>
</file>