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Ansi="宋体" w:cs="宋体"/>
        </w:rPr>
      </w:pPr>
    </w:p>
    <w:p>
      <w:pPr>
        <w:pStyle w:val="4"/>
        <w:rPr>
          <w:rFonts w:hAnsi="宋体" w:cs="宋体"/>
        </w:rPr>
      </w:pPr>
    </w:p>
    <w:p>
      <w:pPr>
        <w:pStyle w:val="4"/>
        <w:rPr>
          <w:rFonts w:hAnsi="宋体" w:cs="宋体"/>
        </w:rPr>
      </w:pPr>
    </w:p>
    <w:p>
      <w:pPr>
        <w:pStyle w:val="4"/>
        <w:jc w:val="center"/>
        <w:rPr>
          <w:rFonts w:ascii="黑体" w:hAnsi="黑体" w:eastAsia="黑体" w:cs="宋体"/>
          <w:sz w:val="44"/>
          <w:szCs w:val="44"/>
        </w:rPr>
      </w:pPr>
    </w:p>
    <w:p>
      <w:pPr>
        <w:pStyle w:val="4"/>
        <w:jc w:val="center"/>
        <w:rPr>
          <w:rFonts w:ascii="黑体" w:hAnsi="黑体" w:eastAsia="黑体" w:cs="宋体"/>
          <w:sz w:val="44"/>
          <w:szCs w:val="44"/>
        </w:rPr>
      </w:pPr>
    </w:p>
    <w:p>
      <w:pPr>
        <w:pStyle w:val="4"/>
        <w:jc w:val="center"/>
        <w:rPr>
          <w:rFonts w:ascii="黑体" w:hAnsi="黑体" w:eastAsia="黑体" w:cs="黑体"/>
          <w:sz w:val="44"/>
          <w:szCs w:val="44"/>
        </w:rPr>
      </w:pPr>
      <w:r>
        <w:rPr>
          <w:rFonts w:hint="eastAsia" w:ascii="黑体" w:hAnsi="黑体" w:eastAsia="黑体" w:cs="黑体"/>
          <w:sz w:val="44"/>
          <w:szCs w:val="44"/>
        </w:rPr>
        <w:t>泉州市丰泽区2019年度禁毒工作专项经费</w:t>
      </w:r>
    </w:p>
    <w:p>
      <w:pPr>
        <w:pStyle w:val="4"/>
        <w:jc w:val="center"/>
        <w:rPr>
          <w:rFonts w:ascii="黑体" w:hAnsi="黑体" w:eastAsia="黑体" w:cs="黑体"/>
          <w:sz w:val="44"/>
          <w:szCs w:val="44"/>
        </w:rPr>
      </w:pPr>
      <w:r>
        <w:rPr>
          <w:rFonts w:hint="eastAsia" w:ascii="黑体" w:hAnsi="黑体" w:eastAsia="黑体" w:cs="黑体"/>
          <w:sz w:val="44"/>
          <w:szCs w:val="44"/>
        </w:rPr>
        <w:t>绩效评价报告</w:t>
      </w:r>
    </w:p>
    <w:p>
      <w:pPr>
        <w:pStyle w:val="4"/>
        <w:jc w:val="center"/>
        <w:rPr>
          <w:rFonts w:ascii="黑体" w:hAnsi="黑体" w:eastAsia="黑体" w:cs="宋体"/>
          <w:sz w:val="44"/>
          <w:szCs w:val="44"/>
        </w:rPr>
      </w:pPr>
    </w:p>
    <w:p>
      <w:pPr>
        <w:pStyle w:val="4"/>
        <w:jc w:val="center"/>
        <w:rPr>
          <w:rFonts w:ascii="黑体" w:hAnsi="黑体" w:eastAsia="黑体" w:cs="宋体"/>
          <w:sz w:val="44"/>
          <w:szCs w:val="44"/>
        </w:rPr>
      </w:pPr>
    </w:p>
    <w:p>
      <w:pPr>
        <w:pStyle w:val="4"/>
        <w:rPr>
          <w:rFonts w:hAnsi="宋体" w:cs="宋体"/>
        </w:rPr>
      </w:pPr>
    </w:p>
    <w:p>
      <w:pPr>
        <w:pStyle w:val="4"/>
        <w:rPr>
          <w:rFonts w:hAnsi="宋体" w:cs="宋体"/>
        </w:rPr>
      </w:pPr>
    </w:p>
    <w:p>
      <w:pPr>
        <w:pStyle w:val="4"/>
        <w:rPr>
          <w:rFonts w:hAnsi="宋体" w:cs="宋体"/>
        </w:rPr>
      </w:pPr>
    </w:p>
    <w:p>
      <w:pPr>
        <w:pStyle w:val="4"/>
        <w:rPr>
          <w:rFonts w:hAnsi="宋体" w:cs="宋体"/>
        </w:rPr>
      </w:pPr>
    </w:p>
    <w:p>
      <w:pPr>
        <w:pStyle w:val="4"/>
        <w:rPr>
          <w:rFonts w:hAnsi="宋体" w:cs="宋体"/>
        </w:rPr>
      </w:pPr>
    </w:p>
    <w:p>
      <w:pPr>
        <w:adjustRightInd w:val="0"/>
        <w:snapToGrid w:val="0"/>
        <w:spacing w:line="480" w:lineRule="auto"/>
        <w:rPr>
          <w:rFonts w:hint="default" w:ascii="宋体" w:hAnsi="宋体" w:cs="宋体" w:eastAsiaTheme="minorEastAsia"/>
          <w:bCs/>
          <w:sz w:val="32"/>
          <w:szCs w:val="32"/>
          <w:u w:val="single"/>
          <w:lang w:val="en-US" w:eastAsia="zh-CN"/>
        </w:rPr>
      </w:pPr>
      <w:r>
        <w:rPr>
          <w:rFonts w:hint="eastAsia" w:ascii="宋体" w:hAnsi="宋体" w:cs="宋体"/>
          <w:bCs/>
          <w:sz w:val="32"/>
          <w:szCs w:val="32"/>
        </w:rPr>
        <w:t>项 目 名 称 ：</w:t>
      </w:r>
      <w:r>
        <w:rPr>
          <w:rFonts w:hint="eastAsia" w:ascii="宋体" w:hAnsi="宋体" w:cs="宋体"/>
          <w:bCs/>
          <w:sz w:val="32"/>
          <w:szCs w:val="32"/>
          <w:u w:val="single"/>
          <w:lang w:val="en-US" w:eastAsia="zh-CN"/>
        </w:rPr>
        <w:t xml:space="preserve">      </w:t>
      </w:r>
      <w:r>
        <w:rPr>
          <w:rFonts w:hint="eastAsia" w:ascii="宋体" w:hAnsi="宋体" w:cs="宋体"/>
          <w:bCs/>
          <w:sz w:val="32"/>
          <w:szCs w:val="32"/>
          <w:u w:val="single"/>
        </w:rPr>
        <w:t>2019年度禁毒工作专项经费项目</w:t>
      </w:r>
      <w:r>
        <w:rPr>
          <w:rFonts w:hint="eastAsia" w:ascii="宋体" w:hAnsi="宋体" w:cs="宋体"/>
          <w:bCs/>
          <w:sz w:val="32"/>
          <w:szCs w:val="32"/>
          <w:u w:val="single"/>
          <w:lang w:val="en-US" w:eastAsia="zh-CN"/>
        </w:rPr>
        <w:t xml:space="preserve">    </w:t>
      </w:r>
    </w:p>
    <w:p>
      <w:pPr>
        <w:adjustRightInd w:val="0"/>
        <w:snapToGrid w:val="0"/>
        <w:spacing w:line="480" w:lineRule="auto"/>
        <w:rPr>
          <w:rFonts w:hint="default" w:ascii="宋体" w:hAnsi="宋体" w:cs="宋体" w:eastAsiaTheme="minorEastAsia"/>
          <w:bCs/>
          <w:sz w:val="32"/>
          <w:szCs w:val="32"/>
          <w:u w:val="single"/>
          <w:lang w:val="en-US" w:eastAsia="zh-CN"/>
        </w:rPr>
      </w:pPr>
      <w:r>
        <w:rPr>
          <w:rFonts w:hint="eastAsia" w:ascii="宋体" w:hAnsi="宋体" w:cs="宋体"/>
          <w:bCs/>
          <w:sz w:val="32"/>
          <w:szCs w:val="32"/>
        </w:rPr>
        <w:t>项目实施单位：</w:t>
      </w:r>
      <w:r>
        <w:rPr>
          <w:rFonts w:hint="eastAsia" w:ascii="宋体" w:hAnsi="宋体" w:cs="宋体"/>
          <w:bCs/>
          <w:sz w:val="32"/>
          <w:szCs w:val="32"/>
          <w:u w:val="single"/>
          <w:lang w:val="en-US" w:eastAsia="zh-CN"/>
        </w:rPr>
        <w:t xml:space="preserve">      </w:t>
      </w:r>
      <w:r>
        <w:rPr>
          <w:rFonts w:hint="eastAsia" w:ascii="宋体" w:hAnsi="宋体" w:cs="宋体"/>
          <w:bCs/>
          <w:sz w:val="32"/>
          <w:szCs w:val="32"/>
          <w:u w:val="single"/>
        </w:rPr>
        <w:t>泉州市丰泽区禁毒</w:t>
      </w:r>
      <w:r>
        <w:rPr>
          <w:rFonts w:hint="eastAsia" w:ascii="宋体" w:hAnsi="宋体" w:cs="宋体"/>
          <w:bCs/>
          <w:sz w:val="32"/>
          <w:szCs w:val="32"/>
          <w:u w:val="single"/>
          <w:lang w:eastAsia="zh-CN"/>
        </w:rPr>
        <w:t>委员会</w:t>
      </w:r>
      <w:r>
        <w:rPr>
          <w:rFonts w:hint="eastAsia" w:ascii="宋体" w:hAnsi="宋体" w:cs="宋体"/>
          <w:bCs/>
          <w:sz w:val="32"/>
          <w:szCs w:val="32"/>
          <w:u w:val="single"/>
        </w:rPr>
        <w:t>办公室</w:t>
      </w:r>
      <w:r>
        <w:rPr>
          <w:rFonts w:hint="eastAsia" w:ascii="宋体" w:hAnsi="宋体" w:cs="宋体"/>
          <w:bCs/>
          <w:sz w:val="32"/>
          <w:szCs w:val="32"/>
          <w:u w:val="single"/>
          <w:lang w:val="en-US" w:eastAsia="zh-CN"/>
        </w:rPr>
        <w:t xml:space="preserve">     </w:t>
      </w:r>
    </w:p>
    <w:p>
      <w:pPr>
        <w:adjustRightInd w:val="0"/>
        <w:snapToGrid w:val="0"/>
        <w:spacing w:line="480" w:lineRule="auto"/>
        <w:rPr>
          <w:rFonts w:ascii="宋体" w:hAnsi="宋体" w:cs="宋体"/>
          <w:bCs/>
          <w:sz w:val="32"/>
          <w:szCs w:val="32"/>
        </w:rPr>
      </w:pPr>
      <w:r>
        <w:rPr>
          <w:rFonts w:hint="eastAsia" w:ascii="宋体" w:hAnsi="宋体" w:cs="宋体"/>
          <w:bCs/>
          <w:sz w:val="32"/>
          <w:szCs w:val="32"/>
        </w:rPr>
        <w:t>委 托 单 位 ：</w:t>
      </w:r>
      <w:r>
        <w:rPr>
          <w:rFonts w:hint="eastAsia" w:ascii="宋体" w:hAnsi="宋体" w:cs="宋体"/>
          <w:bCs/>
          <w:sz w:val="32"/>
          <w:szCs w:val="32"/>
          <w:u w:val="single"/>
        </w:rPr>
        <w:t xml:space="preserve"> </w:t>
      </w:r>
      <w:r>
        <w:rPr>
          <w:rFonts w:hint="eastAsia" w:ascii="宋体" w:hAnsi="宋体" w:cs="宋体"/>
          <w:bCs/>
          <w:sz w:val="32"/>
          <w:szCs w:val="32"/>
          <w:u w:val="single"/>
          <w:lang w:val="en-US" w:eastAsia="zh-CN"/>
        </w:rPr>
        <w:t xml:space="preserve">        </w:t>
      </w:r>
      <w:r>
        <w:rPr>
          <w:rFonts w:hint="eastAsia" w:ascii="宋体" w:hAnsi="宋体" w:cs="宋体"/>
          <w:bCs/>
          <w:sz w:val="32"/>
          <w:szCs w:val="32"/>
          <w:u w:val="single"/>
        </w:rPr>
        <w:t xml:space="preserve"> 泉州市丰泽区财政局           </w:t>
      </w:r>
    </w:p>
    <w:p>
      <w:pPr>
        <w:rPr>
          <w:sz w:val="32"/>
          <w:szCs w:val="32"/>
        </w:rPr>
      </w:pPr>
      <w:r>
        <w:rPr>
          <w:rFonts w:hint="eastAsia" w:ascii="宋体" w:hAnsi="宋体" w:cs="宋体"/>
          <w:bCs/>
          <w:sz w:val="32"/>
          <w:szCs w:val="32"/>
        </w:rPr>
        <w:t>评 价 机 构 ：</w:t>
      </w:r>
      <w:r>
        <w:rPr>
          <w:rFonts w:hint="eastAsia" w:ascii="宋体" w:hAnsi="宋体" w:cs="宋体"/>
          <w:bCs/>
          <w:sz w:val="32"/>
          <w:szCs w:val="32"/>
          <w:u w:val="single"/>
        </w:rPr>
        <w:t xml:space="preserve">       集美大学地方财政绩效研究中心    </w:t>
      </w:r>
    </w:p>
    <w:p>
      <w:pPr>
        <w:pStyle w:val="2"/>
      </w:pPr>
    </w:p>
    <w:p>
      <w:pPr>
        <w:pStyle w:val="2"/>
      </w:pPr>
    </w:p>
    <w:p>
      <w:pPr>
        <w:pStyle w:val="2"/>
      </w:pPr>
    </w:p>
    <w:p>
      <w:pPr>
        <w:jc w:val="center"/>
      </w:pPr>
    </w:p>
    <w:p>
      <w:pPr>
        <w:pStyle w:val="2"/>
      </w:pPr>
    </w:p>
    <w:p>
      <w:pPr>
        <w:pStyle w:val="2"/>
      </w:pPr>
    </w:p>
    <w:p>
      <w:pPr>
        <w:jc w:val="center"/>
      </w:pPr>
    </w:p>
    <w:p>
      <w:pPr>
        <w:pStyle w:val="4"/>
        <w:jc w:val="center"/>
        <w:rPr>
          <w:sz w:val="24"/>
          <w:szCs w:val="24"/>
        </w:rPr>
      </w:pPr>
    </w:p>
    <w:p>
      <w:pPr>
        <w:pStyle w:val="4"/>
        <w:jc w:val="center"/>
        <w:rPr>
          <w:sz w:val="30"/>
          <w:szCs w:val="30"/>
        </w:rPr>
      </w:pPr>
    </w:p>
    <w:p>
      <w:pPr>
        <w:pStyle w:val="4"/>
        <w:jc w:val="center"/>
        <w:rPr>
          <w:sz w:val="24"/>
          <w:szCs w:val="24"/>
        </w:rPr>
        <w:sectPr>
          <w:pgSz w:w="11906" w:h="16838"/>
          <w:pgMar w:top="1417" w:right="1417" w:bottom="1417" w:left="1701" w:header="851" w:footer="992" w:gutter="0"/>
          <w:cols w:space="425" w:num="1"/>
          <w:docGrid w:type="lines" w:linePitch="312" w:charSpace="0"/>
        </w:sectPr>
      </w:pPr>
      <w:r>
        <w:rPr>
          <w:sz w:val="30"/>
          <w:szCs w:val="30"/>
        </w:rPr>
        <w:t>20</w:t>
      </w:r>
      <w:r>
        <w:rPr>
          <w:rFonts w:hint="eastAsia"/>
          <w:sz w:val="30"/>
          <w:szCs w:val="30"/>
        </w:rPr>
        <w:t>20</w:t>
      </w:r>
      <w:r>
        <w:rPr>
          <w:sz w:val="30"/>
          <w:szCs w:val="30"/>
        </w:rPr>
        <w:t>年</w:t>
      </w:r>
      <w:r>
        <w:rPr>
          <w:rFonts w:hint="eastAsia"/>
          <w:sz w:val="30"/>
          <w:szCs w:val="30"/>
        </w:rPr>
        <w:t>12</w:t>
      </w:r>
      <w:r>
        <w:rPr>
          <w:sz w:val="30"/>
          <w:szCs w:val="30"/>
        </w:rPr>
        <w:t>月</w:t>
      </w:r>
    </w:p>
    <w:p>
      <w:pPr>
        <w:pStyle w:val="4"/>
        <w:jc w:val="center"/>
        <w:rPr>
          <w:rFonts w:ascii="黑体" w:hAnsi="黑体" w:eastAsia="黑体" w:cs="宋体"/>
          <w:sz w:val="28"/>
          <w:szCs w:val="28"/>
        </w:rPr>
      </w:pPr>
      <w:r>
        <w:rPr>
          <w:rFonts w:hint="eastAsia" w:ascii="黑体" w:hAnsi="黑体" w:eastAsia="黑体" w:cs="宋体"/>
          <w:sz w:val="28"/>
          <w:szCs w:val="28"/>
        </w:rPr>
        <w:t>目  录</w:t>
      </w:r>
    </w:p>
    <w:sdt>
      <w:sdtPr>
        <w:rPr>
          <w:rFonts w:hint="eastAsia" w:ascii="宋体" w:hAnsi="宋体" w:eastAsia="宋体" w:cs="宋体"/>
          <w:b/>
          <w:sz w:val="24"/>
        </w:rPr>
        <w:id w:val="147473277"/>
        <w:docPartObj>
          <w:docPartGallery w:val="Table of Contents"/>
          <w:docPartUnique/>
        </w:docPartObj>
      </w:sdtPr>
      <w:sdtEndPr>
        <w:rPr>
          <w:rFonts w:hint="eastAsia" w:asciiTheme="minorEastAsia" w:hAnsiTheme="minorEastAsia" w:eastAsiaTheme="minorEastAsia" w:cstheme="minorEastAsia"/>
          <w:b w:val="0"/>
          <w:bCs/>
          <w:sz w:val="24"/>
        </w:rPr>
      </w:sdtEndPr>
      <w:sdtContent>
        <w:p>
          <w:pPr>
            <w:spacing w:line="360" w:lineRule="auto"/>
            <w:jc w:val="center"/>
            <w:rPr>
              <w:rFonts w:ascii="宋体" w:hAnsi="宋体" w:eastAsia="宋体" w:cs="宋体"/>
              <w:sz w:val="24"/>
            </w:rPr>
          </w:pP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"1-2" \h \u </w:instrText>
          </w:r>
          <w:r>
            <w:rPr>
              <w:rFonts w:hint="eastAsia" w:ascii="宋体" w:hAnsi="宋体" w:eastAsia="宋体" w:cs="宋体"/>
              <w:b w:val="0"/>
              <w:bCs/>
              <w:sz w:val="24"/>
              <w:szCs w:val="24"/>
            </w:rPr>
            <w:fldChar w:fldCharType="separate"/>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_Toc31449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_Toc31449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_Toc13677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_Toc13677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_Toc21081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（二）项目绩效目标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_Toc21081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_Toc27085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二、绩效评价工作开展情况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_Toc27085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_Toc7219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（一）绩效评价目的、对象和范围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_Toc7219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_Toc4205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（二）绩效评价原则、评价指标体系、评价方法和评价标准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_Toc4205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_Toc28781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（三）绩效评价工作过程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_Toc28781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_Toc15761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三、综合评价情况及评价结论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_Toc15761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_Toc25902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四、绩效评价指标分析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_Toc25902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_Toc32240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（一）项目决策情况得1</w:t>
          </w:r>
          <w:r>
            <w:rPr>
              <w:rFonts w:hint="eastAsia" w:ascii="宋体" w:hAnsi="宋体" w:eastAsia="宋体" w:cs="宋体"/>
              <w:sz w:val="24"/>
              <w:szCs w:val="24"/>
              <w:lang w:val="en-US" w:eastAsia="zh-CN"/>
            </w:rPr>
            <w:t>5</w:t>
          </w:r>
          <w:r>
            <w:rPr>
              <w:rFonts w:hint="eastAsia" w:ascii="宋体" w:hAnsi="宋体" w:eastAsia="宋体" w:cs="宋体"/>
              <w:sz w:val="24"/>
              <w:szCs w:val="24"/>
            </w:rPr>
            <w:t>分（共18分）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_Toc32240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_Toc3789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（二）项目过程指标得13分（共14分）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_Toc3789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_Toc27901 </w:instrText>
          </w:r>
          <w:r>
            <w:rPr>
              <w:rFonts w:hint="eastAsia" w:ascii="宋体" w:hAnsi="宋体" w:eastAsia="宋体" w:cs="宋体"/>
              <w:bCs/>
              <w:sz w:val="24"/>
              <w:szCs w:val="24"/>
            </w:rPr>
            <w:fldChar w:fldCharType="separate"/>
          </w:r>
          <w:r>
            <w:rPr>
              <w:rFonts w:hint="eastAsia" w:ascii="宋体" w:hAnsi="宋体" w:eastAsia="宋体" w:cs="宋体"/>
              <w:sz w:val="24"/>
              <w:szCs w:val="24"/>
            </w:rPr>
            <w:t>（三）项目产出情况得2</w:t>
          </w:r>
          <w:r>
            <w:rPr>
              <w:rFonts w:hint="eastAsia" w:ascii="宋体" w:hAnsi="宋体" w:cs="宋体"/>
              <w:sz w:val="24"/>
              <w:szCs w:val="24"/>
              <w:lang w:val="en-US" w:eastAsia="zh-CN"/>
            </w:rPr>
            <w:t>1</w:t>
          </w:r>
          <w:bookmarkStart w:id="31" w:name="_GoBack"/>
          <w:bookmarkEnd w:id="31"/>
          <w:r>
            <w:rPr>
              <w:rFonts w:hint="eastAsia" w:ascii="宋体" w:hAnsi="宋体" w:cs="宋体"/>
              <w:sz w:val="24"/>
              <w:szCs w:val="24"/>
              <w:lang w:val="en-US" w:eastAsia="zh-CN"/>
            </w:rPr>
            <w:t>.4</w:t>
          </w:r>
          <w:r>
            <w:rPr>
              <w:rFonts w:hint="eastAsia" w:ascii="宋体" w:hAnsi="宋体" w:eastAsia="宋体" w:cs="宋体"/>
              <w:sz w:val="24"/>
              <w:szCs w:val="24"/>
            </w:rPr>
            <w:t>分（共23分）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_Toc27901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_Toc31108 </w:instrText>
          </w:r>
          <w:r>
            <w:rPr>
              <w:rFonts w:hint="eastAsia" w:ascii="宋体" w:hAnsi="宋体" w:eastAsia="宋体" w:cs="宋体"/>
              <w:bCs/>
              <w:sz w:val="24"/>
              <w:szCs w:val="24"/>
            </w:rPr>
            <w:fldChar w:fldCharType="separate"/>
          </w:r>
          <w:r>
            <w:rPr>
              <w:rFonts w:hint="eastAsia" w:ascii="宋体" w:hAnsi="宋体" w:eastAsia="宋体" w:cs="宋体"/>
              <w:sz w:val="24"/>
              <w:szCs w:val="24"/>
            </w:rPr>
            <w:t>（四）项目效益情况得4</w:t>
          </w:r>
          <w:r>
            <w:rPr>
              <w:rFonts w:hint="eastAsia" w:ascii="宋体" w:hAnsi="宋体" w:cs="宋体"/>
              <w:sz w:val="24"/>
              <w:szCs w:val="24"/>
              <w:lang w:val="en-US" w:eastAsia="zh-CN"/>
            </w:rPr>
            <w:t>4</w:t>
          </w:r>
          <w:r>
            <w:rPr>
              <w:rFonts w:hint="eastAsia" w:ascii="宋体" w:hAnsi="宋体" w:eastAsia="宋体" w:cs="宋体"/>
              <w:sz w:val="24"/>
              <w:szCs w:val="24"/>
            </w:rPr>
            <w:t>分（共45分）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_Toc31108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_Toc4692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五、主要经验及做法、存在的问题及原因分析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_Toc4692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_Toc12712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（一）主要经验及做法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_Toc12712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_Toc26517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（二）存在的问题及原因分析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_Toc26517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_Toc22149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六、有关建议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_Toc22149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_Toc12864 </w:instrText>
          </w:r>
          <w:r>
            <w:rPr>
              <w:rFonts w:hint="eastAsia" w:ascii="宋体" w:hAnsi="宋体" w:eastAsia="宋体" w:cs="宋体"/>
              <w:bCs/>
              <w:sz w:val="24"/>
              <w:szCs w:val="24"/>
            </w:rPr>
            <w:fldChar w:fldCharType="separate"/>
          </w:r>
          <w:r>
            <w:rPr>
              <w:rFonts w:hint="eastAsia" w:ascii="宋体" w:hAnsi="宋体" w:eastAsia="宋体" w:cs="宋体"/>
              <w:sz w:val="24"/>
              <w:szCs w:val="24"/>
            </w:rPr>
            <w:t>（一）完善项目支出绩效目标申报工作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_Toc12864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_Toc21851 </w:instrText>
          </w:r>
          <w:r>
            <w:rPr>
              <w:rFonts w:hint="eastAsia" w:ascii="宋体" w:hAnsi="宋体" w:eastAsia="宋体" w:cs="宋体"/>
              <w:bCs/>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lang w:val="en-US" w:eastAsia="zh-CN"/>
            </w:rPr>
            <w:t>建立长效的宣传工作机制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_Toc21851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_Toc31056 </w:instrText>
          </w:r>
          <w:r>
            <w:rPr>
              <w:rFonts w:hint="eastAsia" w:ascii="宋体" w:hAnsi="宋体" w:eastAsia="宋体" w:cs="宋体"/>
              <w:bCs/>
              <w:sz w:val="24"/>
              <w:szCs w:val="24"/>
            </w:rPr>
            <w:fldChar w:fldCharType="separate"/>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加大</w:t>
          </w:r>
          <w:r>
            <w:rPr>
              <w:rFonts w:hint="eastAsia" w:ascii="宋体" w:hAnsi="宋体" w:eastAsia="宋体" w:cs="宋体"/>
              <w:sz w:val="24"/>
              <w:szCs w:val="24"/>
              <w:lang w:eastAsia="zh-CN"/>
            </w:rPr>
            <w:t>禁毒办案</w:t>
          </w:r>
          <w:r>
            <w:rPr>
              <w:rFonts w:hint="eastAsia" w:ascii="宋体" w:hAnsi="宋体" w:eastAsia="宋体" w:cs="宋体"/>
              <w:sz w:val="24"/>
              <w:szCs w:val="24"/>
            </w:rPr>
            <w:t>的经费投入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_Toc31056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_Toc5396 </w:instrText>
          </w:r>
          <w:r>
            <w:rPr>
              <w:rFonts w:hint="eastAsia" w:ascii="宋体" w:hAnsi="宋体" w:eastAsia="宋体" w:cs="宋体"/>
              <w:bCs/>
              <w:sz w:val="24"/>
              <w:szCs w:val="24"/>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）加大社工队伍建设投入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_Toc5396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_Toc23702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七、其他需要说明的问题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_Toc23702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_Toc24726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附件1  绩效评价得分表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_Toc24726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_Toc1075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附件2  绩效评价资料清单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_Toc1075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\l _Toc3314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附件3  满意度调查问卷分析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_Toc3314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rPr>
            <w:fldChar w:fldCharType="end"/>
          </w:r>
        </w:p>
        <w:p>
          <w:pPr>
            <w:pStyle w:val="8"/>
            <w:keepNext w:val="0"/>
            <w:keepLines w:val="0"/>
            <w:pageBreakBefore w:val="0"/>
            <w:widowControl w:val="0"/>
            <w:tabs>
              <w:tab w:val="right" w:leader="dot" w:pos="8788"/>
            </w:tabs>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b w:val="0"/>
              <w:bCs/>
            </w:rPr>
          </w:pPr>
          <w:r>
            <w:rPr>
              <w:rFonts w:hint="eastAsia" w:ascii="宋体" w:hAnsi="宋体" w:eastAsia="宋体" w:cs="宋体"/>
              <w:bCs/>
              <w:sz w:val="24"/>
              <w:szCs w:val="24"/>
            </w:rPr>
            <w:fldChar w:fldCharType="end"/>
          </w:r>
        </w:p>
      </w:sdtContent>
    </w:sdt>
    <w:p>
      <w:pPr>
        <w:spacing w:line="360" w:lineRule="auto"/>
        <w:jc w:val="center"/>
        <w:rPr>
          <w:rFonts w:ascii="宋体" w:hAnsi="宋体" w:eastAsia="宋体" w:cs="宋体"/>
          <w:szCs w:val="21"/>
        </w:rPr>
        <w:sectPr>
          <w:footerReference r:id="rId3" w:type="default"/>
          <w:pgSz w:w="11906" w:h="16838"/>
          <w:pgMar w:top="1417" w:right="1417" w:bottom="1417" w:left="1701" w:header="851" w:footer="992" w:gutter="0"/>
          <w:pgNumType w:start="1"/>
          <w:cols w:space="425" w:num="1"/>
          <w:docGrid w:type="lines" w:linePitch="312" w:charSpace="0"/>
        </w:sectPr>
      </w:pPr>
    </w:p>
    <w:p>
      <w:pPr>
        <w:pStyle w:val="4"/>
        <w:spacing w:line="360" w:lineRule="auto"/>
        <w:ind w:firstLine="480" w:firstLineChars="200"/>
        <w:rPr>
          <w:rFonts w:hAnsi="宋体" w:cs="宋体"/>
          <w:sz w:val="24"/>
          <w:szCs w:val="24"/>
        </w:rPr>
      </w:pPr>
      <w:r>
        <w:rPr>
          <w:rFonts w:hint="eastAsia" w:hAnsi="宋体" w:cs="宋体"/>
          <w:sz w:val="24"/>
          <w:szCs w:val="24"/>
        </w:rPr>
        <w:t>为加强财政资金管理，强化支出责任，提高财政资金的使用效益，建立科学、合理的财政支出绩效评价管理体系，集美大学地方财政绩效研究中心组织专业人员成立工作组，接受泉州市丰泽区财政局委托，根据中共中央、国务院《关于全面实施预算绩效管理的意见》（中发〔2018〕34号）、福建省委、省政府《关于全面实施预算绩效管理的实施意见》（闽委发〔2019〕5号）、福建省财政厅《关于全面实施预算绩效管理若干措施的通知》（闽财绩〔2019〕2号）、财政部《项目支出绩效评价管理办法》（财预〔2020〕10号）的文件精神和要求，对泉州市丰泽区2019年度禁毒工作专项经费开展绩效评价，以第三方身份出具报告。评价报告主要是供泉州市丰泽区财政局了解禁毒工作专项经费支出的绩效情况，并据以加强对未来该项资金拨付、使用的管理。</w:t>
      </w:r>
    </w:p>
    <w:p>
      <w:pPr>
        <w:pStyle w:val="8"/>
        <w:spacing w:beforeLines="100" w:afterLines="100"/>
        <w:outlineLvl w:val="0"/>
      </w:pPr>
      <w:bookmarkStart w:id="0" w:name="_Toc31449"/>
      <w:r>
        <w:rPr>
          <w:rFonts w:hint="eastAsia" w:ascii="黑体" w:hAnsi="黑体" w:eastAsia="黑体" w:cs="黑体"/>
          <w:b w:val="0"/>
          <w:bCs/>
        </w:rPr>
        <w:t>一、项目基本情况</w:t>
      </w:r>
      <w:bookmarkEnd w:id="0"/>
    </w:p>
    <w:p>
      <w:pPr>
        <w:pStyle w:val="10"/>
        <w:ind w:firstLine="562"/>
        <w:outlineLvl w:val="1"/>
      </w:pPr>
      <w:bookmarkStart w:id="1" w:name="_Toc13677"/>
      <w:r>
        <w:rPr>
          <w:rFonts w:hint="eastAsia"/>
        </w:rPr>
        <w:t>（一）项目概况</w:t>
      </w:r>
      <w:bookmarkEnd w:id="1"/>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1.项目背景</w:t>
      </w:r>
    </w:p>
    <w:p>
      <w:pPr>
        <w:spacing w:line="360" w:lineRule="auto"/>
        <w:ind w:firstLine="480" w:firstLineChars="200"/>
        <w:rPr>
          <w:rFonts w:ascii="宋体" w:hAnsi="宋体" w:cs="宋体"/>
          <w:sz w:val="24"/>
        </w:rPr>
      </w:pPr>
      <w:r>
        <w:rPr>
          <w:rFonts w:hint="eastAsia" w:ascii="宋体" w:hAnsi="宋体" w:cs="宋体"/>
          <w:sz w:val="24"/>
        </w:rPr>
        <w:t>2019年2月27日，在省禁毒委召开的全省禁毒重点整治工作视频推进会上，丰泽区被省禁毒委列为全省禁毒重点关注地区。为确保能按时顺利通过省禁毒委对丰泽区禁毒工作的综合评估验收，实现“摘帽进位”的目标，区委、区政府高度重视，把禁毒工作做为当前丰泽区一项重要的工作任务来抓，结合丰泽区毒情实际进行重点整治。区委、区政府对2019年度全区禁毒工作进行部署，严格根据《福建省禁毒重点整治工作办法》、《福建省禁毒工作综合评估办法》、《福建省禁毒重点整治地区认定及验收细则》等有关规定，结合“禁毒2019两打两控”、“飓风肃毒2019”等专项行动，专设禁毒人民战争专项工作经费，加大禁毒经费投入。</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2.主要内容及实施情况</w:t>
      </w:r>
    </w:p>
    <w:p>
      <w:pPr>
        <w:spacing w:line="360" w:lineRule="auto"/>
        <w:ind w:firstLine="480" w:firstLineChars="200"/>
        <w:rPr>
          <w:rFonts w:ascii="宋体" w:hAnsi="宋体" w:cs="宋体"/>
          <w:sz w:val="24"/>
        </w:rPr>
      </w:pPr>
      <w:r>
        <w:rPr>
          <w:rFonts w:hint="eastAsia" w:ascii="宋体" w:hAnsi="宋体" w:cs="宋体"/>
          <w:sz w:val="24"/>
        </w:rPr>
        <w:t>根据《丰泽区区委常委第102次会议纪要》（中共泉州市丰泽区第五届委员会会议纪要〔2019〕4号），区财政局划拨500万元作为2019年禁毒工作专项经费，具体用于保障</w:t>
      </w:r>
      <w:r>
        <w:rPr>
          <w:rFonts w:hint="eastAsia" w:ascii="宋体" w:hAnsi="宋体" w:cs="宋体"/>
          <w:sz w:val="24"/>
          <w:lang w:eastAsia="zh-CN"/>
        </w:rPr>
        <w:t>禁毒办案</w:t>
      </w:r>
      <w:r>
        <w:rPr>
          <w:rFonts w:hint="eastAsia" w:ascii="宋体" w:hAnsi="宋体" w:cs="宋体"/>
          <w:sz w:val="24"/>
        </w:rPr>
        <w:t>、基础设施建设、完善装备设备、落实宣传教育、强化打击防控等方面，保障禁毒工作的深入持续开展。在人员配备方面，根据区政府办《中共泉州市丰泽区委机构编制委员会关于核定区禁毒工作专项事业编制的通知》（泉丰委编〔2019〕3号），根据区委常委第76次会议精神，决定核增政府办下属事业单位区人民政府机关事务管理处事业编制2名，</w:t>
      </w:r>
      <w:r>
        <w:rPr>
          <w:rFonts w:hint="eastAsia" w:ascii="宋体" w:hAnsi="宋体" w:cs="宋体"/>
          <w:sz w:val="24"/>
          <w:lang w:eastAsia="zh-CN"/>
        </w:rPr>
        <w:t>成立区禁毒委员会办公室（以下简称“区禁毒办”），</w:t>
      </w:r>
      <w:r>
        <w:rPr>
          <w:rFonts w:hint="eastAsia" w:ascii="宋体" w:hAnsi="宋体" w:cs="宋体"/>
          <w:sz w:val="24"/>
        </w:rPr>
        <w:t>承担区禁毒</w:t>
      </w:r>
      <w:r>
        <w:rPr>
          <w:rFonts w:hint="eastAsia" w:ascii="宋体" w:hAnsi="宋体" w:cs="宋体"/>
          <w:sz w:val="24"/>
          <w:lang w:eastAsia="zh-CN"/>
        </w:rPr>
        <w:t>管理</w:t>
      </w:r>
      <w:r>
        <w:rPr>
          <w:rFonts w:hint="eastAsia" w:ascii="宋体" w:hAnsi="宋体" w:cs="宋体"/>
          <w:sz w:val="24"/>
        </w:rPr>
        <w:t>工作。</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3.资金投入和使用情况</w:t>
      </w:r>
    </w:p>
    <w:p>
      <w:pPr>
        <w:spacing w:line="360" w:lineRule="auto"/>
        <w:ind w:firstLine="480" w:firstLineChars="200"/>
        <w:rPr>
          <w:rFonts w:ascii="宋体" w:hAnsi="宋体" w:cs="宋体"/>
          <w:sz w:val="24"/>
        </w:rPr>
      </w:pPr>
      <w:r>
        <w:rPr>
          <w:rFonts w:hint="eastAsia" w:ascii="宋体" w:hAnsi="宋体" w:cs="宋体"/>
          <w:sz w:val="24"/>
        </w:rPr>
        <w:t>根据丰泽区区委常委第102次会议纪要精神，预算安排2019年度禁毒工作专项经费500万元。丰泽区财政局2019年5月7日实际划拨120万元区级为民办实事项目禁毒宣传阵地建设经费到公安分局禁毒大队账户；2019年7月17日下达区禁毒办（专户）专项经费240万元；2019年12月23日下达区禁毒办（专户）专项经费140万元，三次拨款共计500万元。经费具体使用情况如下表：</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表1泉州市丰泽区2019年度禁毒工作专项经费使用情况</w:t>
      </w:r>
    </w:p>
    <w:p>
      <w:pPr>
        <w:pStyle w:val="2"/>
        <w:jc w:val="right"/>
      </w:pPr>
      <w:r>
        <w:rPr>
          <w:rFonts w:hint="eastAsia" w:ascii="宋体" w:hAnsi="宋体" w:eastAsia="宋体" w:cs="宋体"/>
          <w:color w:val="000000"/>
          <w:sz w:val="24"/>
          <w:szCs w:val="22"/>
        </w:rPr>
        <w:t>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6618"/>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6" w:type="dxa"/>
          </w:tcPr>
          <w:p>
            <w:pPr>
              <w:pStyle w:val="2"/>
              <w:spacing w:after="0"/>
              <w:ind w:left="0" w:leftChars="0"/>
              <w:jc w:val="center"/>
              <w:rPr>
                <w:b/>
                <w:bCs/>
                <w:szCs w:val="21"/>
              </w:rPr>
            </w:pPr>
            <w:r>
              <w:rPr>
                <w:rFonts w:hint="eastAsia"/>
                <w:b/>
                <w:bCs/>
                <w:szCs w:val="21"/>
              </w:rPr>
              <w:t>用途</w:t>
            </w:r>
          </w:p>
        </w:tc>
        <w:tc>
          <w:tcPr>
            <w:tcW w:w="6618" w:type="dxa"/>
          </w:tcPr>
          <w:p>
            <w:pPr>
              <w:pStyle w:val="2"/>
              <w:spacing w:after="0"/>
              <w:ind w:left="0" w:leftChars="0"/>
              <w:jc w:val="center"/>
              <w:rPr>
                <w:b/>
                <w:bCs/>
                <w:szCs w:val="21"/>
              </w:rPr>
            </w:pPr>
            <w:r>
              <w:rPr>
                <w:rFonts w:hint="eastAsia"/>
                <w:b/>
                <w:bCs/>
                <w:szCs w:val="21"/>
              </w:rPr>
              <w:t>项目</w:t>
            </w:r>
          </w:p>
        </w:tc>
        <w:tc>
          <w:tcPr>
            <w:tcW w:w="1149" w:type="dxa"/>
          </w:tcPr>
          <w:p>
            <w:pPr>
              <w:pStyle w:val="2"/>
              <w:spacing w:after="0"/>
              <w:ind w:left="0" w:leftChars="0"/>
              <w:jc w:val="center"/>
              <w:rPr>
                <w:b/>
                <w:bCs/>
                <w:szCs w:val="21"/>
              </w:rPr>
            </w:pPr>
            <w:r>
              <w:rPr>
                <w:rFonts w:hint="eastAsia"/>
                <w:b/>
                <w:bCs/>
                <w:szCs w:val="21"/>
                <w:lang w:val="en-US" w:eastAsia="zh-CN"/>
              </w:rPr>
              <w:t>使用</w:t>
            </w:r>
            <w:r>
              <w:rPr>
                <w:rFonts w:hint="eastAsia"/>
                <w:b/>
                <w:bCs/>
                <w:szCs w:val="21"/>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restart"/>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宣传</w:t>
            </w:r>
          </w:p>
          <w:p>
            <w:pPr>
              <w:pStyle w:val="2"/>
              <w:spacing w:after="0"/>
              <w:ind w:left="0" w:leftChars="0"/>
              <w:jc w:val="center"/>
              <w:rPr>
                <w:rFonts w:ascii="宋体" w:hAnsi="宋体" w:eastAsia="宋体" w:cs="宋体"/>
                <w:szCs w:val="21"/>
              </w:rPr>
            </w:pPr>
            <w:r>
              <w:rPr>
                <w:rFonts w:hint="eastAsia" w:ascii="宋体" w:hAnsi="宋体" w:eastAsia="宋体" w:cs="宋体"/>
                <w:szCs w:val="21"/>
              </w:rPr>
              <w:t>基地</w:t>
            </w:r>
          </w:p>
          <w:p>
            <w:pPr>
              <w:pStyle w:val="2"/>
              <w:spacing w:after="0"/>
              <w:ind w:left="0" w:leftChars="0"/>
              <w:jc w:val="center"/>
              <w:rPr>
                <w:rFonts w:ascii="宋体" w:hAnsi="宋体" w:eastAsia="宋体" w:cs="宋体"/>
                <w:szCs w:val="21"/>
              </w:rPr>
            </w:pPr>
            <w:r>
              <w:rPr>
                <w:rFonts w:hint="eastAsia" w:ascii="宋体" w:hAnsi="宋体" w:eastAsia="宋体" w:cs="宋体"/>
                <w:szCs w:val="21"/>
              </w:rPr>
              <w:t>建设</w:t>
            </w:r>
          </w:p>
          <w:p>
            <w:pPr>
              <w:pStyle w:val="2"/>
              <w:spacing w:after="0"/>
              <w:ind w:left="0" w:leftChars="0"/>
              <w:jc w:val="center"/>
              <w:rPr>
                <w:rFonts w:ascii="宋体" w:hAnsi="宋体" w:eastAsia="宋体" w:cs="宋体"/>
                <w:szCs w:val="21"/>
              </w:rPr>
            </w:pPr>
            <w:r>
              <w:rPr>
                <w:rFonts w:hint="eastAsia" w:ascii="宋体" w:hAnsi="宋体" w:eastAsia="宋体" w:cs="宋体"/>
                <w:szCs w:val="21"/>
              </w:rPr>
              <w:t>补助</w:t>
            </w: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丰泽区林则徐禁毒教育基地建设经费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eastAsia="宋体" w:cs="宋体"/>
                <w:szCs w:val="21"/>
              </w:rPr>
            </w:pPr>
            <w:r>
              <w:rPr>
                <w:rFonts w:hint="eastAsia" w:ascii="宋体" w:hAnsi="宋体" w:cs="宋体"/>
                <w:szCs w:val="21"/>
              </w:rPr>
              <w:t>泉州九中创建市级毒品预防教育示范学校及林则徐宣传教育馆建设补助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白水营林则徐禁毒宣传长廊建设补助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清源街道社区戒毒社区康复管理工作站建设补助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丰泽街道社区禁毒品牌社区建设补助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东海街道社区戒毒社区康复管理工作站建设补助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泉秀街道社区戒毒社区康复管理工作站建设补助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东湖街道社区戒毒社区康复管理工作站建设补助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eastAsia="宋体" w:cs="宋体"/>
                <w:szCs w:val="21"/>
              </w:rPr>
            </w:pPr>
            <w:r>
              <w:rPr>
                <w:rFonts w:hint="eastAsia" w:ascii="宋体" w:hAnsi="宋体" w:cs="宋体"/>
                <w:szCs w:val="21"/>
              </w:rPr>
              <w:t>丰泽街道、北峰街道、城东街道、华大街道创建社区戒毒社区康复管理工作站建设补助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10所学校创建禁毒宣教室建设补助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eastAsia="宋体" w:cs="宋体"/>
                <w:szCs w:val="21"/>
              </w:rPr>
            </w:pPr>
            <w:r>
              <w:rPr>
                <w:rFonts w:hint="eastAsia" w:ascii="宋体" w:hAnsi="宋体" w:cs="宋体"/>
                <w:szCs w:val="21"/>
              </w:rPr>
              <w:t>丰泽区街道禁毒宣传一条街建设补助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东湖街道少林社区创建禁毒品牌社区建设补助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东湖街道铭湖社区创建禁毒体验馆建设补助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泉秀街道华丰社区创建禁毒品牌社区建设补助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城东中学创建林则徐禁毒宣传教育馆建设补助</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restart"/>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宣传</w:t>
            </w:r>
          </w:p>
          <w:p>
            <w:pPr>
              <w:pStyle w:val="2"/>
              <w:spacing w:after="0"/>
              <w:ind w:left="0" w:leftChars="0"/>
              <w:jc w:val="center"/>
              <w:rPr>
                <w:rFonts w:ascii="宋体" w:hAnsi="宋体" w:eastAsia="宋体" w:cs="宋体"/>
                <w:szCs w:val="21"/>
              </w:rPr>
            </w:pPr>
            <w:r>
              <w:rPr>
                <w:rFonts w:hint="eastAsia" w:ascii="宋体" w:hAnsi="宋体" w:eastAsia="宋体" w:cs="宋体"/>
                <w:szCs w:val="21"/>
              </w:rPr>
              <w:t>经费</w:t>
            </w: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区文明办禁毒宣传经费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泉秀街道沉洲社区禁毒宣传经费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禁毒宣传微电影</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“新媒体法雨行动——禁毒法律有奖问答活动”</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“6.26”国际禁毒日大型宣教活动暨文艺汇演</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禁毒宣传公益广告</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印制禁毒宣传海报</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restart"/>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工作</w:t>
            </w:r>
          </w:p>
          <w:p>
            <w:pPr>
              <w:pStyle w:val="2"/>
              <w:spacing w:after="0"/>
              <w:ind w:left="0" w:leftChars="0"/>
              <w:jc w:val="center"/>
              <w:rPr>
                <w:rFonts w:ascii="宋体" w:hAnsi="宋体" w:eastAsia="宋体" w:cs="宋体"/>
                <w:szCs w:val="21"/>
              </w:rPr>
            </w:pPr>
            <w:r>
              <w:rPr>
                <w:rFonts w:hint="eastAsia" w:ascii="宋体" w:hAnsi="宋体" w:eastAsia="宋体" w:cs="宋体"/>
                <w:szCs w:val="21"/>
              </w:rPr>
              <w:t>经费</w:t>
            </w: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丰泽公安分局网安大队协助禁毒工作经费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区公安分局禁毒大队2019年全年禁毒专项经费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区公安分局辅警人员经费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lang w:val="en-US" w:eastAsia="zh-CN"/>
              </w:rPr>
              <w:t>2019年上半年</w:t>
            </w:r>
            <w:r>
              <w:rPr>
                <w:rFonts w:hint="eastAsia" w:ascii="宋体" w:hAnsi="宋体" w:cs="宋体"/>
                <w:szCs w:val="21"/>
              </w:rPr>
              <w:t>社工服务</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区禁毒办社工奖金</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restart"/>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其他</w:t>
            </w: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泉州丰泽区铭泽代理记账有限公司办理日常会计核算业务服务费</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Merge w:val="continue"/>
            <w:vAlign w:val="center"/>
          </w:tcPr>
          <w:p>
            <w:pPr>
              <w:pStyle w:val="2"/>
              <w:spacing w:after="0"/>
              <w:ind w:left="0" w:leftChars="0"/>
              <w:jc w:val="center"/>
              <w:rPr>
                <w:rFonts w:ascii="宋体" w:hAnsi="宋体" w:eastAsia="宋体" w:cs="宋体"/>
                <w:szCs w:val="21"/>
              </w:rPr>
            </w:pPr>
          </w:p>
        </w:tc>
        <w:tc>
          <w:tcPr>
            <w:tcW w:w="6618" w:type="dxa"/>
            <w:vAlign w:val="center"/>
          </w:tcPr>
          <w:p>
            <w:pPr>
              <w:pStyle w:val="2"/>
              <w:spacing w:after="0"/>
              <w:ind w:left="0" w:leftChars="0"/>
              <w:jc w:val="center"/>
              <w:rPr>
                <w:rFonts w:ascii="宋体" w:hAnsi="宋体" w:cs="宋体"/>
                <w:szCs w:val="21"/>
              </w:rPr>
            </w:pPr>
            <w:r>
              <w:rPr>
                <w:rFonts w:hint="eastAsia" w:ascii="宋体" w:hAnsi="宋体" w:cs="宋体"/>
                <w:szCs w:val="21"/>
              </w:rPr>
              <w:t>区禁毒办零星支出</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4" w:type="dxa"/>
            <w:gridSpan w:val="2"/>
            <w:vAlign w:val="center"/>
          </w:tcPr>
          <w:p>
            <w:pPr>
              <w:pStyle w:val="2"/>
              <w:spacing w:after="0"/>
              <w:ind w:left="0" w:leftChars="0"/>
              <w:jc w:val="center"/>
              <w:rPr>
                <w:rFonts w:ascii="宋体" w:hAnsi="宋体" w:cs="宋体"/>
                <w:szCs w:val="21"/>
              </w:rPr>
            </w:pPr>
            <w:r>
              <w:rPr>
                <w:rFonts w:hint="eastAsia" w:ascii="宋体" w:hAnsi="宋体" w:cs="宋体"/>
                <w:b/>
                <w:bCs/>
                <w:szCs w:val="21"/>
              </w:rPr>
              <w:t>合  计</w:t>
            </w:r>
          </w:p>
        </w:tc>
        <w:tc>
          <w:tcPr>
            <w:tcW w:w="1149" w:type="dxa"/>
            <w:vAlign w:val="center"/>
          </w:tcPr>
          <w:p>
            <w:pPr>
              <w:pStyle w:val="2"/>
              <w:spacing w:after="0"/>
              <w:ind w:left="0" w:leftChars="0"/>
              <w:jc w:val="center"/>
              <w:rPr>
                <w:rFonts w:ascii="宋体" w:hAnsi="宋体" w:eastAsia="宋体" w:cs="宋体"/>
                <w:szCs w:val="21"/>
              </w:rPr>
            </w:pPr>
            <w:r>
              <w:rPr>
                <w:rFonts w:hint="eastAsia" w:ascii="宋体" w:hAnsi="宋体" w:eastAsia="宋体" w:cs="宋体"/>
                <w:szCs w:val="21"/>
              </w:rPr>
              <w:t>467.95</w:t>
            </w:r>
          </w:p>
        </w:tc>
      </w:tr>
    </w:tbl>
    <w:p>
      <w:pPr>
        <w:pStyle w:val="2"/>
        <w:spacing w:after="0"/>
        <w:ind w:left="0" w:leftChars="0"/>
        <w:jc w:val="center"/>
        <w:rPr>
          <w:szCs w:val="21"/>
        </w:rPr>
      </w:pPr>
    </w:p>
    <w:p>
      <w:pPr>
        <w:spacing w:line="360" w:lineRule="auto"/>
        <w:ind w:firstLine="480" w:firstLineChars="200"/>
        <w:rPr>
          <w:rFonts w:ascii="宋体" w:hAnsi="宋体" w:eastAsia="宋体" w:cs="宋体"/>
          <w:b/>
          <w:bCs/>
          <w:color w:val="000000"/>
          <w:sz w:val="24"/>
          <w:szCs w:val="22"/>
        </w:rPr>
      </w:pPr>
      <w:r>
        <w:rPr>
          <w:rFonts w:hint="eastAsia" w:ascii="宋体" w:hAnsi="宋体" w:eastAsia="宋体" w:cs="宋体"/>
          <w:sz w:val="24"/>
        </w:rPr>
        <w:t>从资金使用情况来看，至2020年3月11日，禁毒工作专项经费已使用467.95万元，其中禁毒宣传基地建设补助支出377万元，占专项经费的</w:t>
      </w:r>
      <w:r>
        <w:rPr>
          <w:rFonts w:hint="eastAsia" w:ascii="宋体" w:hAnsi="宋体" w:eastAsia="宋体" w:cs="宋体"/>
          <w:sz w:val="24"/>
          <w:lang w:val="en-US" w:eastAsia="zh-CN"/>
        </w:rPr>
        <w:t>75.4</w:t>
      </w:r>
      <w:r>
        <w:rPr>
          <w:rFonts w:hint="eastAsia" w:ascii="宋体" w:hAnsi="宋体" w:eastAsia="宋体" w:cs="宋体"/>
          <w:sz w:val="24"/>
        </w:rPr>
        <w:t>%；宣传经费支出1</w:t>
      </w:r>
      <w:r>
        <w:rPr>
          <w:rFonts w:hint="eastAsia" w:ascii="宋体" w:hAnsi="宋体" w:eastAsia="宋体" w:cs="宋体"/>
          <w:sz w:val="24"/>
          <w:lang w:val="en-US" w:eastAsia="zh-CN"/>
        </w:rPr>
        <w:t>7</w:t>
      </w:r>
      <w:r>
        <w:rPr>
          <w:rFonts w:hint="eastAsia" w:ascii="宋体" w:hAnsi="宋体" w:eastAsia="宋体" w:cs="宋体"/>
          <w:sz w:val="24"/>
        </w:rPr>
        <w:t>.06万元，占专项经费的</w:t>
      </w:r>
      <w:r>
        <w:rPr>
          <w:rFonts w:hint="eastAsia" w:ascii="宋体" w:hAnsi="宋体" w:eastAsia="宋体" w:cs="宋体"/>
          <w:sz w:val="24"/>
          <w:lang w:val="en-US" w:eastAsia="zh-CN"/>
        </w:rPr>
        <w:t>3.41</w:t>
      </w:r>
      <w:r>
        <w:rPr>
          <w:rFonts w:hint="eastAsia" w:ascii="宋体" w:hAnsi="宋体" w:eastAsia="宋体" w:cs="宋体"/>
          <w:sz w:val="24"/>
        </w:rPr>
        <w:t>%；工作经费支出为70.</w:t>
      </w:r>
      <w:r>
        <w:rPr>
          <w:rFonts w:hint="eastAsia" w:ascii="宋体" w:hAnsi="宋体" w:eastAsia="宋体" w:cs="宋体"/>
          <w:sz w:val="24"/>
          <w:lang w:val="en-US" w:eastAsia="zh-CN"/>
        </w:rPr>
        <w:t>7</w:t>
      </w:r>
      <w:r>
        <w:rPr>
          <w:rFonts w:hint="eastAsia" w:ascii="宋体" w:hAnsi="宋体" w:eastAsia="宋体" w:cs="宋体"/>
          <w:sz w:val="24"/>
        </w:rPr>
        <w:t>2万元，占专项经费的</w:t>
      </w:r>
      <w:r>
        <w:rPr>
          <w:rFonts w:hint="eastAsia" w:ascii="宋体" w:hAnsi="宋体" w:eastAsia="宋体" w:cs="宋体"/>
          <w:sz w:val="24"/>
          <w:lang w:val="en-US" w:eastAsia="zh-CN"/>
        </w:rPr>
        <w:t>14.14</w:t>
      </w:r>
      <w:r>
        <w:rPr>
          <w:rFonts w:hint="eastAsia" w:ascii="宋体" w:hAnsi="宋体" w:eastAsia="宋体" w:cs="宋体"/>
          <w:sz w:val="24"/>
        </w:rPr>
        <w:t>%。综上，2019年度禁毒工作专项经费主要用于宣传。</w:t>
      </w:r>
    </w:p>
    <w:p>
      <w:pPr>
        <w:pStyle w:val="10"/>
        <w:ind w:firstLine="562"/>
        <w:outlineLvl w:val="1"/>
      </w:pPr>
      <w:bookmarkStart w:id="2" w:name="_Toc21081"/>
      <w:r>
        <w:rPr>
          <w:rFonts w:hint="eastAsia"/>
        </w:rPr>
        <w:t>（二）项目绩效目标</w:t>
      </w:r>
      <w:bookmarkEnd w:id="2"/>
    </w:p>
    <w:p>
      <w:pPr>
        <w:spacing w:line="360" w:lineRule="auto"/>
        <w:ind w:firstLine="480" w:firstLineChars="200"/>
        <w:rPr>
          <w:rFonts w:ascii="宋体" w:hAnsi="宋体" w:eastAsia="宋体" w:cs="宋体"/>
          <w:sz w:val="24"/>
        </w:rPr>
      </w:pPr>
      <w:r>
        <w:rPr>
          <w:rFonts w:hint="eastAsia" w:ascii="宋体" w:hAnsi="宋体" w:eastAsia="宋体" w:cs="宋体"/>
          <w:sz w:val="24"/>
        </w:rPr>
        <w:t>禁毒工作专项经费的总体目标是通过开展为期一年的禁毒重点整治攻坚专项行动，有效遏制涉毒违法犯罪活动，确保顺利通过省禁毒委验收，摘掉“禁毒重点关注地区”的帽子，并建立完善禁毒工作长效机制。</w:t>
      </w:r>
    </w:p>
    <w:p>
      <w:pPr>
        <w:pStyle w:val="8"/>
        <w:spacing w:beforeLines="100" w:afterLines="100"/>
        <w:outlineLvl w:val="0"/>
        <w:rPr>
          <w:rFonts w:ascii="黑体" w:hAnsi="黑体" w:eastAsia="黑体" w:cs="黑体"/>
          <w:b w:val="0"/>
          <w:bCs/>
        </w:rPr>
      </w:pPr>
      <w:bookmarkStart w:id="3" w:name="_Toc27085"/>
      <w:r>
        <w:rPr>
          <w:rFonts w:hint="eastAsia" w:ascii="黑体" w:hAnsi="黑体" w:eastAsia="黑体" w:cs="黑体"/>
          <w:b w:val="0"/>
          <w:bCs/>
        </w:rPr>
        <w:t>二、绩效评价工作开展情况</w:t>
      </w:r>
      <w:bookmarkEnd w:id="3"/>
    </w:p>
    <w:p>
      <w:pPr>
        <w:pStyle w:val="10"/>
        <w:ind w:firstLine="562"/>
        <w:outlineLvl w:val="1"/>
      </w:pPr>
      <w:bookmarkStart w:id="4" w:name="_Toc7219"/>
      <w:r>
        <w:rPr>
          <w:rFonts w:hint="eastAsia"/>
        </w:rPr>
        <w:t>（一）绩效评价目的、对象和范围</w:t>
      </w:r>
      <w:bookmarkEnd w:id="4"/>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1.绩效评价目的</w:t>
      </w:r>
    </w:p>
    <w:p>
      <w:pPr>
        <w:spacing w:line="360" w:lineRule="auto"/>
        <w:ind w:firstLine="480" w:firstLineChars="200"/>
        <w:rPr>
          <w:rFonts w:ascii="宋体" w:hAnsi="宋体" w:cs="宋体"/>
          <w:sz w:val="24"/>
        </w:rPr>
      </w:pPr>
      <w:r>
        <w:rPr>
          <w:rFonts w:hint="eastAsia" w:hAnsi="宋体" w:cs="宋体"/>
          <w:sz w:val="24"/>
        </w:rPr>
        <w:t>工作组</w:t>
      </w:r>
      <w:r>
        <w:rPr>
          <w:rFonts w:hint="eastAsia" w:ascii="宋体" w:hAnsi="宋体" w:cs="宋体"/>
          <w:sz w:val="24"/>
        </w:rPr>
        <w:t>对</w:t>
      </w:r>
      <w:r>
        <w:rPr>
          <w:rFonts w:hint="eastAsia" w:ascii="宋体" w:hAnsi="宋体" w:eastAsia="宋体" w:cs="宋体"/>
          <w:sz w:val="24"/>
        </w:rPr>
        <w:t>禁毒工作专项经费</w:t>
      </w:r>
      <w:r>
        <w:rPr>
          <w:rFonts w:hint="eastAsia" w:ascii="宋体" w:hAnsi="宋体" w:cs="宋体"/>
          <w:sz w:val="24"/>
        </w:rPr>
        <w:t>进行评价，目的是从决策角度的项目立项、绩效目标设定和资金投入考察资金投入的合规合理性，从过程角度了解资金管理情况和组织实施情况，从产出角度分析资金使用的产出数量和质量是否符合预期，从效益角度分析资金使用是否实现应有的效果和满意度。最终目的是通过对决策、过程、产出和效益四个角度的分析总结经验，为改善政府管理、纠正目标与实际的偏差提供依据。通过对</w:t>
      </w:r>
      <w:r>
        <w:rPr>
          <w:rFonts w:hint="eastAsia" w:hAnsi="宋体" w:cs="宋体"/>
          <w:sz w:val="24"/>
        </w:rPr>
        <w:t>泉州市丰泽区</w:t>
      </w:r>
      <w:r>
        <w:rPr>
          <w:rFonts w:hint="eastAsia" w:ascii="宋体" w:hAnsi="宋体" w:eastAsia="宋体" w:cs="宋体"/>
          <w:sz w:val="24"/>
        </w:rPr>
        <w:t>2019年度</w:t>
      </w:r>
      <w:r>
        <w:rPr>
          <w:rFonts w:hint="eastAsia" w:hAnsi="宋体" w:cs="宋体"/>
          <w:sz w:val="24"/>
        </w:rPr>
        <w:t>禁毒工作专项经费</w:t>
      </w:r>
      <w:r>
        <w:rPr>
          <w:rFonts w:hint="eastAsia" w:ascii="宋体" w:hAnsi="宋体"/>
          <w:sz w:val="24"/>
        </w:rPr>
        <w:t>拨付、使用情况的调研，拟定该项资金绩效评价指标体系，评价该项资金的绩效目标完成情况，剖析该项资金在决策、管理及项目实施过程中存在的问题，并探讨其可能的原因，最后提出相应的解决对策，为提高资金的使用效率提供参考依据。</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2.绩效评价对象和范围</w:t>
      </w:r>
    </w:p>
    <w:p>
      <w:pPr>
        <w:pStyle w:val="4"/>
        <w:spacing w:line="360" w:lineRule="auto"/>
        <w:ind w:firstLine="480" w:firstLineChars="200"/>
        <w:rPr>
          <w:rFonts w:hAnsi="宋体" w:cs="宋体"/>
          <w:sz w:val="24"/>
          <w:szCs w:val="24"/>
        </w:rPr>
      </w:pPr>
      <w:r>
        <w:rPr>
          <w:rFonts w:hint="eastAsia" w:hAnsi="宋体" w:cs="宋体"/>
          <w:sz w:val="24"/>
          <w:szCs w:val="24"/>
        </w:rPr>
        <w:t>绩效评价对象为泉州市丰泽区2019年度禁毒工作专项经费，本报告所评价资金为500万元区级财政投入。评价范围是项目决策：包括立项程序、绩效目标设定和资金投入情况；项目管理：包括组织实施情况；项目产出：包括产出数量、质量，项目效益：包括带来的社会效益、可持续影响和相关方的满意度。</w:t>
      </w:r>
    </w:p>
    <w:p>
      <w:pPr>
        <w:pStyle w:val="10"/>
        <w:ind w:firstLine="562"/>
        <w:outlineLvl w:val="1"/>
      </w:pPr>
      <w:bookmarkStart w:id="5" w:name="_Toc4205"/>
      <w:r>
        <w:rPr>
          <w:rFonts w:hint="eastAsia"/>
        </w:rPr>
        <w:t>（二）绩效评价原则、评价指标体系、评价方法和评价标准</w:t>
      </w:r>
      <w:bookmarkEnd w:id="5"/>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1.绩效评价原则</w:t>
      </w:r>
    </w:p>
    <w:p>
      <w:pPr>
        <w:pStyle w:val="4"/>
        <w:spacing w:line="360" w:lineRule="auto"/>
        <w:ind w:firstLine="480" w:firstLineChars="200"/>
        <w:rPr>
          <w:rFonts w:hAnsi="宋体" w:cs="宋体"/>
          <w:sz w:val="24"/>
          <w:szCs w:val="24"/>
        </w:rPr>
      </w:pPr>
      <w:r>
        <w:rPr>
          <w:rFonts w:hint="eastAsia" w:hAnsi="宋体" w:cs="宋体"/>
          <w:sz w:val="24"/>
          <w:szCs w:val="24"/>
        </w:rPr>
        <w:t>泉州市丰泽区2019年度禁毒工作专项经费绩效评价应根据设定的绩效目标，运用科学、合理的绩效评价指标、评价标准和评价方法，按照</w:t>
      </w:r>
      <w:r>
        <w:rPr>
          <w:rFonts w:hAnsi="宋体" w:cs="宋体"/>
          <w:sz w:val="24"/>
          <w:szCs w:val="24"/>
        </w:rPr>
        <w:t>财政支出绩效考评</w:t>
      </w:r>
      <w:r>
        <w:rPr>
          <w:rFonts w:hint="eastAsia" w:hAnsi="宋体" w:cs="宋体"/>
          <w:sz w:val="24"/>
          <w:szCs w:val="24"/>
        </w:rPr>
        <w:t>3E原则，对禁毒工作专项经费的经济性、效率性和效益性进行客观、公正的评价。根据《项目支出绩效评价管理办法》（财预〔2020〕10 号），绩效评</w:t>
      </w:r>
      <w:r>
        <w:rPr>
          <w:rFonts w:hAnsi="宋体" w:cs="宋体"/>
          <w:sz w:val="24"/>
          <w:szCs w:val="24"/>
        </w:rPr>
        <w:t>价指标的确定应当遵循以下基本原则：</w:t>
      </w:r>
    </w:p>
    <w:p>
      <w:pPr>
        <w:pStyle w:val="4"/>
        <w:spacing w:line="360" w:lineRule="auto"/>
        <w:ind w:firstLine="480" w:firstLineChars="200"/>
        <w:rPr>
          <w:rFonts w:hAnsi="宋体" w:cs="宋体"/>
          <w:sz w:val="24"/>
          <w:szCs w:val="24"/>
        </w:rPr>
      </w:pPr>
      <w:r>
        <w:rPr>
          <w:rFonts w:hint="eastAsia" w:hAnsi="宋体" w:cs="宋体"/>
          <w:sz w:val="24"/>
          <w:szCs w:val="24"/>
        </w:rPr>
        <w:t>（1）</w:t>
      </w:r>
      <w:r>
        <w:rPr>
          <w:rFonts w:hAnsi="宋体" w:cs="宋体"/>
          <w:sz w:val="24"/>
          <w:szCs w:val="24"/>
        </w:rPr>
        <w:t>相关性原则。确定的绩效评价指标应当与绩效目标有直接的联系，能够恰当反</w:t>
      </w:r>
      <w:r>
        <w:rPr>
          <w:rFonts w:hint="eastAsia" w:hAnsi="宋体" w:cs="宋体"/>
          <w:sz w:val="24"/>
          <w:szCs w:val="24"/>
        </w:rPr>
        <w:t>映目标的实现程度。</w:t>
      </w:r>
    </w:p>
    <w:p>
      <w:pPr>
        <w:pStyle w:val="4"/>
        <w:spacing w:line="360" w:lineRule="auto"/>
        <w:ind w:firstLine="480" w:firstLineChars="200"/>
        <w:rPr>
          <w:rFonts w:hAnsi="宋体" w:cs="宋体"/>
          <w:sz w:val="24"/>
          <w:szCs w:val="24"/>
        </w:rPr>
      </w:pPr>
      <w:r>
        <w:rPr>
          <w:rFonts w:hint="eastAsia" w:hAnsi="宋体" w:cs="宋体"/>
          <w:sz w:val="24"/>
          <w:szCs w:val="24"/>
        </w:rPr>
        <w:t>（2）</w:t>
      </w:r>
      <w:r>
        <w:rPr>
          <w:rFonts w:hAnsi="宋体" w:cs="宋体"/>
          <w:sz w:val="24"/>
          <w:szCs w:val="24"/>
        </w:rPr>
        <w:t>重要性原则。应当优先使用最具评价对象代表性、最能反映评价要求的核心指标。</w:t>
      </w:r>
    </w:p>
    <w:p>
      <w:pPr>
        <w:pStyle w:val="4"/>
        <w:spacing w:line="360" w:lineRule="auto"/>
        <w:ind w:firstLine="480" w:firstLineChars="200"/>
        <w:rPr>
          <w:rFonts w:hAnsi="宋体" w:cs="宋体"/>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w:t>
      </w:r>
      <w:r>
        <w:rPr>
          <w:rFonts w:hAnsi="宋体" w:cs="宋体"/>
          <w:sz w:val="24"/>
          <w:szCs w:val="24"/>
        </w:rPr>
        <w:t>可比性原则。对同类评价对象要设定共性的绩效评价指标，以便于评价结果可以相互比较。</w:t>
      </w:r>
    </w:p>
    <w:p>
      <w:pPr>
        <w:pStyle w:val="4"/>
        <w:spacing w:line="360" w:lineRule="auto"/>
        <w:ind w:firstLine="480" w:firstLineChars="200"/>
        <w:rPr>
          <w:rFonts w:hAnsi="宋体" w:cs="宋体"/>
          <w:sz w:val="24"/>
          <w:szCs w:val="24"/>
        </w:rPr>
      </w:pPr>
      <w:r>
        <w:rPr>
          <w:rFonts w:hint="eastAsia" w:hAnsi="宋体" w:cs="宋体"/>
          <w:sz w:val="24"/>
          <w:szCs w:val="24"/>
        </w:rPr>
        <w:t>（</w:t>
      </w:r>
      <w:r>
        <w:rPr>
          <w:rFonts w:hAnsi="宋体" w:cs="宋体"/>
          <w:sz w:val="24"/>
          <w:szCs w:val="24"/>
        </w:rPr>
        <w:t>4</w:t>
      </w:r>
      <w:r>
        <w:rPr>
          <w:rFonts w:hint="eastAsia" w:hAnsi="宋体" w:cs="宋体"/>
          <w:sz w:val="24"/>
          <w:szCs w:val="24"/>
        </w:rPr>
        <w:t>）</w:t>
      </w:r>
      <w:r>
        <w:rPr>
          <w:rFonts w:hAnsi="宋体" w:cs="宋体"/>
          <w:sz w:val="24"/>
          <w:szCs w:val="24"/>
        </w:rPr>
        <w:t>系统性原则。应当将定量指标与定性指标相结合，系统反映财政支出所产生的社会效益、经济效益、</w:t>
      </w:r>
      <w:r>
        <w:rPr>
          <w:rFonts w:hint="eastAsia" w:hAnsi="宋体" w:cs="宋体"/>
          <w:sz w:val="24"/>
          <w:szCs w:val="24"/>
        </w:rPr>
        <w:t>生态</w:t>
      </w:r>
      <w:r>
        <w:rPr>
          <w:rFonts w:hAnsi="宋体" w:cs="宋体"/>
          <w:sz w:val="24"/>
          <w:szCs w:val="24"/>
        </w:rPr>
        <w:t>效益和可持续影响等。</w:t>
      </w:r>
    </w:p>
    <w:p>
      <w:pPr>
        <w:pStyle w:val="4"/>
        <w:spacing w:line="360" w:lineRule="auto"/>
        <w:ind w:firstLine="480" w:firstLineChars="200"/>
        <w:rPr>
          <w:rFonts w:hAnsi="宋体" w:cs="宋体"/>
          <w:sz w:val="24"/>
          <w:szCs w:val="24"/>
        </w:rPr>
      </w:pPr>
      <w:r>
        <w:rPr>
          <w:rFonts w:hint="eastAsia" w:hAnsi="宋体" w:cs="宋体"/>
          <w:sz w:val="24"/>
          <w:szCs w:val="24"/>
        </w:rPr>
        <w:t>（</w:t>
      </w:r>
      <w:r>
        <w:rPr>
          <w:rFonts w:hAnsi="宋体" w:cs="宋体"/>
          <w:sz w:val="24"/>
          <w:szCs w:val="24"/>
        </w:rPr>
        <w:t>5</w:t>
      </w:r>
      <w:r>
        <w:rPr>
          <w:rFonts w:hint="eastAsia" w:hAnsi="宋体" w:cs="宋体"/>
          <w:sz w:val="24"/>
          <w:szCs w:val="24"/>
        </w:rPr>
        <w:t>）</w:t>
      </w:r>
      <w:r>
        <w:rPr>
          <w:rFonts w:hAnsi="宋体" w:cs="宋体"/>
          <w:sz w:val="24"/>
          <w:szCs w:val="24"/>
        </w:rPr>
        <w:t>经济性原则。绩效评价指标应当通俗易懂、简便易行，数据的获得应当考虑现实条件和可操作性，符合成本效益原则。</w:t>
      </w:r>
    </w:p>
    <w:p>
      <w:pPr>
        <w:pStyle w:val="4"/>
        <w:spacing w:line="360" w:lineRule="auto"/>
        <w:ind w:firstLine="482" w:firstLineChars="200"/>
        <w:rPr>
          <w:rFonts w:hAnsi="宋体" w:eastAsia="宋体" w:cs="宋体"/>
          <w:b/>
          <w:bCs/>
          <w:color w:val="000000"/>
          <w:sz w:val="24"/>
          <w:szCs w:val="22"/>
        </w:rPr>
      </w:pPr>
      <w:r>
        <w:rPr>
          <w:rFonts w:hint="eastAsia" w:hAnsi="宋体" w:eastAsia="宋体" w:cs="宋体"/>
          <w:b/>
          <w:bCs/>
          <w:color w:val="000000"/>
          <w:sz w:val="24"/>
          <w:szCs w:val="22"/>
        </w:rPr>
        <w:t>2.评价指标体系</w:t>
      </w:r>
    </w:p>
    <w:p>
      <w:pPr>
        <w:spacing w:line="360" w:lineRule="auto"/>
        <w:ind w:firstLine="480" w:firstLineChars="200"/>
        <w:rPr>
          <w:rFonts w:ascii="宋体" w:hAnsi="宋体" w:eastAsia="宋体" w:cs="宋体"/>
          <w:b/>
          <w:bCs/>
          <w:color w:val="000000"/>
          <w:sz w:val="24"/>
          <w:szCs w:val="22"/>
        </w:rPr>
      </w:pPr>
      <w:r>
        <w:rPr>
          <w:rFonts w:hint="eastAsia" w:ascii="宋体" w:hAnsi="宋体"/>
          <w:sz w:val="24"/>
        </w:rPr>
        <w:t>工作组根据财政部《项目支出绩效评价管理办法》</w:t>
      </w:r>
      <w:r>
        <w:rPr>
          <w:rFonts w:hint="eastAsia" w:ascii="宋体" w:hAnsi="宋体" w:cs="宋体"/>
          <w:sz w:val="24"/>
        </w:rPr>
        <w:t>（</w:t>
      </w:r>
      <w:r>
        <w:rPr>
          <w:rFonts w:ascii="宋体" w:hAnsi="宋体" w:cs="宋体"/>
          <w:sz w:val="24"/>
        </w:rPr>
        <w:t>财预〔2020〕10号</w:t>
      </w:r>
      <w:r>
        <w:rPr>
          <w:rFonts w:hint="eastAsia" w:ascii="宋体" w:hAnsi="宋体" w:cs="宋体"/>
          <w:sz w:val="24"/>
        </w:rPr>
        <w:t>）文件</w:t>
      </w:r>
      <w:r>
        <w:rPr>
          <w:rFonts w:hint="eastAsia" w:ascii="宋体" w:hAnsi="宋体"/>
          <w:sz w:val="24"/>
        </w:rPr>
        <w:t>的要求，依据上述原则，参考2019年度泉州市丰泽区禁毒办项目绩效自评表和自评报告，围绕决策、过程、产出和效益四个方面设计绩效评价指标以及评分标准和分值。指标体系共设置4个一级指标、10个二级指标、27个三级指标。指标体系设定满分100分，其中：“决策”18分，主要体现项目立项、绩效目标和资金投入情况；“过程”14分，主要体现项目的资金管理和组织实施方面的情况；“产出”23分，主要体现项目产出数量和产出质量；“效益”45分，主要体现项目社会效益、可持续影响和服务对象满意度等（具体评分见附件1）。基于外部独立评价的特点和要求，指标设置和评分标准力求可行性、客观性、科学性与简明性。指标体系和评分标准如表2所示。</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表2</w:t>
      </w:r>
      <w:r>
        <w:rPr>
          <w:rFonts w:hint="eastAsia" w:ascii="宋体" w:hAnsi="宋体" w:eastAsia="宋体" w:cs="宋体"/>
          <w:b/>
          <w:bCs/>
          <w:color w:val="000000"/>
          <w:sz w:val="24"/>
          <w:szCs w:val="22"/>
          <w:lang w:val="en-US" w:eastAsia="zh-CN"/>
        </w:rPr>
        <w:t xml:space="preserve">  </w:t>
      </w:r>
      <w:r>
        <w:rPr>
          <w:rFonts w:hint="eastAsia" w:ascii="宋体" w:hAnsi="宋体" w:eastAsia="宋体" w:cs="宋体"/>
          <w:b/>
          <w:bCs/>
          <w:color w:val="000000"/>
          <w:sz w:val="24"/>
          <w:szCs w:val="22"/>
        </w:rPr>
        <w:t>泉州市丰泽区2019年度禁毒工作专项经费绩效评价指标体系</w:t>
      </w:r>
    </w:p>
    <w:p>
      <w:pPr>
        <w:jc w:val="center"/>
        <w:rPr>
          <w:rFonts w:ascii="宋体" w:hAnsi="宋体" w:eastAsia="宋体" w:cs="宋体"/>
          <w:b/>
          <w:bCs/>
          <w:color w:val="000000"/>
          <w:sz w:val="24"/>
          <w:szCs w:val="2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181"/>
        <w:gridCol w:w="1258"/>
        <w:gridCol w:w="5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一级指标</w:t>
            </w:r>
          </w:p>
        </w:tc>
        <w:tc>
          <w:tcPr>
            <w:tcW w:w="1181"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二级指标</w:t>
            </w:r>
          </w:p>
        </w:tc>
        <w:tc>
          <w:tcPr>
            <w:tcW w:w="1258"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三级指标</w:t>
            </w:r>
          </w:p>
        </w:tc>
        <w:tc>
          <w:tcPr>
            <w:tcW w:w="5564"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决策</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（18分）</w:t>
            </w:r>
          </w:p>
        </w:tc>
        <w:tc>
          <w:tcPr>
            <w:tcW w:w="1181" w:type="dxa"/>
            <w:vMerge w:val="restart"/>
            <w:vAlign w:val="center"/>
          </w:tcPr>
          <w:p>
            <w:pPr>
              <w:widowControl/>
              <w:snapToGrid w:val="0"/>
              <w:rPr>
                <w:rFonts w:ascii="宋体" w:hAnsi="宋体" w:cs="宋体"/>
                <w:kern w:val="0"/>
                <w:szCs w:val="21"/>
              </w:rPr>
            </w:pPr>
          </w:p>
          <w:p>
            <w:pPr>
              <w:widowControl/>
              <w:snapToGrid w:val="0"/>
              <w:rPr>
                <w:rFonts w:ascii="宋体" w:hAnsi="宋体" w:cs="宋体"/>
                <w:kern w:val="0"/>
                <w:szCs w:val="21"/>
              </w:rPr>
            </w:pPr>
          </w:p>
          <w:p>
            <w:pPr>
              <w:widowControl/>
              <w:snapToGrid w:val="0"/>
              <w:jc w:val="center"/>
              <w:rPr>
                <w:rFonts w:ascii="宋体" w:hAnsi="宋体" w:cs="宋体"/>
                <w:kern w:val="0"/>
                <w:szCs w:val="21"/>
              </w:rPr>
            </w:pPr>
            <w:r>
              <w:rPr>
                <w:rFonts w:hint="eastAsia" w:ascii="宋体" w:hAnsi="宋体" w:cs="宋体"/>
                <w:kern w:val="0"/>
                <w:szCs w:val="21"/>
              </w:rPr>
              <w:t>项目立项（6分）</w:t>
            </w:r>
          </w:p>
          <w:p>
            <w:pPr>
              <w:widowControl/>
              <w:snapToGrid w:val="0"/>
              <w:rPr>
                <w:rFonts w:ascii="宋体" w:hAnsi="宋体" w:eastAsia="宋体" w:cs="宋体"/>
                <w:spacing w:val="8"/>
                <w:szCs w:val="21"/>
                <w:shd w:val="clear" w:color="auto" w:fill="FFFFFF"/>
              </w:rPr>
            </w:pPr>
          </w:p>
        </w:tc>
        <w:tc>
          <w:tcPr>
            <w:tcW w:w="1258" w:type="dxa"/>
            <w:vAlign w:val="center"/>
          </w:tcPr>
          <w:p>
            <w:pPr>
              <w:widowControl/>
              <w:jc w:val="center"/>
              <w:rPr>
                <w:rFonts w:ascii="宋体" w:hAnsi="宋体"/>
                <w:szCs w:val="21"/>
              </w:rPr>
            </w:pPr>
            <w:r>
              <w:rPr>
                <w:rFonts w:hint="eastAsia" w:ascii="宋体" w:hAnsi="宋体"/>
                <w:szCs w:val="21"/>
              </w:rPr>
              <w:t>立项依据</w:t>
            </w:r>
          </w:p>
          <w:p>
            <w:pPr>
              <w:widowControl/>
              <w:jc w:val="center"/>
              <w:rPr>
                <w:rFonts w:ascii="宋体" w:hAnsi="宋体"/>
                <w:szCs w:val="21"/>
              </w:rPr>
            </w:pPr>
            <w:r>
              <w:rPr>
                <w:rFonts w:hint="eastAsia" w:ascii="宋体" w:hAnsi="宋体"/>
                <w:szCs w:val="21"/>
              </w:rPr>
              <w:t>充分性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（3分）</w:t>
            </w:r>
          </w:p>
        </w:tc>
        <w:tc>
          <w:tcPr>
            <w:tcW w:w="5564" w:type="dxa"/>
            <w:vAlign w:val="center"/>
          </w:tcPr>
          <w:p>
            <w:r>
              <w:rPr>
                <w:rFonts w:hint="eastAsia"/>
              </w:rPr>
              <w:t>①项目立项是否符合相关政策要求；</w:t>
            </w:r>
          </w:p>
          <w:p>
            <w:r>
              <w:rPr>
                <w:rFonts w:hint="eastAsia"/>
              </w:rPr>
              <w:t>②项目立项是否与部门职责范围相符，属于部门履职所需；</w:t>
            </w:r>
          </w:p>
          <w:p>
            <w:r>
              <w:rPr>
                <w:rFonts w:hint="eastAsia"/>
              </w:rPr>
              <w:t>③项目是否属于公共财政支持范围，是否符合中央、地方事权支出责任划分原则；</w:t>
            </w:r>
          </w:p>
          <w:p>
            <w:pPr>
              <w:rPr>
                <w:rFonts w:ascii="宋体" w:hAnsi="宋体" w:eastAsia="仿宋" w:cs="宋体"/>
                <w:spacing w:val="8"/>
                <w:szCs w:val="21"/>
              </w:rPr>
            </w:pPr>
            <w:r>
              <w:rPr>
                <w:rFonts w:hint="eastAsia" w:asciiTheme="minorEastAsia" w:hAnsiTheme="minorEastAsia" w:cstheme="minorEastAsia"/>
                <w:color w:val="000000"/>
                <w:kern w:val="0"/>
                <w:szCs w:val="21"/>
              </w:rPr>
              <w:t>以上三项分别评分，各单项符合得1分，基本符合得0.5分，不符合得0分。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b/>
                <w:bCs/>
                <w:szCs w:val="21"/>
              </w:rPr>
            </w:pPr>
          </w:p>
        </w:tc>
        <w:tc>
          <w:tcPr>
            <w:tcW w:w="1258" w:type="dxa"/>
            <w:vAlign w:val="center"/>
          </w:tcPr>
          <w:p>
            <w:pPr>
              <w:widowControl/>
              <w:jc w:val="center"/>
              <w:rPr>
                <w:rFonts w:ascii="宋体" w:hAnsi="宋体"/>
                <w:szCs w:val="21"/>
              </w:rPr>
            </w:pPr>
            <w:r>
              <w:rPr>
                <w:rFonts w:hint="eastAsia" w:ascii="宋体" w:hAnsi="宋体"/>
                <w:szCs w:val="21"/>
              </w:rPr>
              <w:t>立项程序</w:t>
            </w:r>
          </w:p>
          <w:p>
            <w:pPr>
              <w:widowControl/>
              <w:jc w:val="center"/>
              <w:rPr>
                <w:rFonts w:ascii="宋体" w:hAnsi="宋体"/>
                <w:szCs w:val="21"/>
              </w:rPr>
            </w:pPr>
            <w:r>
              <w:rPr>
                <w:rFonts w:hint="eastAsia" w:ascii="宋体" w:hAnsi="宋体"/>
                <w:szCs w:val="21"/>
              </w:rPr>
              <w:t>规范性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（3分）</w:t>
            </w:r>
          </w:p>
        </w:tc>
        <w:tc>
          <w:tcPr>
            <w:tcW w:w="5564" w:type="dxa"/>
            <w:vAlign w:val="center"/>
          </w:tcPr>
          <w:p>
            <w:r>
              <w:rPr>
                <w:rFonts w:hint="eastAsia"/>
              </w:rPr>
              <w:t>①项目是否按照规定的程序申请设立；</w:t>
            </w:r>
          </w:p>
          <w:p>
            <w:r>
              <w:rPr>
                <w:rFonts w:hint="eastAsia"/>
              </w:rPr>
              <w:t>②审批文件、材料是否符含相关要求；</w:t>
            </w:r>
          </w:p>
          <w:p>
            <w:r>
              <w:rPr>
                <w:rFonts w:hint="eastAsia"/>
              </w:rPr>
              <w:t>③事前是否已经过必要的可行性研究、专家论证、风险评估、绩效评估集体决策；</w:t>
            </w:r>
          </w:p>
          <w:p>
            <w:pPr>
              <w:rPr>
                <w:rFonts w:ascii="宋体" w:hAnsi="宋体" w:eastAsia="宋体" w:cs="宋体"/>
                <w:spacing w:val="8"/>
                <w:szCs w:val="21"/>
              </w:rPr>
            </w:pPr>
            <w:r>
              <w:rPr>
                <w:rFonts w:hint="eastAsia" w:asciiTheme="minorEastAsia" w:hAnsiTheme="minorEastAsia" w:cstheme="minorEastAsia"/>
                <w:color w:val="000000"/>
                <w:kern w:val="0"/>
                <w:szCs w:val="21"/>
              </w:rPr>
              <w:t>以上三项分别评分，各单项符合得1分，基本符合得0.5分，不符合得0分。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绩效目标</w:t>
            </w:r>
          </w:p>
          <w:p>
            <w:pPr>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（6分）</w:t>
            </w:r>
          </w:p>
        </w:tc>
        <w:tc>
          <w:tcPr>
            <w:tcW w:w="1258" w:type="dxa"/>
            <w:vAlign w:val="center"/>
          </w:tcPr>
          <w:p>
            <w:pPr>
              <w:widowControl/>
              <w:snapToGrid w:val="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绩效目标</w:t>
            </w:r>
          </w:p>
          <w:p>
            <w:pPr>
              <w:widowControl/>
              <w:snapToGrid w:val="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合理性</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color w:val="000000"/>
                <w:kern w:val="0"/>
                <w:szCs w:val="21"/>
              </w:rPr>
              <w:t>（4分）</w:t>
            </w:r>
          </w:p>
        </w:tc>
        <w:tc>
          <w:tcPr>
            <w:tcW w:w="5564" w:type="dxa"/>
            <w:vAlign w:val="center"/>
          </w:tcPr>
          <w:p>
            <w:pPr>
              <w:pStyle w:val="11"/>
              <w:widowControl/>
              <w:wordWrap w:val="0"/>
              <w:spacing w:beforeAutospacing="0" w:afterAutospacing="0"/>
              <w:jc w:val="both"/>
              <w:rPr>
                <w:rFonts w:ascii="宋体" w:hAnsi="宋体" w:eastAsia="宋体" w:cs="宋体"/>
                <w:spacing w:val="8"/>
                <w:sz w:val="21"/>
                <w:szCs w:val="21"/>
              </w:rPr>
            </w:pPr>
            <w:r>
              <w:rPr>
                <w:rFonts w:hint="eastAsia" w:ascii="宋体" w:hAnsi="宋体" w:eastAsia="宋体" w:cs="宋体"/>
                <w:spacing w:val="8"/>
                <w:sz w:val="21"/>
                <w:szCs w:val="21"/>
              </w:rPr>
              <w:t>①项目是否有绩效目标；</w:t>
            </w:r>
            <w:r>
              <w:rPr>
                <w:rFonts w:hint="eastAsia" w:ascii="宋体" w:hAnsi="宋体" w:eastAsia="宋体" w:cs="宋体"/>
                <w:spacing w:val="8"/>
                <w:sz w:val="21"/>
                <w:szCs w:val="21"/>
              </w:rPr>
              <w:br w:type="textWrapping"/>
            </w:r>
            <w:r>
              <w:rPr>
                <w:rFonts w:hint="eastAsia" w:ascii="宋体" w:hAnsi="宋体" w:eastAsia="宋体" w:cs="宋体"/>
                <w:spacing w:val="8"/>
                <w:sz w:val="21"/>
                <w:szCs w:val="21"/>
              </w:rPr>
              <w:t>②项目绩效目标与实际工作内容是否具有相关性；</w:t>
            </w:r>
            <w:r>
              <w:rPr>
                <w:rFonts w:hint="eastAsia" w:ascii="宋体" w:hAnsi="宋体" w:eastAsia="宋体" w:cs="宋体"/>
                <w:spacing w:val="8"/>
                <w:sz w:val="21"/>
                <w:szCs w:val="21"/>
              </w:rPr>
              <w:br w:type="textWrapping"/>
            </w:r>
            <w:r>
              <w:rPr>
                <w:rFonts w:hint="eastAsia" w:ascii="宋体" w:hAnsi="宋体" w:eastAsia="宋体" w:cs="宋体"/>
                <w:spacing w:val="8"/>
                <w:sz w:val="21"/>
                <w:szCs w:val="21"/>
              </w:rPr>
              <w:t>③项目预期产出效益和效果是否符合正常的业绩水平；</w:t>
            </w:r>
          </w:p>
          <w:p>
            <w:pPr>
              <w:pStyle w:val="11"/>
              <w:widowControl/>
              <w:wordWrap w:val="0"/>
              <w:spacing w:beforeAutospacing="0" w:afterAutospacing="0"/>
              <w:jc w:val="both"/>
              <w:rPr>
                <w:rFonts w:ascii="宋体" w:hAnsi="宋体" w:eastAsia="宋体" w:cs="宋体"/>
                <w:spacing w:val="8"/>
                <w:sz w:val="21"/>
                <w:szCs w:val="21"/>
              </w:rPr>
            </w:pPr>
            <w:r>
              <w:rPr>
                <w:rFonts w:hint="eastAsia" w:ascii="宋体" w:hAnsi="宋体" w:eastAsia="宋体" w:cs="宋体"/>
                <w:spacing w:val="8"/>
                <w:sz w:val="21"/>
                <w:szCs w:val="21"/>
              </w:rPr>
              <w:t>④是否与预算确定的项目投资额或资金量相匹配。</w:t>
            </w:r>
          </w:p>
          <w:p>
            <w:pPr>
              <w:widowControl/>
              <w:snapToGrid w:val="0"/>
              <w:rPr>
                <w:rFonts w:ascii="宋体" w:hAnsi="宋体" w:eastAsia="宋体" w:cs="宋体"/>
                <w:spacing w:val="8"/>
                <w:szCs w:val="21"/>
              </w:rPr>
            </w:pPr>
            <w:r>
              <w:rPr>
                <w:rFonts w:hint="eastAsia" w:ascii="宋体" w:hAnsi="宋体" w:eastAsia="宋体" w:cs="宋体"/>
                <w:spacing w:val="8"/>
                <w:szCs w:val="21"/>
              </w:rPr>
              <w:t>每项符合得1分，基本符合得0.5分，不符合得0分，满分4分。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绩效指标</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明确性</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（2分）</w:t>
            </w:r>
          </w:p>
        </w:tc>
        <w:tc>
          <w:tcPr>
            <w:tcW w:w="5564" w:type="dxa"/>
            <w:vAlign w:val="center"/>
          </w:tcPr>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①是否将绩效目标细化分解为具体的工作任务；</w:t>
            </w:r>
          </w:p>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②是否通过清晰、可衡量的指标值予以体现。</w:t>
            </w:r>
          </w:p>
          <w:p>
            <w:pPr>
              <w:widowControl/>
              <w:snapToGrid w:val="0"/>
              <w:rPr>
                <w:rFonts w:ascii="宋体" w:hAnsi="宋体" w:eastAsia="宋体" w:cs="宋体"/>
                <w:spacing w:val="8"/>
                <w:szCs w:val="21"/>
              </w:rPr>
            </w:pPr>
            <w:r>
              <w:rPr>
                <w:rFonts w:hint="eastAsia" w:asciiTheme="minorEastAsia" w:hAnsiTheme="minorEastAsia" w:cstheme="minorEastAsia"/>
                <w:kern w:val="0"/>
                <w:szCs w:val="21"/>
              </w:rPr>
              <w:t>以上两项分别评分，各单项符合得1分，基本符合得0.5分，不符合得0分。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资金投入（6分）</w:t>
            </w:r>
          </w:p>
        </w:tc>
        <w:tc>
          <w:tcPr>
            <w:tcW w:w="1258" w:type="dxa"/>
            <w:vAlign w:val="center"/>
          </w:tcPr>
          <w:p>
            <w:pPr>
              <w:jc w:val="center"/>
              <w:rPr>
                <w:rFonts w:ascii="宋体" w:hAnsi="宋体" w:cs="宋体"/>
                <w:kern w:val="0"/>
                <w:szCs w:val="21"/>
              </w:rPr>
            </w:pPr>
            <w:r>
              <w:rPr>
                <w:rFonts w:hint="eastAsia" w:ascii="宋体" w:hAnsi="宋体" w:cs="宋体"/>
                <w:kern w:val="0"/>
                <w:szCs w:val="21"/>
              </w:rPr>
              <w:t>预算编制</w:t>
            </w:r>
          </w:p>
          <w:p>
            <w:pPr>
              <w:jc w:val="center"/>
              <w:rPr>
                <w:rFonts w:ascii="宋体" w:hAnsi="宋体" w:cs="宋体"/>
                <w:kern w:val="0"/>
                <w:szCs w:val="21"/>
              </w:rPr>
            </w:pPr>
            <w:r>
              <w:rPr>
                <w:rFonts w:hint="eastAsia" w:ascii="宋体" w:hAnsi="宋体" w:cs="宋体"/>
                <w:kern w:val="0"/>
                <w:szCs w:val="21"/>
              </w:rPr>
              <w:t>科学性</w:t>
            </w:r>
          </w:p>
          <w:p>
            <w:pPr>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564" w:type="dxa"/>
            <w:vAlign w:val="center"/>
          </w:tcPr>
          <w:p>
            <w:pPr>
              <w:jc w:val="left"/>
              <w:rPr>
                <w:rFonts w:ascii="宋体" w:hAnsi="宋体" w:cs="宋体"/>
                <w:kern w:val="0"/>
                <w:szCs w:val="21"/>
              </w:rPr>
            </w:pPr>
            <w:r>
              <w:rPr>
                <w:rFonts w:hint="eastAsia" w:ascii="宋体" w:hAnsi="宋体" w:cs="宋体"/>
                <w:kern w:val="0"/>
                <w:szCs w:val="21"/>
              </w:rPr>
              <w:t>①预算内容与项目内容是否匹配；</w:t>
            </w:r>
          </w:p>
          <w:p>
            <w:pPr>
              <w:jc w:val="left"/>
              <w:rPr>
                <w:rFonts w:ascii="宋体" w:hAnsi="宋体" w:cs="宋体"/>
                <w:kern w:val="0"/>
                <w:szCs w:val="21"/>
              </w:rPr>
            </w:pPr>
            <w:r>
              <w:rPr>
                <w:rFonts w:hint="eastAsia" w:ascii="宋体" w:hAnsi="宋体" w:cs="宋体"/>
                <w:kern w:val="0"/>
                <w:szCs w:val="21"/>
              </w:rPr>
              <w:t>②预算确定的项目投资额或资金量是否与工作任务相匹配</w:t>
            </w:r>
          </w:p>
          <w:p>
            <w:pPr>
              <w:jc w:val="left"/>
              <w:rPr>
                <w:rFonts w:ascii="宋体" w:hAnsi="宋体" w:eastAsia="宋体" w:cs="宋体"/>
                <w:spacing w:val="8"/>
                <w:szCs w:val="21"/>
              </w:rPr>
            </w:pPr>
            <w:r>
              <w:rPr>
                <w:rFonts w:hint="eastAsia" w:ascii="宋体" w:hAnsi="宋体"/>
                <w:kern w:val="0"/>
                <w:sz w:val="20"/>
                <w:szCs w:val="20"/>
              </w:rPr>
              <w:t>一项不符合扣一分，扣完为止。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jc w:val="center"/>
              <w:rPr>
                <w:rFonts w:ascii="宋体" w:hAnsi="宋体" w:cs="宋体"/>
                <w:kern w:val="0"/>
                <w:szCs w:val="21"/>
              </w:rPr>
            </w:pPr>
            <w:r>
              <w:rPr>
                <w:rFonts w:hint="eastAsia" w:ascii="宋体" w:hAnsi="宋体" w:cs="宋体"/>
                <w:kern w:val="0"/>
                <w:szCs w:val="21"/>
              </w:rPr>
              <w:t>资金分配</w:t>
            </w:r>
          </w:p>
          <w:p>
            <w:pPr>
              <w:widowControl/>
              <w:jc w:val="center"/>
              <w:rPr>
                <w:rFonts w:ascii="宋体" w:hAnsi="宋体" w:cs="宋体"/>
                <w:kern w:val="0"/>
                <w:szCs w:val="21"/>
              </w:rPr>
            </w:pPr>
            <w:r>
              <w:rPr>
                <w:rFonts w:hint="eastAsia" w:ascii="宋体" w:hAnsi="宋体" w:cs="宋体"/>
                <w:kern w:val="0"/>
                <w:szCs w:val="21"/>
              </w:rPr>
              <w:t>合理性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（4分）</w:t>
            </w:r>
          </w:p>
        </w:tc>
        <w:tc>
          <w:tcPr>
            <w:tcW w:w="5564" w:type="dxa"/>
            <w:vAlign w:val="center"/>
          </w:tcPr>
          <w:p>
            <w:pPr>
              <w:widowControl/>
              <w:jc w:val="left"/>
              <w:rPr>
                <w:rFonts w:ascii="宋体" w:hAnsi="宋体" w:cs="宋体"/>
                <w:kern w:val="0"/>
                <w:szCs w:val="21"/>
              </w:rPr>
            </w:pPr>
            <w:r>
              <w:rPr>
                <w:rFonts w:hint="eastAsia" w:ascii="宋体" w:hAnsi="宋体" w:cs="宋体"/>
                <w:kern w:val="0"/>
                <w:szCs w:val="21"/>
              </w:rPr>
              <w:t>①预算资金分配依据是否充分</w:t>
            </w:r>
          </w:p>
          <w:p>
            <w:pPr>
              <w:widowControl/>
              <w:jc w:val="left"/>
              <w:rPr>
                <w:rFonts w:ascii="宋体" w:hAnsi="宋体" w:cs="宋体"/>
                <w:kern w:val="0"/>
                <w:szCs w:val="21"/>
              </w:rPr>
            </w:pPr>
            <w:r>
              <w:rPr>
                <w:rFonts w:hint="eastAsia" w:ascii="宋体" w:hAnsi="宋体" w:cs="宋体"/>
                <w:kern w:val="0"/>
                <w:szCs w:val="21"/>
              </w:rPr>
              <w:t>②资金分配额度是否合理，与项目单位或地方实际是否相适应。</w:t>
            </w:r>
          </w:p>
          <w:p>
            <w:pPr>
              <w:widowControl/>
              <w:jc w:val="left"/>
              <w:rPr>
                <w:rFonts w:ascii="宋体" w:hAnsi="宋体" w:eastAsia="宋体" w:cs="宋体"/>
                <w:spacing w:val="8"/>
                <w:szCs w:val="21"/>
              </w:rPr>
            </w:pPr>
            <w:r>
              <w:rPr>
                <w:rFonts w:hint="eastAsia" w:asciiTheme="minorEastAsia" w:hAnsiTheme="minorEastAsia" w:cstheme="minorEastAsia"/>
                <w:color w:val="000000"/>
                <w:kern w:val="0"/>
                <w:szCs w:val="21"/>
              </w:rPr>
              <w:t>以上两项分别评分，各单项符合得2分，</w:t>
            </w:r>
            <w:r>
              <w:rPr>
                <w:rFonts w:hint="eastAsia" w:asciiTheme="minorEastAsia" w:hAnsiTheme="minorEastAsia" w:cstheme="minorEastAsia"/>
                <w:kern w:val="0"/>
                <w:szCs w:val="21"/>
              </w:rPr>
              <w:t>基本符合得1分，</w:t>
            </w:r>
            <w:r>
              <w:rPr>
                <w:rFonts w:hint="eastAsia" w:asciiTheme="minorEastAsia" w:hAnsiTheme="minorEastAsia" w:cstheme="minorEastAsia"/>
                <w:color w:val="000000"/>
                <w:kern w:val="0"/>
                <w:szCs w:val="21"/>
              </w:rPr>
              <w:t>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过程</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（14分）</w:t>
            </w:r>
          </w:p>
        </w:tc>
        <w:tc>
          <w:tcPr>
            <w:tcW w:w="1181"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资金管理（9分）</w:t>
            </w:r>
          </w:p>
        </w:tc>
        <w:tc>
          <w:tcPr>
            <w:tcW w:w="1258" w:type="dxa"/>
            <w:vAlign w:val="center"/>
          </w:tcPr>
          <w:p>
            <w:pPr>
              <w:widowControl/>
              <w:jc w:val="center"/>
              <w:rPr>
                <w:rFonts w:ascii="宋体" w:hAnsi="宋体" w:cs="宋体"/>
                <w:kern w:val="0"/>
                <w:szCs w:val="21"/>
              </w:rPr>
            </w:pPr>
            <w:r>
              <w:rPr>
                <w:rFonts w:hint="eastAsia" w:ascii="宋体" w:hAnsi="宋体" w:cs="宋体"/>
                <w:kern w:val="0"/>
                <w:szCs w:val="21"/>
              </w:rPr>
              <w:t>资金</w:t>
            </w:r>
          </w:p>
          <w:p>
            <w:pPr>
              <w:widowControl/>
              <w:jc w:val="center"/>
              <w:rPr>
                <w:rFonts w:ascii="宋体" w:hAnsi="宋体" w:cs="宋体"/>
                <w:kern w:val="0"/>
                <w:szCs w:val="21"/>
              </w:rPr>
            </w:pPr>
            <w:r>
              <w:rPr>
                <w:rFonts w:hint="eastAsia" w:ascii="宋体" w:hAnsi="宋体" w:cs="宋体"/>
                <w:kern w:val="0"/>
                <w:szCs w:val="21"/>
              </w:rPr>
              <w:t>到位率</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564" w:type="dxa"/>
            <w:vAlign w:val="center"/>
          </w:tcPr>
          <w:p>
            <w:pPr>
              <w:widowControl/>
              <w:jc w:val="left"/>
              <w:rPr>
                <w:rFonts w:ascii="宋体" w:hAnsi="宋体" w:cs="宋体"/>
                <w:kern w:val="0"/>
                <w:szCs w:val="21"/>
              </w:rPr>
            </w:pPr>
            <w:r>
              <w:rPr>
                <w:rFonts w:hint="eastAsia" w:ascii="宋体" w:hAnsi="宋体" w:cs="宋体"/>
                <w:kern w:val="0"/>
                <w:szCs w:val="21"/>
              </w:rPr>
              <w:t>资金到位率=(实际到位资金/预算资金)×100%</w:t>
            </w:r>
          </w:p>
          <w:p>
            <w:pPr>
              <w:widowControl/>
              <w:jc w:val="left"/>
              <w:rPr>
                <w:rFonts w:ascii="宋体" w:hAnsi="宋体" w:cs="宋体"/>
                <w:kern w:val="0"/>
                <w:szCs w:val="21"/>
              </w:rPr>
            </w:pPr>
            <w:r>
              <w:rPr>
                <w:rFonts w:hint="eastAsia" w:ascii="宋体" w:hAnsi="宋体" w:cs="宋体"/>
                <w:kern w:val="0"/>
                <w:szCs w:val="21"/>
              </w:rPr>
              <w:t>实际到位资金：一定时期(本年度或项目期)内落实到具体项目的资金</w:t>
            </w:r>
          </w:p>
          <w:p>
            <w:pPr>
              <w:widowControl/>
              <w:jc w:val="left"/>
              <w:rPr>
                <w:rFonts w:ascii="宋体" w:hAnsi="宋体" w:eastAsia="宋体" w:cs="宋体"/>
                <w:spacing w:val="8"/>
                <w:szCs w:val="21"/>
              </w:rPr>
            </w:pPr>
            <w:r>
              <w:rPr>
                <w:rFonts w:hint="eastAsia" w:ascii="宋体" w:hAnsi="宋体" w:cs="宋体"/>
                <w:kern w:val="0"/>
                <w:szCs w:val="21"/>
              </w:rPr>
              <w:t>预算资金：一定时期(本年度或项目期)内预算安排到具体项目的资金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jc w:val="center"/>
              <w:rPr>
                <w:rFonts w:ascii="宋体" w:hAnsi="宋体" w:cs="宋体"/>
                <w:kern w:val="0"/>
                <w:szCs w:val="21"/>
              </w:rPr>
            </w:pPr>
            <w:r>
              <w:rPr>
                <w:rFonts w:hint="eastAsia" w:ascii="宋体" w:hAnsi="宋体" w:cs="宋体"/>
                <w:kern w:val="0"/>
                <w:szCs w:val="21"/>
              </w:rPr>
              <w:t>预算</w:t>
            </w:r>
          </w:p>
          <w:p>
            <w:pPr>
              <w:widowControl/>
              <w:jc w:val="center"/>
              <w:rPr>
                <w:rFonts w:ascii="宋体" w:hAnsi="宋体" w:cs="宋体"/>
                <w:kern w:val="0"/>
                <w:szCs w:val="21"/>
              </w:rPr>
            </w:pPr>
            <w:r>
              <w:rPr>
                <w:rFonts w:hint="eastAsia" w:ascii="宋体" w:hAnsi="宋体" w:cs="宋体"/>
                <w:kern w:val="0"/>
                <w:szCs w:val="21"/>
              </w:rPr>
              <w:t>执行率</w:t>
            </w:r>
          </w:p>
          <w:p>
            <w:pPr>
              <w:widowControl/>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（3分）</w:t>
            </w:r>
          </w:p>
        </w:tc>
        <w:tc>
          <w:tcPr>
            <w:tcW w:w="5564" w:type="dxa"/>
            <w:vAlign w:val="center"/>
          </w:tcPr>
          <w:p>
            <w:pPr>
              <w:widowControl/>
              <w:jc w:val="left"/>
              <w:rPr>
                <w:rFonts w:ascii="宋体" w:hAnsi="宋体" w:cs="宋体"/>
                <w:kern w:val="0"/>
                <w:szCs w:val="21"/>
              </w:rPr>
            </w:pPr>
            <w:r>
              <w:rPr>
                <w:rFonts w:hint="eastAsia" w:ascii="宋体" w:hAnsi="宋体" w:cs="宋体"/>
                <w:kern w:val="0"/>
                <w:szCs w:val="21"/>
              </w:rPr>
              <w:t>预算执行率=(实际支出资金/预算资金)×100%</w:t>
            </w:r>
          </w:p>
          <w:p>
            <w:pPr>
              <w:widowControl/>
              <w:jc w:val="left"/>
              <w:rPr>
                <w:rFonts w:ascii="宋体" w:hAnsi="宋体" w:cs="宋体"/>
                <w:kern w:val="0"/>
                <w:szCs w:val="21"/>
              </w:rPr>
            </w:pPr>
            <w:r>
              <w:rPr>
                <w:rFonts w:hint="eastAsia" w:ascii="宋体" w:hAnsi="宋体" w:cs="宋体"/>
                <w:kern w:val="0"/>
                <w:szCs w:val="21"/>
              </w:rPr>
              <w:t>实际支出资金：一定时期(本年度或项目期)内项目实际拨付的资金。</w:t>
            </w:r>
          </w:p>
          <w:p>
            <w:pPr>
              <w:widowControl/>
              <w:jc w:val="left"/>
              <w:rPr>
                <w:rFonts w:ascii="宋体" w:hAnsi="宋体" w:eastAsia="宋体" w:cs="宋体"/>
                <w:spacing w:val="8"/>
                <w:szCs w:val="21"/>
              </w:rPr>
            </w:pPr>
            <w:r>
              <w:rPr>
                <w:rFonts w:hint="eastAsia" w:asciiTheme="minorEastAsia" w:hAnsiTheme="minorEastAsia" w:cstheme="minorEastAsia"/>
                <w:kern w:val="0"/>
                <w:szCs w:val="21"/>
              </w:rPr>
              <w:t>预算执行率100%，得满分；每降低5个百分点，扣1分，扣完为止。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资金使用</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合规性</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（4分）</w:t>
            </w:r>
          </w:p>
          <w:p>
            <w:pPr>
              <w:widowControl/>
              <w:snapToGrid w:val="0"/>
              <w:jc w:val="center"/>
              <w:rPr>
                <w:rFonts w:ascii="宋体" w:hAnsi="宋体" w:eastAsia="宋体" w:cs="宋体"/>
                <w:spacing w:val="8"/>
                <w:szCs w:val="21"/>
                <w:shd w:val="clear" w:color="auto" w:fill="FFFFFF"/>
              </w:rPr>
            </w:pPr>
          </w:p>
        </w:tc>
        <w:tc>
          <w:tcPr>
            <w:tcW w:w="5564" w:type="dxa"/>
            <w:vAlign w:val="center"/>
          </w:tcPr>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①符合国家财经法规和财务管理制度规定以及有关部门资金管理办法的规定；</w:t>
            </w:r>
          </w:p>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②资金拨付有完整的审批程序和手续；</w:t>
            </w:r>
          </w:p>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③支出符合部门预算批复的用途；</w:t>
            </w:r>
          </w:p>
          <w:p>
            <w:pPr>
              <w:widowControl/>
              <w:snapToGrid w:val="0"/>
              <w:rPr>
                <w:rFonts w:asciiTheme="minorEastAsia" w:hAnsiTheme="minorEastAsia" w:cstheme="minorEastAsia"/>
                <w:kern w:val="0"/>
                <w:szCs w:val="21"/>
              </w:rPr>
            </w:pPr>
            <w:r>
              <w:rPr>
                <w:rFonts w:hint="eastAsia" w:asciiTheme="minorEastAsia" w:hAnsiTheme="minorEastAsia" w:cstheme="minorEastAsia"/>
                <w:kern w:val="0"/>
                <w:szCs w:val="21"/>
              </w:rPr>
              <w:t>④资金使用无截留、挤占、挪用、虚列支出等情况。</w:t>
            </w:r>
          </w:p>
          <w:p>
            <w:pPr>
              <w:widowControl/>
              <w:snapToGrid w:val="0"/>
              <w:rPr>
                <w:rFonts w:ascii="宋体" w:hAnsi="宋体" w:eastAsia="宋体" w:cs="宋体"/>
                <w:spacing w:val="8"/>
                <w:szCs w:val="21"/>
              </w:rPr>
            </w:pPr>
            <w:r>
              <w:rPr>
                <w:rFonts w:hint="eastAsia" w:asciiTheme="minorEastAsia" w:hAnsiTheme="minorEastAsia" w:cstheme="minorEastAsia"/>
                <w:kern w:val="0"/>
                <w:szCs w:val="21"/>
              </w:rPr>
              <w:t>以上四项都符合得满分；一项不符合扣1分。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Theme="majorEastAsia" w:hAnsiTheme="majorEastAsia" w:eastAsiaTheme="majorEastAsia" w:cstheme="majorEastAsia"/>
                <w:kern w:val="0"/>
                <w:szCs w:val="21"/>
              </w:rPr>
              <w:t>组织实施（5分）</w:t>
            </w:r>
          </w:p>
        </w:tc>
        <w:tc>
          <w:tcPr>
            <w:tcW w:w="1258" w:type="dxa"/>
            <w:vAlign w:val="center"/>
          </w:tcPr>
          <w:p>
            <w:pPr>
              <w:widowControl/>
              <w:snapToGrid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管理制度</w:t>
            </w:r>
          </w:p>
          <w:p>
            <w:pPr>
              <w:widowControl/>
              <w:snapToGrid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健全性</w:t>
            </w:r>
          </w:p>
          <w:p>
            <w:pPr>
              <w:widowControl/>
              <w:snapToGrid w:val="0"/>
              <w:jc w:val="center"/>
              <w:rPr>
                <w:rFonts w:ascii="宋体" w:hAnsi="宋体" w:eastAsia="宋体" w:cs="宋体"/>
                <w:spacing w:val="8"/>
                <w:szCs w:val="21"/>
                <w:shd w:val="clear" w:color="auto" w:fill="FFFFFF"/>
              </w:rPr>
            </w:pPr>
            <w:r>
              <w:rPr>
                <w:rFonts w:hint="eastAsia" w:asciiTheme="majorEastAsia" w:hAnsiTheme="majorEastAsia" w:eastAsiaTheme="majorEastAsia" w:cstheme="majorEastAsia"/>
                <w:kern w:val="0"/>
                <w:szCs w:val="21"/>
              </w:rPr>
              <w:t>（2分）</w:t>
            </w:r>
          </w:p>
        </w:tc>
        <w:tc>
          <w:tcPr>
            <w:tcW w:w="5564" w:type="dxa"/>
            <w:vAlign w:val="center"/>
          </w:tcPr>
          <w:p>
            <w:pPr>
              <w:widowControl/>
              <w:snapToGrid w:val="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①是否已制定完善的预算资金管理办法、内部财务管理制度、会计核算制度等管理制度；</w:t>
            </w:r>
          </w:p>
          <w:p>
            <w:pPr>
              <w:widowControl/>
              <w:snapToGrid w:val="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②相关管理制度是否得到有效执行。</w:t>
            </w:r>
          </w:p>
          <w:p>
            <w:pPr>
              <w:widowControl/>
              <w:snapToGrid w:val="0"/>
              <w:rPr>
                <w:rFonts w:ascii="宋体" w:hAnsi="宋体" w:eastAsia="宋体" w:cs="宋体"/>
                <w:spacing w:val="8"/>
                <w:szCs w:val="21"/>
              </w:rPr>
            </w:pPr>
            <w:r>
              <w:rPr>
                <w:rFonts w:hint="eastAsia" w:asciiTheme="majorEastAsia" w:hAnsiTheme="majorEastAsia" w:eastAsiaTheme="majorEastAsia" w:cstheme="majorEastAsia"/>
                <w:kern w:val="0"/>
                <w:szCs w:val="21"/>
              </w:rPr>
              <w:t>以上两项都符合得满分；一项不符合扣1分。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b/>
                <w:bCs/>
                <w:sz w:val="24"/>
                <w:szCs w:val="22"/>
              </w:rPr>
            </w:pPr>
          </w:p>
        </w:tc>
        <w:tc>
          <w:tcPr>
            <w:tcW w:w="1258" w:type="dxa"/>
            <w:vAlign w:val="center"/>
          </w:tcPr>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制度执行</w:t>
            </w:r>
          </w:p>
          <w:p>
            <w:pPr>
              <w:widowControl/>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有效性</w:t>
            </w:r>
          </w:p>
          <w:p>
            <w:pPr>
              <w:widowControl/>
              <w:jc w:val="center"/>
              <w:rPr>
                <w:rFonts w:ascii="宋体" w:hAnsi="宋体" w:eastAsia="宋体" w:cs="宋体"/>
                <w:spacing w:val="8"/>
                <w:szCs w:val="21"/>
                <w:shd w:val="clear" w:color="auto" w:fill="FFFFFF"/>
              </w:rPr>
            </w:pPr>
            <w:r>
              <w:rPr>
                <w:rFonts w:hint="eastAsia" w:asciiTheme="majorEastAsia" w:hAnsiTheme="majorEastAsia" w:eastAsiaTheme="majorEastAsia" w:cstheme="majorEastAsia"/>
                <w:kern w:val="0"/>
                <w:szCs w:val="21"/>
              </w:rPr>
              <w:t>（3分）</w:t>
            </w:r>
          </w:p>
        </w:tc>
        <w:tc>
          <w:tcPr>
            <w:tcW w:w="5564" w:type="dxa"/>
            <w:vAlign w:val="center"/>
          </w:tcPr>
          <w:p>
            <w:pP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①是否遵守相关法律法规和相关管理规定；</w:t>
            </w:r>
          </w:p>
          <w:p>
            <w:pP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②项目合同书、验收报告、技术鉴定等资料是否齐全并及时归档；</w:t>
            </w:r>
          </w:p>
          <w:p>
            <w:pP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③项目实施的人员条件、场地设备、信息支撑等是否落实到位。</w:t>
            </w:r>
          </w:p>
          <w:p>
            <w:pPr>
              <w:widowControl/>
              <w:jc w:val="left"/>
              <w:rPr>
                <w:rFonts w:ascii="宋体" w:hAnsi="宋体" w:eastAsia="宋体" w:cs="宋体"/>
                <w:spacing w:val="8"/>
                <w:szCs w:val="21"/>
              </w:rPr>
            </w:pPr>
            <w:r>
              <w:rPr>
                <w:rFonts w:hint="eastAsia" w:asciiTheme="minorEastAsia" w:hAnsiTheme="minorEastAsia" w:cstheme="minorEastAsia"/>
                <w:kern w:val="0"/>
                <w:szCs w:val="21"/>
              </w:rPr>
              <w:t>以上三项都符合得满分</w:t>
            </w:r>
            <w:r>
              <w:rPr>
                <w:rFonts w:hint="eastAsia" w:asciiTheme="majorEastAsia" w:hAnsiTheme="majorEastAsia" w:eastAsiaTheme="majorEastAsia" w:cstheme="majorEastAsia"/>
                <w:kern w:val="0"/>
                <w:szCs w:val="21"/>
              </w:rPr>
              <w:t>一项不符合扣1分。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产出</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（23分）</w:t>
            </w:r>
          </w:p>
        </w:tc>
        <w:tc>
          <w:tcPr>
            <w:tcW w:w="1181" w:type="dxa"/>
            <w:vMerge w:val="restart"/>
            <w:vAlign w:val="center"/>
          </w:tcPr>
          <w:p>
            <w:pPr>
              <w:widowControl/>
              <w:snapToGrid w:val="0"/>
              <w:jc w:val="center"/>
              <w:rPr>
                <w:rFonts w:asciiTheme="minorEastAsia" w:hAnsiTheme="minorEastAsia" w:cstheme="minorEastAsia"/>
                <w:kern w:val="0"/>
                <w:szCs w:val="21"/>
              </w:rPr>
            </w:pPr>
            <w:r>
              <w:rPr>
                <w:rFonts w:hint="eastAsia" w:ascii="宋体" w:hAnsi="宋体"/>
              </w:rPr>
              <w:t>产出数量</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r>
              <w:rPr>
                <w:rFonts w:asciiTheme="minorEastAsia" w:hAnsiTheme="minorEastAsia" w:cstheme="minorEastAsia"/>
                <w:kern w:val="0"/>
                <w:szCs w:val="21"/>
              </w:rPr>
              <w:t>5</w:t>
            </w:r>
            <w:r>
              <w:rPr>
                <w:rFonts w:hint="eastAsia" w:asciiTheme="minorEastAsia" w:hAnsiTheme="minorEastAsia" w:cstheme="minorEastAsia"/>
                <w:kern w:val="0"/>
                <w:szCs w:val="21"/>
              </w:rPr>
              <w:t>分）</w:t>
            </w:r>
          </w:p>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禁毒品牌社区数</w:t>
            </w:r>
          </w:p>
          <w:p>
            <w:pPr>
              <w:widowControl/>
              <w:snapToGrid w:val="0"/>
              <w:jc w:val="center"/>
              <w:rPr>
                <w:rFonts w:ascii="宋体" w:hAnsi="宋体" w:eastAsia="宋体" w:cs="宋体"/>
                <w:spacing w:val="8"/>
                <w:szCs w:val="21"/>
                <w:shd w:val="clear" w:color="auto" w:fill="FFFFFF"/>
              </w:rPr>
            </w:pPr>
            <w:r>
              <w:rPr>
                <w:rFonts w:hint="eastAsia" w:asciiTheme="majorEastAsia" w:hAnsiTheme="majorEastAsia" w:eastAsiaTheme="majorEastAsia" w:cstheme="majorEastAsia"/>
                <w:kern w:val="0"/>
                <w:szCs w:val="21"/>
              </w:rPr>
              <w:t>（3分）</w:t>
            </w:r>
          </w:p>
        </w:tc>
        <w:tc>
          <w:tcPr>
            <w:tcW w:w="5564" w:type="dxa"/>
            <w:vAlign w:val="center"/>
          </w:tcPr>
          <w:p>
            <w:pPr>
              <w:widowControl/>
              <w:snapToGrid w:val="0"/>
              <w:rPr>
                <w:rFonts w:ascii="宋体" w:hAnsi="宋体" w:eastAsia="宋体" w:cs="宋体"/>
                <w:b/>
                <w:bCs/>
                <w:sz w:val="24"/>
                <w:szCs w:val="22"/>
              </w:rPr>
            </w:pPr>
            <w:r>
              <w:rPr>
                <w:rFonts w:hint="eastAsia" w:ascii="宋体" w:hAnsi="宋体" w:cs="宋体"/>
                <w:kern w:val="0"/>
                <w:szCs w:val="21"/>
              </w:rPr>
              <w:t>禁毒品牌社区数</w:t>
            </w:r>
            <w:r>
              <w:rPr>
                <w:rFonts w:hint="eastAsia" w:ascii="宋体" w:hAnsi="宋体" w:cs="宋体"/>
              </w:rPr>
              <w:t>达到3个得满分，未达到3个，每少1个扣1分。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9" w:type="dxa"/>
            <w:vMerge w:val="continue"/>
            <w:vAlign w:val="center"/>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禁毒宣教室数</w:t>
            </w:r>
          </w:p>
          <w:p>
            <w:pPr>
              <w:widowControl/>
              <w:snapToGrid w:val="0"/>
              <w:jc w:val="center"/>
              <w:rPr>
                <w:rFonts w:ascii="宋体" w:hAnsi="宋体" w:eastAsia="宋体" w:cs="宋体"/>
                <w:spacing w:val="8"/>
                <w:szCs w:val="21"/>
                <w:shd w:val="clear" w:color="auto" w:fill="FFFFFF"/>
              </w:rPr>
            </w:pPr>
            <w:r>
              <w:rPr>
                <w:rFonts w:hint="eastAsia" w:asciiTheme="majorEastAsia" w:hAnsiTheme="majorEastAsia" w:eastAsiaTheme="majorEastAsia" w:cstheme="majorEastAsia"/>
                <w:kern w:val="0"/>
                <w:szCs w:val="21"/>
              </w:rPr>
              <w:t>（4分）</w:t>
            </w:r>
          </w:p>
        </w:tc>
        <w:tc>
          <w:tcPr>
            <w:tcW w:w="5564" w:type="dxa"/>
            <w:vAlign w:val="center"/>
          </w:tcPr>
          <w:p>
            <w:pPr>
              <w:widowControl/>
              <w:snapToGrid w:val="0"/>
              <w:rPr>
                <w:rFonts w:ascii="宋体" w:hAnsi="宋体" w:eastAsia="宋体" w:cs="宋体"/>
                <w:b/>
                <w:bCs/>
                <w:sz w:val="24"/>
                <w:szCs w:val="22"/>
              </w:rPr>
            </w:pPr>
            <w:r>
              <w:rPr>
                <w:rFonts w:hint="eastAsia" w:ascii="宋体" w:hAnsi="宋体" w:cs="宋体"/>
                <w:kern w:val="0"/>
                <w:szCs w:val="21"/>
              </w:rPr>
              <w:t>禁毒宣教室数达到10个得满分，</w:t>
            </w:r>
            <w:r>
              <w:rPr>
                <w:rFonts w:hint="eastAsia" w:ascii="宋体" w:hAnsi="宋体" w:cs="宋体"/>
              </w:rPr>
              <w:t>未达到10个，每少1个扣1分，扣完为止。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9" w:type="dxa"/>
            <w:vMerge w:val="continue"/>
            <w:vAlign w:val="center"/>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rPr>
            </w:pPr>
            <w:r>
              <w:rPr>
                <w:rFonts w:hint="eastAsia" w:ascii="宋体" w:hAnsi="宋体" w:cs="宋体"/>
              </w:rPr>
              <w:t>建成林则徐禁毒教育基地数</w:t>
            </w:r>
          </w:p>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564"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kern w:val="0"/>
                <w:szCs w:val="21"/>
              </w:rPr>
              <w:t>建成1个林则徐禁毒教育基地并投入使用得满分，建成未投入使用得1分，未建成不得分。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9" w:type="dxa"/>
            <w:vMerge w:val="continue"/>
            <w:vAlign w:val="center"/>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rPr>
              <w:t>补助社区戒毒康复工作站数</w:t>
            </w:r>
            <w:r>
              <w:rPr>
                <w:rFonts w:hint="eastAsia" w:ascii="宋体" w:hAnsi="宋体" w:cs="宋体"/>
                <w:kern w:val="0"/>
                <w:szCs w:val="21"/>
              </w:rPr>
              <w:t>（3分）</w:t>
            </w:r>
          </w:p>
        </w:tc>
        <w:tc>
          <w:tcPr>
            <w:tcW w:w="5564"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kern w:val="0"/>
                <w:szCs w:val="21"/>
              </w:rPr>
              <w:t>补助社区戒毒康复工作站达到8所得满分，</w:t>
            </w:r>
            <w:r>
              <w:rPr>
                <w:rFonts w:hint="eastAsia" w:ascii="宋体" w:hAnsi="宋体" w:cs="宋体"/>
              </w:rPr>
              <w:t>未达到8个，每少1个扣1分，扣完为止。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99" w:type="dxa"/>
            <w:vMerge w:val="continue"/>
            <w:vAlign w:val="center"/>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rPr>
            </w:pPr>
            <w:r>
              <w:rPr>
                <w:rFonts w:hint="eastAsia" w:ascii="宋体" w:hAnsi="宋体" w:cs="宋体"/>
              </w:rPr>
              <w:t>设立大型宣传广告牌数</w:t>
            </w:r>
          </w:p>
          <w:p>
            <w:pPr>
              <w:widowControl/>
              <w:snapToGrid w:val="0"/>
              <w:jc w:val="center"/>
              <w:rPr>
                <w:rFonts w:ascii="宋体" w:hAnsi="宋体" w:eastAsia="宋体" w:cs="宋体"/>
                <w:spacing w:val="8"/>
                <w:szCs w:val="21"/>
                <w:shd w:val="clear" w:color="auto" w:fill="FFFFFF"/>
              </w:rPr>
            </w:pPr>
            <w:r>
              <w:rPr>
                <w:rFonts w:hint="eastAsia" w:ascii="宋体" w:hAnsi="宋体" w:cs="宋体"/>
              </w:rPr>
              <w:t>（3分</w:t>
            </w:r>
            <w:r>
              <w:rPr>
                <w:rFonts w:hint="eastAsia" w:ascii="宋体" w:hAnsi="宋体" w:cs="宋体"/>
                <w:kern w:val="0"/>
                <w:szCs w:val="21"/>
              </w:rPr>
              <w:t>）</w:t>
            </w:r>
          </w:p>
        </w:tc>
        <w:tc>
          <w:tcPr>
            <w:tcW w:w="5564"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rPr>
              <w:t>大型宣传广告牌数设置10处得满分，未达到10个，每少1个扣1分，扣完为止。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Theme="minorEastAsia" w:hAnsiTheme="minorEastAsia" w:cstheme="minorEastAsia"/>
                <w:kern w:val="0"/>
                <w:szCs w:val="21"/>
              </w:rPr>
            </w:pPr>
            <w:r>
              <w:rPr>
                <w:rFonts w:hint="eastAsia" w:ascii="宋体" w:hAnsi="宋体"/>
              </w:rPr>
              <w:t>产出质量</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（8分）</w:t>
            </w:r>
          </w:p>
        </w:tc>
        <w:tc>
          <w:tcPr>
            <w:tcW w:w="1258"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在册吸毒人员复吸率</w:t>
            </w:r>
            <w:r>
              <w:rPr>
                <w:rFonts w:hint="eastAsia" w:ascii="宋体" w:hAnsi="宋体" w:cs="宋体"/>
              </w:rPr>
              <w:t>（3分</w:t>
            </w:r>
            <w:r>
              <w:rPr>
                <w:rFonts w:hint="eastAsia" w:ascii="宋体" w:hAnsi="宋体" w:cs="宋体"/>
                <w:kern w:val="0"/>
                <w:szCs w:val="21"/>
              </w:rPr>
              <w:t>）</w:t>
            </w:r>
          </w:p>
        </w:tc>
        <w:tc>
          <w:tcPr>
            <w:tcW w:w="5564" w:type="dxa"/>
            <w:vAlign w:val="center"/>
          </w:tcPr>
          <w:p>
            <w:pPr>
              <w:widowControl/>
              <w:snapToGrid w:val="0"/>
              <w:rPr>
                <w:rFonts w:ascii="宋体" w:hAnsi="宋体" w:eastAsia="宋体" w:cs="宋体"/>
                <w:b/>
                <w:bCs/>
                <w:color w:val="000000"/>
                <w:sz w:val="24"/>
                <w:szCs w:val="22"/>
              </w:rPr>
            </w:pPr>
            <w:r>
              <w:rPr>
                <w:rFonts w:hint="eastAsia" w:ascii="宋体" w:hAnsi="宋体" w:cs="宋体"/>
                <w:kern w:val="0"/>
                <w:szCs w:val="21"/>
              </w:rPr>
              <w:t>在册吸毒人员复吸率</w:t>
            </w:r>
            <w:r>
              <w:rPr>
                <w:rFonts w:hint="eastAsia" w:ascii="宋体" w:hAnsi="宋体" w:cs="宋体"/>
                <w:kern w:val="0"/>
                <w:szCs w:val="21"/>
                <w:lang w:val="en-US" w:eastAsia="zh-CN"/>
              </w:rPr>
              <w:t>=查获有吸毒史人数/在册吸毒人员数，</w:t>
            </w:r>
            <w:r>
              <w:rPr>
                <w:rFonts w:hint="eastAsia" w:ascii="宋体" w:hAnsi="宋体" w:cs="宋体"/>
                <w:kern w:val="0"/>
                <w:szCs w:val="21"/>
              </w:rPr>
              <w:t>在册吸毒人员复吸率</w:t>
            </w:r>
            <w:r>
              <w:rPr>
                <w:rFonts w:hint="eastAsia" w:ascii="宋体" w:hAnsi="宋体" w:cs="宋体"/>
                <w:kern w:val="0"/>
                <w:szCs w:val="21"/>
                <w:lang w:val="en-US" w:eastAsia="zh-CN"/>
              </w:rPr>
              <w:t>较上年持平或增加不得分，较上年</w:t>
            </w:r>
            <w:r>
              <w:rPr>
                <w:rFonts w:hint="eastAsia" w:ascii="宋体" w:hAnsi="宋体" w:cs="宋体"/>
                <w:kern w:val="0"/>
                <w:szCs w:val="21"/>
              </w:rPr>
              <w:t>每</w:t>
            </w:r>
            <w:r>
              <w:rPr>
                <w:rFonts w:hint="eastAsia" w:ascii="宋体" w:hAnsi="宋体" w:cs="宋体"/>
                <w:kern w:val="0"/>
                <w:szCs w:val="21"/>
                <w:lang w:val="en-US" w:eastAsia="zh-CN"/>
              </w:rPr>
              <w:t>减少5</w:t>
            </w:r>
            <w:r>
              <w:rPr>
                <w:rFonts w:hint="eastAsia" w:ascii="宋体" w:hAnsi="宋体" w:cs="宋体"/>
                <w:kern w:val="0"/>
                <w:szCs w:val="21"/>
              </w:rPr>
              <w:t>个百分点</w:t>
            </w:r>
            <w:r>
              <w:rPr>
                <w:rFonts w:hint="eastAsia" w:ascii="宋体" w:hAnsi="宋体" w:cs="宋体"/>
                <w:kern w:val="0"/>
                <w:szCs w:val="21"/>
                <w:lang w:val="en-US" w:eastAsia="zh-CN"/>
              </w:rPr>
              <w:t>得</w:t>
            </w:r>
            <w:r>
              <w:rPr>
                <w:rFonts w:hint="eastAsia" w:ascii="宋体" w:hAnsi="宋体" w:cs="宋体"/>
                <w:kern w:val="0"/>
                <w:szCs w:val="21"/>
              </w:rPr>
              <w:t>1分，</w:t>
            </w:r>
            <w:r>
              <w:rPr>
                <w:rFonts w:hint="eastAsia" w:ascii="宋体" w:hAnsi="宋体" w:cs="宋体"/>
                <w:kern w:val="0"/>
                <w:szCs w:val="21"/>
                <w:lang w:val="en-US" w:eastAsia="zh-CN"/>
              </w:rPr>
              <w:t>得分为1分</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lang w:val="en-US" w:eastAsia="zh-CN"/>
              </w:rPr>
              <w:t>减少的百分比/5%</w:t>
            </w:r>
            <w:r>
              <w:rPr>
                <w:rFonts w:hint="eastAsia" w:ascii="宋体" w:hAnsi="宋体" w:cs="宋体"/>
                <w:kern w:val="0"/>
                <w:szCs w:val="21"/>
                <w:lang w:eastAsia="zh-CN"/>
              </w:rPr>
              <w:t>），</w:t>
            </w:r>
            <w:r>
              <w:rPr>
                <w:rFonts w:hint="eastAsia" w:ascii="宋体" w:hAnsi="宋体" w:cs="宋体"/>
                <w:kern w:val="0"/>
                <w:szCs w:val="21"/>
                <w:lang w:val="en-US" w:eastAsia="zh-CN"/>
              </w:rPr>
              <w:t>满分3分</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禁毒工作制度落实情况</w:t>
            </w:r>
            <w:r>
              <w:rPr>
                <w:rFonts w:hint="eastAsia" w:ascii="宋体" w:hAnsi="宋体" w:cs="宋体"/>
              </w:rPr>
              <w:t>（5分</w:t>
            </w:r>
            <w:r>
              <w:rPr>
                <w:rFonts w:hint="eastAsia" w:ascii="宋体" w:hAnsi="宋体" w:cs="宋体"/>
                <w:kern w:val="0"/>
                <w:szCs w:val="21"/>
              </w:rPr>
              <w:t>）</w:t>
            </w:r>
          </w:p>
        </w:tc>
        <w:tc>
          <w:tcPr>
            <w:tcW w:w="5564" w:type="dxa"/>
            <w:vAlign w:val="center"/>
          </w:tcPr>
          <w:p>
            <w:pPr>
              <w:widowControl/>
              <w:snapToGrid w:val="0"/>
              <w:rPr>
                <w:rFonts w:ascii="宋体" w:hAnsi="宋体" w:eastAsia="宋体" w:cs="宋体"/>
                <w:b/>
                <w:bCs/>
                <w:color w:val="000000"/>
                <w:sz w:val="24"/>
                <w:szCs w:val="22"/>
              </w:rPr>
            </w:pPr>
            <w:r>
              <w:rPr>
                <w:rFonts w:hint="eastAsia" w:ascii="宋体" w:hAnsi="宋体" w:cs="宋体"/>
                <w:kern w:val="0"/>
                <w:szCs w:val="21"/>
              </w:rPr>
              <w:t>1家单位未完成禁毒任务扣0.5分，扣完为止。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效益</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（45分）</w:t>
            </w:r>
          </w:p>
        </w:tc>
        <w:tc>
          <w:tcPr>
            <w:tcW w:w="1181"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社会效益</w:t>
            </w:r>
            <w:r>
              <w:rPr>
                <w:rFonts w:hint="eastAsia" w:ascii="宋体" w:hAnsi="宋体" w:cs="宋体"/>
                <w:kern w:val="0"/>
                <w:szCs w:val="21"/>
              </w:rPr>
              <w:t>（18分）</w:t>
            </w:r>
          </w:p>
        </w:tc>
        <w:tc>
          <w:tcPr>
            <w:tcW w:w="1258" w:type="dxa"/>
            <w:vAlign w:val="center"/>
          </w:tcPr>
          <w:p>
            <w:pPr>
              <w:widowControl/>
              <w:snapToGrid w:val="0"/>
              <w:jc w:val="center"/>
              <w:rPr>
                <w:rFonts w:ascii="宋体" w:hAnsi="宋体" w:cs="宋体"/>
                <w:kern w:val="0"/>
                <w:szCs w:val="21"/>
              </w:rPr>
            </w:pPr>
            <w:r>
              <w:rPr>
                <w:rFonts w:hint="eastAsia" w:ascii="宋体" w:hAnsi="宋体" w:cs="宋体"/>
                <w:kern w:val="0"/>
                <w:szCs w:val="21"/>
              </w:rPr>
              <w:t>宣传报道在媒体发布情况</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564" w:type="dxa"/>
            <w:vAlign w:val="center"/>
          </w:tcPr>
          <w:p>
            <w:pPr>
              <w:rPr>
                <w:rFonts w:ascii="宋体" w:hAnsi="宋体" w:eastAsia="宋体" w:cs="宋体"/>
                <w:b/>
                <w:bCs/>
                <w:color w:val="000000"/>
                <w:sz w:val="24"/>
                <w:szCs w:val="22"/>
              </w:rPr>
            </w:pPr>
            <w:r>
              <w:rPr>
                <w:rFonts w:hint="eastAsia" w:ascii="宋体" w:hAnsi="宋体" w:cs="宋体"/>
                <w:kern w:val="0"/>
                <w:szCs w:val="21"/>
              </w:rPr>
              <w:t>宣传报道在省级媒体平台发布1篇0.5分，在国家级媒体平台发布1篇得1分，满分5分。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rPr>
            </w:pPr>
            <w:r>
              <w:rPr>
                <w:rFonts w:hint="eastAsia" w:ascii="宋体" w:hAnsi="宋体" w:cs="宋体"/>
              </w:rPr>
              <w:t>青少年</w:t>
            </w:r>
          </w:p>
          <w:p>
            <w:pPr>
              <w:widowControl/>
              <w:snapToGrid w:val="0"/>
              <w:jc w:val="center"/>
              <w:rPr>
                <w:rFonts w:ascii="宋体" w:hAnsi="宋体" w:cs="宋体"/>
              </w:rPr>
            </w:pPr>
            <w:r>
              <w:rPr>
                <w:rFonts w:hint="eastAsia" w:ascii="宋体" w:hAnsi="宋体" w:cs="宋体"/>
              </w:rPr>
              <w:t>接受禁毒</w:t>
            </w:r>
          </w:p>
          <w:p>
            <w:pPr>
              <w:widowControl/>
              <w:snapToGrid w:val="0"/>
              <w:jc w:val="center"/>
              <w:rPr>
                <w:rFonts w:ascii="宋体" w:hAnsi="宋体" w:cs="宋体"/>
              </w:rPr>
            </w:pPr>
            <w:r>
              <w:rPr>
                <w:rFonts w:hint="eastAsia" w:ascii="宋体" w:hAnsi="宋体" w:cs="宋体"/>
              </w:rPr>
              <w:t>教育课时</w:t>
            </w:r>
          </w:p>
          <w:p>
            <w:pPr>
              <w:widowControl/>
              <w:snapToGrid w:val="0"/>
              <w:jc w:val="center"/>
              <w:rPr>
                <w:rFonts w:ascii="宋体" w:hAnsi="宋体" w:eastAsia="宋体" w:cs="宋体"/>
                <w:spacing w:val="8"/>
                <w:szCs w:val="21"/>
                <w:shd w:val="clear" w:color="auto" w:fill="FFFFFF"/>
              </w:rPr>
            </w:pPr>
            <w:r>
              <w:rPr>
                <w:rFonts w:hint="eastAsia" w:ascii="宋体" w:hAnsi="宋体" w:cs="宋体"/>
              </w:rPr>
              <w:t>（4分</w:t>
            </w:r>
            <w:r>
              <w:rPr>
                <w:rFonts w:hint="eastAsia" w:ascii="宋体" w:hAnsi="宋体" w:cs="宋体"/>
                <w:kern w:val="0"/>
                <w:szCs w:val="21"/>
              </w:rPr>
              <w:t>）</w:t>
            </w:r>
          </w:p>
        </w:tc>
        <w:tc>
          <w:tcPr>
            <w:tcW w:w="5564" w:type="dxa"/>
            <w:vAlign w:val="center"/>
          </w:tcPr>
          <w:p>
            <w:pPr>
              <w:rPr>
                <w:rFonts w:ascii="宋体" w:hAnsi="宋体" w:eastAsia="宋体" w:cs="宋体"/>
                <w:spacing w:val="8"/>
                <w:szCs w:val="21"/>
                <w:shd w:val="clear" w:color="auto" w:fill="FFFFFF"/>
              </w:rPr>
            </w:pPr>
            <w:r>
              <w:rPr>
                <w:rFonts w:hint="eastAsia" w:ascii="宋体" w:hAnsi="宋体" w:cs="宋体"/>
              </w:rPr>
              <w:t>每学年达到2课时得满分，每减少</w:t>
            </w:r>
            <w:r>
              <w:rPr>
                <w:rFonts w:hint="eastAsia" w:ascii="宋体" w:hAnsi="宋体" w:cs="宋体"/>
                <w:kern w:val="0"/>
                <w:szCs w:val="21"/>
              </w:rPr>
              <w:t>1个课时扣2分。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rPr>
            </w:pPr>
            <w:r>
              <w:rPr>
                <w:rFonts w:hint="eastAsia" w:ascii="宋体" w:hAnsi="宋体" w:cs="宋体"/>
              </w:rPr>
              <w:t>宣传形式多样化</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564" w:type="dxa"/>
            <w:vAlign w:val="center"/>
          </w:tcPr>
          <w:p>
            <w:pPr>
              <w:rPr>
                <w:rFonts w:ascii="宋体" w:hAnsi="宋体" w:eastAsia="宋体" w:cs="宋体"/>
                <w:spacing w:val="8"/>
                <w:szCs w:val="21"/>
                <w:shd w:val="clear" w:color="auto" w:fill="FFFFFF"/>
              </w:rPr>
            </w:pPr>
            <w:r>
              <w:rPr>
                <w:rFonts w:hint="eastAsia" w:ascii="宋体" w:hAnsi="宋体" w:cs="宋体"/>
              </w:rPr>
              <w:t>宣传形式达到5种以上得满分，每减少</w:t>
            </w:r>
            <w:r>
              <w:rPr>
                <w:rFonts w:hint="eastAsia" w:ascii="宋体" w:hAnsi="宋体" w:cs="宋体"/>
                <w:kern w:val="0"/>
                <w:szCs w:val="21"/>
              </w:rPr>
              <w:t>1种扣1分。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kern w:val="0"/>
                <w:szCs w:val="21"/>
              </w:rPr>
            </w:pPr>
            <w:r>
              <w:rPr>
                <w:rFonts w:hint="eastAsia" w:ascii="宋体" w:hAnsi="宋体" w:cs="宋体"/>
                <w:kern w:val="0"/>
                <w:szCs w:val="21"/>
              </w:rPr>
              <w:t>新四进</w:t>
            </w:r>
          </w:p>
          <w:p>
            <w:pPr>
              <w:widowControl/>
              <w:snapToGrid w:val="0"/>
              <w:jc w:val="center"/>
              <w:rPr>
                <w:rFonts w:ascii="宋体" w:hAnsi="宋体" w:cs="宋体"/>
                <w:kern w:val="0"/>
                <w:szCs w:val="21"/>
              </w:rPr>
            </w:pPr>
            <w:r>
              <w:rPr>
                <w:rFonts w:hint="eastAsia" w:ascii="宋体" w:hAnsi="宋体" w:cs="宋体"/>
                <w:kern w:val="0"/>
                <w:szCs w:val="21"/>
              </w:rPr>
              <w:t>全覆盖</w:t>
            </w:r>
          </w:p>
          <w:p>
            <w:pPr>
              <w:widowControl/>
              <w:snapToGrid w:val="0"/>
              <w:jc w:val="center"/>
              <w:rPr>
                <w:rFonts w:ascii="宋体" w:hAnsi="宋体" w:eastAsia="宋体" w:cs="宋体"/>
                <w:spacing w:val="8"/>
                <w:szCs w:val="21"/>
                <w:shd w:val="clear" w:color="auto" w:fill="FFFFFF"/>
              </w:rPr>
            </w:pPr>
            <w:r>
              <w:rPr>
                <w:rFonts w:hint="eastAsia" w:ascii="宋体" w:hAnsi="宋体" w:cs="宋体"/>
              </w:rPr>
              <w:t>（4分</w:t>
            </w:r>
            <w:r>
              <w:rPr>
                <w:rFonts w:hint="eastAsia" w:ascii="宋体" w:hAnsi="宋体" w:cs="宋体"/>
                <w:kern w:val="0"/>
                <w:szCs w:val="21"/>
              </w:rPr>
              <w:t>）</w:t>
            </w:r>
          </w:p>
        </w:tc>
        <w:tc>
          <w:tcPr>
            <w:tcW w:w="5564" w:type="dxa"/>
            <w:vAlign w:val="center"/>
          </w:tcPr>
          <w:p>
            <w:pPr>
              <w:rPr>
                <w:rFonts w:ascii="宋体" w:hAnsi="宋体" w:eastAsia="宋体" w:cs="宋体"/>
                <w:spacing w:val="8"/>
                <w:szCs w:val="21"/>
                <w:shd w:val="clear" w:color="auto" w:fill="FFFFFF"/>
              </w:rPr>
            </w:pPr>
            <w:r>
              <w:rPr>
                <w:rFonts w:hint="eastAsia" w:ascii="宋体" w:hAnsi="宋体" w:cs="宋体"/>
              </w:rPr>
              <w:t>实现进广场、进景区、进公共文化场所、进高速服务区</w:t>
            </w:r>
            <w:r>
              <w:rPr>
                <w:rFonts w:hint="eastAsia" w:ascii="宋体" w:hAnsi="宋体" w:cs="宋体"/>
                <w:kern w:val="0"/>
                <w:szCs w:val="21"/>
              </w:rPr>
              <w:t>新四进全覆盖得满分，未达到全覆盖，每</w:t>
            </w:r>
            <w:r>
              <w:rPr>
                <w:rFonts w:hint="eastAsia" w:ascii="宋体" w:hAnsi="宋体" w:cs="宋体"/>
              </w:rPr>
              <w:t>少</w:t>
            </w:r>
            <w:r>
              <w:rPr>
                <w:rFonts w:hint="eastAsia" w:ascii="宋体" w:hAnsi="宋体" w:cs="宋体"/>
                <w:kern w:val="0"/>
                <w:szCs w:val="21"/>
              </w:rPr>
              <w:t>1项扣1分。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可持续</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影响</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（15分）</w:t>
            </w:r>
          </w:p>
        </w:tc>
        <w:tc>
          <w:tcPr>
            <w:tcW w:w="1258"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宣教次数</w:t>
            </w:r>
            <w:r>
              <w:rPr>
                <w:rFonts w:hint="eastAsia" w:ascii="宋体" w:hAnsi="宋体" w:cs="宋体"/>
              </w:rPr>
              <w:t>（5分</w:t>
            </w:r>
            <w:r>
              <w:rPr>
                <w:rFonts w:hint="eastAsia" w:ascii="宋体" w:hAnsi="宋体" w:cs="宋体"/>
                <w:kern w:val="0"/>
                <w:szCs w:val="21"/>
              </w:rPr>
              <w:t>）</w:t>
            </w:r>
          </w:p>
        </w:tc>
        <w:tc>
          <w:tcPr>
            <w:tcW w:w="5564" w:type="dxa"/>
            <w:vAlign w:val="center"/>
          </w:tcPr>
          <w:p>
            <w:pPr>
              <w:rPr>
                <w:rFonts w:ascii="宋体" w:hAnsi="宋体" w:eastAsia="宋体" w:cs="宋体"/>
                <w:spacing w:val="8"/>
                <w:szCs w:val="21"/>
                <w:shd w:val="clear" w:color="auto" w:fill="FFFFFF"/>
              </w:rPr>
            </w:pPr>
            <w:r>
              <w:rPr>
                <w:rFonts w:hint="eastAsia" w:ascii="宋体" w:hAnsi="宋体" w:cs="宋体"/>
                <w:szCs w:val="32"/>
              </w:rPr>
              <w:t>组织宣传教育活动1场</w:t>
            </w:r>
            <w:r>
              <w:rPr>
                <w:rFonts w:hint="eastAsia" w:ascii="宋体" w:hAnsi="宋体" w:cs="宋体"/>
              </w:rPr>
              <w:t>得0.1分，满分5分。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kern w:val="0"/>
                <w:szCs w:val="21"/>
              </w:rPr>
            </w:pPr>
            <w:r>
              <w:rPr>
                <w:rFonts w:hint="eastAsia" w:ascii="宋体" w:hAnsi="宋体" w:cs="宋体"/>
                <w:kern w:val="0"/>
                <w:szCs w:val="21"/>
              </w:rPr>
              <w:t>宣传</w:t>
            </w:r>
          </w:p>
          <w:p>
            <w:pPr>
              <w:widowControl/>
              <w:snapToGrid w:val="0"/>
              <w:jc w:val="center"/>
              <w:rPr>
                <w:rFonts w:ascii="宋体" w:hAnsi="宋体" w:cs="宋体"/>
                <w:kern w:val="0"/>
                <w:szCs w:val="21"/>
              </w:rPr>
            </w:pPr>
            <w:r>
              <w:rPr>
                <w:rFonts w:hint="eastAsia" w:ascii="宋体" w:hAnsi="宋体" w:cs="宋体"/>
                <w:kern w:val="0"/>
                <w:szCs w:val="21"/>
              </w:rPr>
              <w:t>覆盖率</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564" w:type="dxa"/>
            <w:vAlign w:val="center"/>
          </w:tcPr>
          <w:p>
            <w:pPr>
              <w:rPr>
                <w:rFonts w:ascii="宋体" w:hAnsi="宋体" w:eastAsia="宋体" w:cs="宋体"/>
                <w:spacing w:val="8"/>
                <w:szCs w:val="21"/>
                <w:shd w:val="clear" w:color="auto" w:fill="FFFFFF"/>
              </w:rPr>
            </w:pPr>
            <w:r>
              <w:rPr>
                <w:rFonts w:hint="eastAsia" w:ascii="宋体" w:hAnsi="宋体" w:cs="宋体"/>
                <w:szCs w:val="32"/>
              </w:rPr>
              <w:t>根据调查问卷，对于禁毒宣传的群众知晓率≥90%得满分，群众知晓率＜90%每降低1%扣1分，扣完为止。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宋体" w:hAnsi="宋体" w:cs="宋体"/>
                <w:kern w:val="0"/>
                <w:szCs w:val="21"/>
              </w:rPr>
            </w:pPr>
            <w:r>
              <w:rPr>
                <w:rFonts w:hint="eastAsia" w:ascii="宋体" w:hAnsi="宋体" w:cs="宋体"/>
                <w:kern w:val="0"/>
                <w:szCs w:val="21"/>
              </w:rPr>
              <w:t>社工队伍建设</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564" w:type="dxa"/>
            <w:vAlign w:val="center"/>
          </w:tcPr>
          <w:p>
            <w:pPr>
              <w:widowControl/>
              <w:snapToGrid w:val="0"/>
              <w:jc w:val="left"/>
              <w:rPr>
                <w:rFonts w:ascii="宋体" w:hAnsi="宋体" w:eastAsia="宋体" w:cs="宋体"/>
                <w:spacing w:val="8"/>
                <w:szCs w:val="21"/>
                <w:shd w:val="clear" w:color="auto" w:fill="FFFFFF"/>
              </w:rPr>
            </w:pPr>
            <w:r>
              <w:rPr>
                <w:rFonts w:hint="eastAsia" w:ascii="宋体" w:hAnsi="宋体" w:cs="宋体"/>
              </w:rPr>
              <w:t>社工队伍建设达到1</w:t>
            </w:r>
            <w:r>
              <w:rPr>
                <w:rFonts w:hint="eastAsia" w:ascii="宋体" w:hAnsi="宋体" w:cs="宋体"/>
                <w:lang w:val="en-US" w:eastAsia="zh-CN"/>
              </w:rPr>
              <w:t>3</w:t>
            </w:r>
            <w:r>
              <w:rPr>
                <w:rFonts w:hint="eastAsia" w:ascii="宋体" w:hAnsi="宋体" w:cs="宋体"/>
              </w:rPr>
              <w:t>名满分，未达到1</w:t>
            </w:r>
            <w:r>
              <w:rPr>
                <w:rFonts w:hint="eastAsia" w:ascii="宋体" w:hAnsi="宋体" w:cs="宋体"/>
                <w:lang w:val="en-US" w:eastAsia="zh-CN"/>
              </w:rPr>
              <w:t>3</w:t>
            </w:r>
            <w:r>
              <w:rPr>
                <w:rFonts w:hint="eastAsia" w:ascii="宋体" w:hAnsi="宋体" w:cs="宋体"/>
              </w:rPr>
              <w:t>名每少1名扣0.5分，扣完为止。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restart"/>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满意度</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（12分）</w:t>
            </w: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上级主管部门</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满意度</w:t>
            </w:r>
          </w:p>
          <w:p>
            <w:pPr>
              <w:widowControl/>
              <w:snapToGrid w:val="0"/>
              <w:jc w:val="center"/>
              <w:rPr>
                <w:rFonts w:ascii="宋体" w:hAnsi="宋体" w:eastAsia="宋体" w:cs="宋体"/>
                <w:spacing w:val="8"/>
                <w:szCs w:val="21"/>
                <w:shd w:val="clear" w:color="auto" w:fill="FFFFFF"/>
              </w:rPr>
            </w:pPr>
            <w:r>
              <w:t>（</w:t>
            </w:r>
            <w:r>
              <w:rPr>
                <w:rFonts w:hint="eastAsia" w:asciiTheme="minorEastAsia" w:hAnsiTheme="minorEastAsia" w:cstheme="minorEastAsia"/>
                <w:kern w:val="0"/>
                <w:szCs w:val="21"/>
              </w:rPr>
              <w:t>6分</w:t>
            </w:r>
            <w:r>
              <w:rPr>
                <w:rFonts w:hint="eastAsia" w:asciiTheme="majorEastAsia" w:hAnsiTheme="majorEastAsia" w:eastAsiaTheme="majorEastAsia" w:cstheme="majorEastAsia"/>
                <w:kern w:val="0"/>
                <w:szCs w:val="21"/>
              </w:rPr>
              <w:t>）</w:t>
            </w:r>
          </w:p>
        </w:tc>
        <w:tc>
          <w:tcPr>
            <w:tcW w:w="5564" w:type="dxa"/>
            <w:vAlign w:val="center"/>
          </w:tcPr>
          <w:p>
            <w:pPr>
              <w:widowControl/>
              <w:snapToGrid w:val="0"/>
              <w:jc w:val="left"/>
              <w:rPr>
                <w:rFonts w:ascii="宋体" w:hAnsi="宋体" w:eastAsia="宋体" w:cs="宋体"/>
                <w:spacing w:val="8"/>
                <w:szCs w:val="21"/>
              </w:rPr>
            </w:pPr>
            <w:r>
              <w:rPr>
                <w:rFonts w:hint="eastAsia" w:ascii="宋体" w:hAnsi="宋体"/>
                <w:kern w:val="0"/>
                <w:sz w:val="20"/>
                <w:szCs w:val="20"/>
              </w:rPr>
              <w:t>摘掉“禁毒重点关注地区”帽子得6分，未摘帽但获得市级（含）以上领导表扬得3分。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Merge w:val="continue"/>
          </w:tcPr>
          <w:p>
            <w:pPr>
              <w:jc w:val="center"/>
              <w:rPr>
                <w:rFonts w:ascii="宋体" w:hAnsi="宋体" w:eastAsia="宋体" w:cs="宋体"/>
                <w:b/>
                <w:bCs/>
                <w:color w:val="000000"/>
                <w:sz w:val="24"/>
                <w:szCs w:val="22"/>
              </w:rPr>
            </w:pPr>
          </w:p>
        </w:tc>
        <w:tc>
          <w:tcPr>
            <w:tcW w:w="1181" w:type="dxa"/>
            <w:vMerge w:val="continue"/>
            <w:vAlign w:val="center"/>
          </w:tcPr>
          <w:p>
            <w:pPr>
              <w:widowControl/>
              <w:snapToGrid w:val="0"/>
              <w:jc w:val="center"/>
              <w:rPr>
                <w:rFonts w:ascii="宋体" w:hAnsi="宋体" w:eastAsia="宋体" w:cs="宋体"/>
                <w:spacing w:val="8"/>
                <w:szCs w:val="21"/>
                <w:shd w:val="clear" w:color="auto" w:fill="FFFFFF"/>
              </w:rPr>
            </w:pPr>
          </w:p>
        </w:tc>
        <w:tc>
          <w:tcPr>
            <w:tcW w:w="1258" w:type="dxa"/>
            <w:vAlign w:val="center"/>
          </w:tcPr>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群众</w:t>
            </w:r>
          </w:p>
          <w:p>
            <w:pPr>
              <w:widowControl/>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满意度</w:t>
            </w:r>
          </w:p>
          <w:p>
            <w:pPr>
              <w:widowControl/>
              <w:snapToGrid w:val="0"/>
              <w:jc w:val="center"/>
              <w:rPr>
                <w:rFonts w:ascii="宋体" w:hAnsi="宋体" w:eastAsia="宋体" w:cs="宋体"/>
                <w:spacing w:val="8"/>
                <w:szCs w:val="21"/>
                <w:shd w:val="clear" w:color="auto" w:fill="FFFFFF"/>
              </w:rPr>
            </w:pPr>
            <w:r>
              <w:rPr>
                <w:rFonts w:hint="eastAsia" w:asciiTheme="minorEastAsia" w:hAnsiTheme="minorEastAsia" w:cstheme="minorEastAsia"/>
                <w:kern w:val="0"/>
                <w:szCs w:val="21"/>
              </w:rPr>
              <w:t>（6分）</w:t>
            </w:r>
          </w:p>
        </w:tc>
        <w:tc>
          <w:tcPr>
            <w:tcW w:w="5564" w:type="dxa"/>
            <w:vAlign w:val="center"/>
          </w:tcPr>
          <w:p>
            <w:pPr>
              <w:widowControl/>
              <w:snapToGrid w:val="0"/>
              <w:rPr>
                <w:rFonts w:ascii="宋体" w:hAnsi="宋体" w:eastAsia="宋体" w:cs="宋体"/>
                <w:spacing w:val="8"/>
                <w:szCs w:val="21"/>
              </w:rPr>
            </w:pPr>
            <w:r>
              <w:rPr>
                <w:rFonts w:hint="eastAsia" w:asciiTheme="minorEastAsia" w:hAnsiTheme="minorEastAsia" w:cstheme="minorEastAsia"/>
                <w:kern w:val="0"/>
                <w:szCs w:val="21"/>
              </w:rPr>
              <w:t>根据问卷调查数据打分，群众对禁毒宣传方式和力度</w:t>
            </w:r>
            <w:r>
              <w:rPr>
                <w:rFonts w:hint="eastAsia" w:asciiTheme="minorEastAsia" w:hAnsiTheme="minorEastAsia" w:cstheme="minorEastAsia"/>
                <w:kern w:val="0"/>
                <w:szCs w:val="21"/>
                <w:lang w:val="en-US" w:eastAsia="zh-CN"/>
              </w:rPr>
              <w:t>的</w:t>
            </w:r>
            <w:r>
              <w:rPr>
                <w:rFonts w:hint="eastAsia" w:asciiTheme="minorEastAsia" w:hAnsiTheme="minorEastAsia" w:cstheme="minorEastAsia"/>
                <w:kern w:val="0"/>
                <w:szCs w:val="21"/>
              </w:rPr>
              <w:t>满意度≥90%得满分，满意度＜90%，每降低2%扣1分，扣完为止。</w:t>
            </w:r>
          </w:p>
        </w:tc>
      </w:tr>
    </w:tbl>
    <w:p>
      <w:pPr>
        <w:spacing w:line="360" w:lineRule="auto"/>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3.绩效评价方法的选用</w:t>
      </w:r>
    </w:p>
    <w:p>
      <w:pPr>
        <w:pStyle w:val="4"/>
        <w:spacing w:line="360" w:lineRule="auto"/>
        <w:ind w:firstLine="480" w:firstLineChars="200"/>
        <w:rPr>
          <w:rFonts w:hAnsi="宋体" w:cs="宋体"/>
          <w:sz w:val="24"/>
          <w:szCs w:val="24"/>
        </w:rPr>
      </w:pPr>
      <w:r>
        <w:rPr>
          <w:rFonts w:hint="eastAsia" w:hAnsi="宋体" w:cs="宋体"/>
          <w:sz w:val="24"/>
          <w:szCs w:val="24"/>
        </w:rPr>
        <w:t>根据财政部</w:t>
      </w:r>
      <w:r>
        <w:rPr>
          <w:rFonts w:hint="eastAsia" w:hAnsi="宋体"/>
          <w:sz w:val="24"/>
        </w:rPr>
        <w:t>《项目支出绩效评价管理办法》</w:t>
      </w:r>
      <w:r>
        <w:rPr>
          <w:rFonts w:hint="eastAsia" w:hAnsi="宋体" w:cs="宋体"/>
          <w:sz w:val="24"/>
        </w:rPr>
        <w:t>（</w:t>
      </w:r>
      <w:r>
        <w:rPr>
          <w:rFonts w:hAnsi="宋体" w:cs="宋体"/>
          <w:sz w:val="24"/>
        </w:rPr>
        <w:t>财预〔2020〕10号</w:t>
      </w:r>
      <w:r>
        <w:rPr>
          <w:rFonts w:hint="eastAsia" w:hAnsi="宋体" w:cs="宋体"/>
          <w:sz w:val="24"/>
        </w:rPr>
        <w:t>）</w:t>
      </w:r>
      <w:r>
        <w:rPr>
          <w:rFonts w:hint="eastAsia" w:hAnsi="宋体" w:cs="宋体"/>
          <w:sz w:val="24"/>
          <w:szCs w:val="24"/>
        </w:rPr>
        <w:t>规定的绩效评价方法，泉州市丰泽区2019年度禁毒工作专项经费绩效评价主要采用比较法、公众评判法和目标评价法。</w:t>
      </w:r>
    </w:p>
    <w:p>
      <w:pPr>
        <w:pStyle w:val="4"/>
        <w:spacing w:line="360" w:lineRule="auto"/>
        <w:ind w:firstLine="480" w:firstLineChars="200"/>
        <w:rPr>
          <w:rFonts w:hAnsi="宋体" w:eastAsia="宋体" w:cs="宋体"/>
          <w:color w:val="000000"/>
          <w:sz w:val="24"/>
          <w:szCs w:val="24"/>
        </w:rPr>
      </w:pPr>
      <w:r>
        <w:rPr>
          <w:rFonts w:hint="eastAsia" w:hAnsi="宋体" w:cs="宋体"/>
          <w:sz w:val="24"/>
          <w:szCs w:val="24"/>
        </w:rPr>
        <w:t>（</w:t>
      </w:r>
      <w:r>
        <w:rPr>
          <w:rFonts w:hAnsi="宋体" w:cs="宋体"/>
          <w:sz w:val="24"/>
          <w:szCs w:val="24"/>
        </w:rPr>
        <w:t>1</w:t>
      </w:r>
      <w:r>
        <w:rPr>
          <w:rFonts w:hint="eastAsia" w:hAnsi="宋体" w:cs="宋体"/>
          <w:sz w:val="24"/>
          <w:szCs w:val="24"/>
        </w:rPr>
        <w:t>）</w:t>
      </w:r>
      <w:r>
        <w:rPr>
          <w:rFonts w:hAnsi="宋体" w:cs="宋体"/>
          <w:sz w:val="24"/>
          <w:szCs w:val="24"/>
        </w:rPr>
        <w:t>比较法</w:t>
      </w:r>
      <w:r>
        <w:rPr>
          <w:rFonts w:hint="eastAsia" w:hAnsi="宋体" w:cs="宋体"/>
          <w:sz w:val="24"/>
          <w:szCs w:val="24"/>
        </w:rPr>
        <w:t>。</w:t>
      </w:r>
      <w:r>
        <w:rPr>
          <w:rFonts w:hAnsi="宋体" w:cs="宋体"/>
          <w:sz w:val="24"/>
          <w:szCs w:val="24"/>
        </w:rPr>
        <w:t>指通过实际支出、实施效果等与绩效目标、历史情况、不同地区同类支出等的比较，综合分析绩效目标实现程度。</w:t>
      </w:r>
      <w:r>
        <w:rPr>
          <w:rFonts w:hint="eastAsia" w:hAnsi="宋体" w:eastAsia="宋体" w:cs="宋体"/>
          <w:color w:val="000000"/>
          <w:sz w:val="24"/>
          <w:szCs w:val="24"/>
        </w:rPr>
        <w:t>资金绩效评价将以项目单位年初所设绩效目标、</w:t>
      </w:r>
      <w:r>
        <w:rPr>
          <w:rFonts w:hint="eastAsia" w:hAnsi="宋体" w:cs="宋体"/>
          <w:sz w:val="24"/>
          <w:szCs w:val="24"/>
        </w:rPr>
        <w:t>《泉州市丰泽区禁毒委员会关于印发&lt;丰泽区2019年禁毒重点整治攻坚行动实施方案&gt;的通知》（泉丰禁委</w:t>
      </w:r>
      <w:r>
        <w:rPr>
          <w:rFonts w:hAnsi="宋体" w:cs="宋体"/>
          <w:sz w:val="24"/>
          <w:szCs w:val="24"/>
        </w:rPr>
        <w:t>〔201</w:t>
      </w:r>
      <w:r>
        <w:rPr>
          <w:rFonts w:hint="eastAsia" w:hAnsi="宋体" w:cs="宋体"/>
          <w:sz w:val="24"/>
          <w:szCs w:val="24"/>
        </w:rPr>
        <w:t>9</w:t>
      </w:r>
      <w:r>
        <w:rPr>
          <w:rFonts w:hAnsi="宋体" w:cs="宋体"/>
          <w:sz w:val="24"/>
          <w:szCs w:val="24"/>
        </w:rPr>
        <w:t>〕</w:t>
      </w:r>
      <w:r>
        <w:rPr>
          <w:rFonts w:hint="eastAsia" w:hAnsi="宋体" w:cs="宋体"/>
          <w:sz w:val="24"/>
          <w:szCs w:val="24"/>
        </w:rPr>
        <w:t>2</w:t>
      </w:r>
      <w:r>
        <w:rPr>
          <w:rFonts w:hAnsi="宋体" w:cs="宋体"/>
          <w:sz w:val="24"/>
          <w:szCs w:val="24"/>
        </w:rPr>
        <w:t>号</w:t>
      </w:r>
      <w:r>
        <w:rPr>
          <w:rFonts w:hint="eastAsia" w:hAnsi="宋体" w:cs="宋体"/>
          <w:sz w:val="24"/>
          <w:szCs w:val="24"/>
        </w:rPr>
        <w:t>）</w:t>
      </w:r>
      <w:r>
        <w:rPr>
          <w:rFonts w:hint="eastAsia" w:hAnsi="宋体" w:eastAsia="宋体" w:cs="宋体"/>
          <w:color w:val="000000"/>
          <w:sz w:val="24"/>
          <w:szCs w:val="24"/>
        </w:rPr>
        <w:t>要求为标准，将项目执行单位实际支出、产出数量和质量等与之比较，综合分析绩效目标实现程度。</w:t>
      </w:r>
    </w:p>
    <w:p>
      <w:pPr>
        <w:pStyle w:val="4"/>
        <w:spacing w:line="360" w:lineRule="auto"/>
        <w:ind w:firstLine="480" w:firstLineChars="200"/>
        <w:rPr>
          <w:rFonts w:hAnsi="宋体" w:eastAsia="宋体" w:cs="宋体"/>
          <w:color w:val="000000"/>
          <w:sz w:val="24"/>
          <w:szCs w:val="24"/>
        </w:rPr>
      </w:pPr>
      <w:r>
        <w:rPr>
          <w:rFonts w:hint="eastAsia" w:hAnsi="宋体" w:eastAsia="宋体" w:cs="宋体"/>
          <w:color w:val="000000"/>
          <w:sz w:val="24"/>
          <w:szCs w:val="24"/>
        </w:rPr>
        <w:t>（2）公众评判法。指通过专家评估、公众问卷及抽样调查等对财政资金效果进行评判，评价绩效目标实现程度。服务对象满意度即通过问卷调查方式获取相关数据资料。通过问卷回答情况了解服务对象的真实感受，从而对该专项资金支出的社会效益和满意度进行评判。</w:t>
      </w:r>
    </w:p>
    <w:p>
      <w:pPr>
        <w:pStyle w:val="4"/>
        <w:spacing w:line="360" w:lineRule="auto"/>
        <w:ind w:firstLine="480" w:firstLineChars="200"/>
        <w:rPr>
          <w:rFonts w:hAnsi="宋体" w:cs="宋体"/>
          <w:sz w:val="24"/>
          <w:szCs w:val="24"/>
        </w:rPr>
      </w:pPr>
      <w:r>
        <w:rPr>
          <w:rFonts w:hint="eastAsia" w:hAnsi="宋体" w:cs="宋体"/>
          <w:sz w:val="24"/>
          <w:szCs w:val="24"/>
        </w:rPr>
        <w:t>（3）</w:t>
      </w:r>
      <w:r>
        <w:rPr>
          <w:rFonts w:hAnsi="宋体" w:cs="宋体"/>
          <w:sz w:val="24"/>
          <w:szCs w:val="24"/>
        </w:rPr>
        <w:t>目标评价法</w:t>
      </w:r>
      <w:r>
        <w:rPr>
          <w:rFonts w:hint="eastAsia" w:hAnsi="宋体" w:cs="宋体"/>
          <w:sz w:val="24"/>
          <w:szCs w:val="24"/>
        </w:rPr>
        <w:t>。指</w:t>
      </w:r>
      <w:r>
        <w:rPr>
          <w:rFonts w:hAnsi="宋体" w:cs="宋体"/>
          <w:sz w:val="24"/>
          <w:szCs w:val="24"/>
        </w:rPr>
        <w:t>将当期经济效益或社会效益水平与其预先目标标准进行对比分析的方法</w:t>
      </w:r>
      <w:r>
        <w:rPr>
          <w:rFonts w:hint="eastAsia" w:hAnsi="宋体" w:cs="宋体"/>
          <w:sz w:val="24"/>
          <w:szCs w:val="24"/>
        </w:rPr>
        <w:t>。该方法主要用于社会效益和可持续影响的评价。</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4.评价标准</w:t>
      </w:r>
    </w:p>
    <w:p>
      <w:pPr>
        <w:pStyle w:val="4"/>
        <w:spacing w:line="360" w:lineRule="auto"/>
        <w:ind w:firstLine="480" w:firstLineChars="200"/>
        <w:rPr>
          <w:rFonts w:hAnsi="宋体" w:cs="宋体"/>
          <w:sz w:val="24"/>
          <w:szCs w:val="24"/>
        </w:rPr>
      </w:pPr>
      <w:r>
        <w:rPr>
          <w:rFonts w:hint="eastAsia" w:hAnsi="宋体" w:cs="宋体"/>
          <w:sz w:val="24"/>
          <w:szCs w:val="24"/>
        </w:rPr>
        <w:t>专项资金绩效评价标准是衡量专项资金绩效目标完成程度的尺度。依据财政部制定的</w:t>
      </w:r>
      <w:r>
        <w:rPr>
          <w:rFonts w:hint="eastAsia" w:hAnsi="宋体"/>
          <w:sz w:val="24"/>
        </w:rPr>
        <w:t>《项目支出绩效评价管理办法》</w:t>
      </w:r>
      <w:r>
        <w:rPr>
          <w:rFonts w:hint="eastAsia" w:hAnsi="宋体" w:cs="宋体"/>
          <w:sz w:val="24"/>
        </w:rPr>
        <w:t>（</w:t>
      </w:r>
      <w:r>
        <w:rPr>
          <w:rFonts w:hAnsi="宋体" w:cs="宋体"/>
          <w:sz w:val="24"/>
        </w:rPr>
        <w:t>财预〔2020〕10号</w:t>
      </w:r>
      <w:r>
        <w:rPr>
          <w:rFonts w:hint="eastAsia" w:hAnsi="宋体" w:cs="宋体"/>
          <w:sz w:val="24"/>
        </w:rPr>
        <w:t>）</w:t>
      </w:r>
      <w:r>
        <w:rPr>
          <w:rFonts w:hint="eastAsia" w:hAnsi="宋体" w:cs="宋体"/>
          <w:sz w:val="24"/>
          <w:szCs w:val="24"/>
        </w:rPr>
        <w:t>、福建省财政厅制定的《福建省财政支出绩效评价管理办法》（闽财绩</w:t>
      </w:r>
      <w:r>
        <w:rPr>
          <w:rFonts w:hAnsi="宋体" w:cs="宋体"/>
          <w:sz w:val="24"/>
          <w:szCs w:val="24"/>
        </w:rPr>
        <w:t>〔201</w:t>
      </w:r>
      <w:r>
        <w:rPr>
          <w:rFonts w:hint="eastAsia" w:hAnsi="宋体" w:cs="宋体"/>
          <w:sz w:val="24"/>
          <w:szCs w:val="24"/>
        </w:rPr>
        <w:t>5</w:t>
      </w:r>
      <w:r>
        <w:rPr>
          <w:rFonts w:hAnsi="宋体" w:cs="宋体"/>
          <w:sz w:val="24"/>
          <w:szCs w:val="24"/>
        </w:rPr>
        <w:t>〕</w:t>
      </w:r>
      <w:r>
        <w:rPr>
          <w:rFonts w:hint="eastAsia" w:hAnsi="宋体" w:cs="宋体"/>
          <w:sz w:val="24"/>
          <w:szCs w:val="24"/>
        </w:rPr>
        <w:t>4号）文件精神，绩效评价标准有以下4种：</w:t>
      </w:r>
    </w:p>
    <w:p>
      <w:pPr>
        <w:pStyle w:val="4"/>
        <w:spacing w:line="360" w:lineRule="auto"/>
        <w:ind w:firstLine="480" w:firstLineChars="200"/>
        <w:rPr>
          <w:rFonts w:hAnsi="宋体" w:cs="宋体"/>
          <w:sz w:val="24"/>
          <w:szCs w:val="24"/>
        </w:rPr>
      </w:pPr>
      <w:r>
        <w:rPr>
          <w:rFonts w:hint="eastAsia" w:hAnsi="宋体" w:cs="宋体"/>
          <w:sz w:val="24"/>
          <w:szCs w:val="24"/>
        </w:rPr>
        <w:t>（1）计划标准。是指以预先制定的目标、计划、预算、定额等数据作为评价的标准。</w:t>
      </w:r>
    </w:p>
    <w:p>
      <w:pPr>
        <w:pStyle w:val="4"/>
        <w:spacing w:line="360" w:lineRule="auto"/>
        <w:ind w:firstLine="480" w:firstLineChars="200"/>
        <w:rPr>
          <w:rFonts w:hAnsi="宋体" w:cs="宋体"/>
          <w:sz w:val="24"/>
          <w:szCs w:val="24"/>
        </w:rPr>
      </w:pPr>
      <w:r>
        <w:rPr>
          <w:rFonts w:hint="eastAsia" w:hAnsi="宋体" w:cs="宋体"/>
          <w:sz w:val="24"/>
          <w:szCs w:val="24"/>
        </w:rPr>
        <w:t>（2）行业标准。是指参照国家公布的行业指标数据制定的评价标准。</w:t>
      </w:r>
    </w:p>
    <w:p>
      <w:pPr>
        <w:pStyle w:val="4"/>
        <w:spacing w:line="360" w:lineRule="auto"/>
        <w:ind w:firstLine="480" w:firstLineChars="200"/>
        <w:rPr>
          <w:rFonts w:hAnsi="宋体" w:cs="宋体"/>
          <w:sz w:val="24"/>
          <w:szCs w:val="24"/>
        </w:rPr>
      </w:pPr>
      <w:r>
        <w:rPr>
          <w:rFonts w:hint="eastAsia" w:hAnsi="宋体" w:cs="宋体"/>
          <w:sz w:val="24"/>
          <w:szCs w:val="24"/>
        </w:rPr>
        <w:t>（3）历史标准。是指参照同类指标的历史数据制定的评价标准。</w:t>
      </w:r>
    </w:p>
    <w:p>
      <w:pPr>
        <w:pStyle w:val="4"/>
        <w:spacing w:line="360" w:lineRule="auto"/>
        <w:ind w:firstLine="480" w:firstLineChars="200"/>
        <w:rPr>
          <w:rFonts w:hAnsi="宋体" w:cs="宋体"/>
          <w:sz w:val="24"/>
          <w:szCs w:val="24"/>
        </w:rPr>
      </w:pPr>
      <w:r>
        <w:rPr>
          <w:rFonts w:hint="eastAsia" w:hAnsi="宋体" w:cs="宋体"/>
          <w:sz w:val="24"/>
          <w:szCs w:val="24"/>
        </w:rPr>
        <w:t>（4）其他经财政部门确认的标准。</w:t>
      </w:r>
    </w:p>
    <w:p>
      <w:pPr>
        <w:pStyle w:val="4"/>
        <w:spacing w:line="360" w:lineRule="auto"/>
        <w:ind w:firstLine="480" w:firstLineChars="200"/>
        <w:rPr>
          <w:rFonts w:hAnsi="宋体" w:cs="宋体"/>
          <w:sz w:val="24"/>
          <w:szCs w:val="24"/>
        </w:rPr>
      </w:pPr>
      <w:r>
        <w:rPr>
          <w:rFonts w:hint="eastAsia" w:hAnsi="宋体" w:cs="宋体"/>
          <w:sz w:val="24"/>
          <w:szCs w:val="24"/>
        </w:rPr>
        <w:t>工作组根据泉州市丰泽区2019年度禁毒工作专项经费项目实施的实际情况，主要采用计划标准和历史标准对该项目绩效目标完成度进行评价。</w:t>
      </w:r>
    </w:p>
    <w:p>
      <w:pPr>
        <w:pStyle w:val="10"/>
        <w:ind w:firstLine="562"/>
        <w:outlineLvl w:val="1"/>
      </w:pPr>
      <w:bookmarkStart w:id="6" w:name="_Toc28781"/>
      <w:r>
        <w:rPr>
          <w:rFonts w:hint="eastAsia"/>
        </w:rPr>
        <w:t>（三）绩效评价工作过程</w:t>
      </w:r>
      <w:bookmarkEnd w:id="6"/>
    </w:p>
    <w:p>
      <w:pPr>
        <w:pStyle w:val="4"/>
        <w:spacing w:line="360" w:lineRule="auto"/>
        <w:ind w:firstLine="480" w:firstLineChars="200"/>
        <w:rPr>
          <w:rFonts w:hAnsi="宋体" w:cs="宋体"/>
          <w:sz w:val="24"/>
          <w:szCs w:val="24"/>
        </w:rPr>
      </w:pPr>
      <w:r>
        <w:rPr>
          <w:rFonts w:hAnsi="宋体" w:cs="宋体"/>
          <w:sz w:val="24"/>
          <w:szCs w:val="24"/>
        </w:rPr>
        <w:t>20</w:t>
      </w:r>
      <w:r>
        <w:rPr>
          <w:rFonts w:hint="eastAsia" w:hAnsi="宋体" w:cs="宋体"/>
          <w:sz w:val="24"/>
          <w:szCs w:val="24"/>
        </w:rPr>
        <w:t>20年11月</w:t>
      </w:r>
      <w:r>
        <w:rPr>
          <w:rFonts w:hAnsi="宋体" w:cs="宋体"/>
          <w:sz w:val="24"/>
          <w:szCs w:val="24"/>
        </w:rPr>
        <w:t>1</w:t>
      </w:r>
      <w:r>
        <w:rPr>
          <w:rFonts w:hint="eastAsia" w:hAnsi="宋体" w:cs="宋体"/>
          <w:sz w:val="24"/>
          <w:szCs w:val="24"/>
        </w:rPr>
        <w:t>0日前，成立泉州市丰泽区2019年度禁毒工作专项经费绩效评价工作组，制定工作实施方案。</w:t>
      </w:r>
    </w:p>
    <w:p>
      <w:pPr>
        <w:pStyle w:val="4"/>
        <w:spacing w:line="360" w:lineRule="auto"/>
        <w:ind w:firstLine="480" w:firstLineChars="200"/>
        <w:rPr>
          <w:rFonts w:hAnsi="宋体" w:cs="宋体"/>
          <w:sz w:val="24"/>
          <w:szCs w:val="24"/>
        </w:rPr>
      </w:pPr>
      <w:r>
        <w:rPr>
          <w:rFonts w:hAnsi="宋体" w:cs="宋体"/>
          <w:sz w:val="24"/>
          <w:szCs w:val="24"/>
        </w:rPr>
        <w:t>20</w:t>
      </w:r>
      <w:r>
        <w:rPr>
          <w:rFonts w:hint="eastAsia" w:hAnsi="宋体" w:cs="宋体"/>
          <w:sz w:val="24"/>
          <w:szCs w:val="24"/>
        </w:rPr>
        <w:t>20年11月30日前，评价工作组开展实地调研座谈，采集数据资料。工作组前往丰泽区禁毒办进行调研座谈，查阅相关的档案、资料，抽取项目实地收集相关基础数据等。同时，组织工作组成员通过发放调查网络问卷或数据收集，获取服务对象满意度数据以及与项目执行后的社会效益相关的数据资料。</w:t>
      </w:r>
    </w:p>
    <w:p>
      <w:pPr>
        <w:pStyle w:val="4"/>
        <w:spacing w:line="360" w:lineRule="auto"/>
        <w:ind w:firstLine="480" w:firstLineChars="200"/>
        <w:rPr>
          <w:rFonts w:hAnsi="宋体" w:cs="宋体"/>
          <w:sz w:val="24"/>
          <w:szCs w:val="24"/>
        </w:rPr>
      </w:pPr>
      <w:r>
        <w:rPr>
          <w:rFonts w:hint="eastAsia" w:hAnsi="宋体" w:cs="宋体"/>
          <w:sz w:val="24"/>
          <w:szCs w:val="24"/>
        </w:rPr>
        <w:t>2020年12月5日前，拟定绩效评价指标体系，完成反馈和修改。工作组拟定各项目绩效评价指标体系，与丰泽区财政局、丰泽区禁毒办相关部门商讨指标体系，根据反馈意见，修订绩效评价指标体系。</w:t>
      </w:r>
    </w:p>
    <w:p>
      <w:pPr>
        <w:pStyle w:val="4"/>
        <w:spacing w:line="360" w:lineRule="auto"/>
        <w:ind w:firstLine="480" w:firstLineChars="200"/>
        <w:rPr>
          <w:rFonts w:hAnsi="宋体" w:cs="宋体"/>
          <w:sz w:val="24"/>
          <w:szCs w:val="24"/>
        </w:rPr>
      </w:pPr>
      <w:r>
        <w:rPr>
          <w:rFonts w:hint="eastAsia" w:hAnsi="宋体" w:cs="宋体"/>
          <w:sz w:val="24"/>
          <w:szCs w:val="24"/>
        </w:rPr>
        <w:t>2020年12月10日前，根据评价需要补充新的数据资料。根据修订后的指标体系以及初步评价过程中出现的新问题，与区禁毒办工作人员进行交流讨论，进一步搜集绩效评价所需的数据和资料。</w:t>
      </w:r>
    </w:p>
    <w:p>
      <w:pPr>
        <w:pStyle w:val="4"/>
        <w:spacing w:line="360" w:lineRule="auto"/>
        <w:ind w:firstLine="480" w:firstLineChars="200"/>
        <w:rPr>
          <w:rFonts w:hAnsi="宋体" w:cs="宋体"/>
          <w:sz w:val="24"/>
          <w:szCs w:val="24"/>
        </w:rPr>
      </w:pPr>
      <w:r>
        <w:rPr>
          <w:rFonts w:hint="eastAsia" w:hAnsi="宋体" w:cs="宋体"/>
          <w:sz w:val="24"/>
          <w:szCs w:val="24"/>
        </w:rPr>
        <w:t>2020年12月15日前，全面分析并撰写报告初稿。根据已确定的指标体系，对禁毒工作专项经费的使用情况、使用效益和服务对象满意度进行全面分析，并完成的绩效评价报告初稿。</w:t>
      </w:r>
    </w:p>
    <w:p>
      <w:pPr>
        <w:pStyle w:val="4"/>
        <w:spacing w:line="360" w:lineRule="auto"/>
        <w:ind w:firstLine="480" w:firstLineChars="200"/>
        <w:rPr>
          <w:rFonts w:hAnsi="宋体" w:cs="宋体"/>
          <w:sz w:val="24"/>
          <w:szCs w:val="24"/>
        </w:rPr>
      </w:pPr>
      <w:r>
        <w:rPr>
          <w:rFonts w:hint="eastAsia" w:hAnsi="宋体" w:cs="宋体"/>
          <w:sz w:val="24"/>
          <w:szCs w:val="24"/>
        </w:rPr>
        <w:t>2020年12月25日前，根据反馈意见修改并完成报告终稿。工作组向丰泽区财政局提交评价报告初稿，并征询财政局、区禁毒办等相关职能部门的意见，根据意见对初稿进行修改，完成各专项资金绩效评价报告。</w:t>
      </w:r>
    </w:p>
    <w:p>
      <w:pPr>
        <w:pStyle w:val="8"/>
        <w:spacing w:beforeLines="100" w:afterLines="100"/>
        <w:outlineLvl w:val="0"/>
      </w:pPr>
      <w:bookmarkStart w:id="7" w:name="_Toc15761"/>
      <w:r>
        <w:rPr>
          <w:rFonts w:hint="eastAsia" w:ascii="黑体" w:hAnsi="黑体" w:eastAsia="黑体" w:cs="黑体"/>
          <w:b w:val="0"/>
          <w:bCs/>
        </w:rPr>
        <w:t>三、综合评价情况及评价结论</w:t>
      </w:r>
      <w:bookmarkEnd w:id="7"/>
    </w:p>
    <w:p>
      <w:pPr>
        <w:spacing w:line="360" w:lineRule="auto"/>
        <w:ind w:firstLine="480" w:firstLineChars="200"/>
        <w:rPr>
          <w:rFonts w:ascii="宋体" w:hAnsi="宋体" w:cs="宋体"/>
          <w:sz w:val="24"/>
        </w:rPr>
      </w:pPr>
      <w:r>
        <w:rPr>
          <w:rFonts w:hint="eastAsia" w:ascii="宋体" w:hAnsi="宋体" w:cs="宋体"/>
          <w:sz w:val="24"/>
        </w:rPr>
        <w:t>泉州市丰泽区2019年度禁毒工作专项经费项目立项依据充分，资金到位及时，能有效开展禁毒宣传，让广大群众认识毒品的危害性，禁毒宣教室成为向青少年学生进行禁毒宣传教育的新窗口，禁毒宣传效果较好。由此可见，该项财政支出为广泛开展禁毒宣传、提高广大群众的拒毒防毒意识发挥了积极的作用。</w:t>
      </w:r>
    </w:p>
    <w:p>
      <w:pPr>
        <w:pStyle w:val="4"/>
        <w:spacing w:line="360" w:lineRule="auto"/>
        <w:ind w:firstLine="480" w:firstLineChars="200"/>
        <w:rPr>
          <w:rFonts w:ascii="黑体" w:hAnsi="黑体" w:eastAsia="黑体" w:cs="黑体"/>
          <w:bCs/>
          <w:color w:val="FF0000"/>
        </w:rPr>
      </w:pPr>
      <w:r>
        <w:rPr>
          <w:rFonts w:hint="eastAsia" w:hAnsi="宋体" w:cs="宋体"/>
          <w:sz w:val="24"/>
        </w:rPr>
        <w:t>经过工作组的审慎和科学评估，</w:t>
      </w:r>
      <w:r>
        <w:rPr>
          <w:rFonts w:hint="eastAsia" w:hAnsi="宋体" w:cs="宋体"/>
          <w:sz w:val="24"/>
          <w:szCs w:val="24"/>
        </w:rPr>
        <w:t>泉州市丰泽区2019年度禁毒工作专项经费</w:t>
      </w:r>
      <w:r>
        <w:rPr>
          <w:rFonts w:hint="eastAsia" w:hAnsi="宋体" w:cs="宋体"/>
          <w:sz w:val="24"/>
        </w:rPr>
        <w:t>绩效总得分9</w:t>
      </w:r>
      <w:r>
        <w:rPr>
          <w:rFonts w:hint="eastAsia" w:hAnsi="宋体" w:cs="宋体"/>
          <w:sz w:val="24"/>
          <w:lang w:val="en-US" w:eastAsia="zh-CN"/>
        </w:rPr>
        <w:t>3.4</w:t>
      </w:r>
      <w:r>
        <w:rPr>
          <w:rFonts w:hint="eastAsia" w:hAnsi="宋体" w:cs="宋体"/>
          <w:sz w:val="24"/>
        </w:rPr>
        <w:t>分，评价等级结果为优，分指标分析详见第四部分。</w:t>
      </w:r>
    </w:p>
    <w:p>
      <w:pPr>
        <w:pStyle w:val="8"/>
        <w:spacing w:beforeLines="100" w:afterLines="100"/>
        <w:outlineLvl w:val="0"/>
        <w:rPr>
          <w:rFonts w:ascii="黑体" w:hAnsi="黑体" w:eastAsia="黑体" w:cs="黑体"/>
          <w:b w:val="0"/>
          <w:bCs/>
        </w:rPr>
      </w:pPr>
      <w:bookmarkStart w:id="8" w:name="_Toc25902"/>
      <w:r>
        <w:rPr>
          <w:rFonts w:hint="eastAsia" w:ascii="黑体" w:hAnsi="黑体" w:eastAsia="黑体" w:cs="黑体"/>
          <w:b w:val="0"/>
          <w:bCs/>
        </w:rPr>
        <w:t>四、绩效评价指标分析</w:t>
      </w:r>
      <w:bookmarkEnd w:id="8"/>
    </w:p>
    <w:p>
      <w:pPr>
        <w:pStyle w:val="10"/>
        <w:ind w:firstLine="562"/>
        <w:outlineLvl w:val="1"/>
        <w:rPr>
          <w:rFonts w:asciiTheme="minorEastAsia" w:hAnsiTheme="minorEastAsia" w:eastAsiaTheme="minorEastAsia" w:cstheme="minorEastAsia"/>
        </w:rPr>
      </w:pPr>
      <w:bookmarkStart w:id="9" w:name="_Toc32240"/>
      <w:r>
        <w:rPr>
          <w:rFonts w:hint="eastAsia" w:asciiTheme="minorEastAsia" w:hAnsiTheme="minorEastAsia" w:eastAsiaTheme="minorEastAsia" w:cstheme="minorEastAsia"/>
        </w:rPr>
        <w:t>（一）项目决策情况得1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分（共18分）</w:t>
      </w:r>
      <w:bookmarkEnd w:id="9"/>
    </w:p>
    <w:p>
      <w:pPr>
        <w:pStyle w:val="4"/>
        <w:spacing w:line="360" w:lineRule="auto"/>
        <w:ind w:firstLine="480" w:firstLineChars="200"/>
        <w:rPr>
          <w:rFonts w:hAnsi="宋体" w:cs="宋体"/>
          <w:sz w:val="24"/>
        </w:rPr>
      </w:pPr>
      <w:r>
        <w:rPr>
          <w:rFonts w:hint="eastAsia" w:hAnsi="宋体" w:cs="宋体"/>
          <w:sz w:val="24"/>
        </w:rPr>
        <w:t>一级指标“决策”下设“项目立项”“绩效目标”“资金投入”三个二级指标。</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1.“项目立项”得6分（共6分）</w:t>
      </w:r>
    </w:p>
    <w:p>
      <w:pPr>
        <w:pStyle w:val="4"/>
        <w:spacing w:line="360" w:lineRule="auto"/>
        <w:ind w:firstLine="480" w:firstLineChars="200"/>
        <w:rPr>
          <w:rFonts w:hAnsi="宋体" w:cs="宋体"/>
          <w:sz w:val="24"/>
        </w:rPr>
      </w:pPr>
      <w:r>
        <w:rPr>
          <w:rFonts w:hint="eastAsia" w:hAnsi="宋体" w:cs="宋体"/>
          <w:sz w:val="24"/>
        </w:rPr>
        <w:t>“项目立项”通过“立项依据充分性”、“立项程序规范性”二个三级指标进行评价。</w:t>
      </w:r>
    </w:p>
    <w:p>
      <w:pPr>
        <w:pStyle w:val="4"/>
        <w:spacing w:line="360" w:lineRule="auto"/>
        <w:ind w:firstLine="480" w:firstLineChars="200"/>
        <w:rPr>
          <w:rFonts w:hAnsi="宋体" w:cs="宋体"/>
          <w:sz w:val="24"/>
        </w:rPr>
      </w:pPr>
      <w:r>
        <w:rPr>
          <w:rFonts w:hint="eastAsia" w:hAnsi="宋体" w:cs="宋体"/>
          <w:sz w:val="24"/>
        </w:rPr>
        <w:t>①立项依据充分性得3分（共3分）</w:t>
      </w:r>
    </w:p>
    <w:p>
      <w:pPr>
        <w:pStyle w:val="4"/>
        <w:spacing w:line="360" w:lineRule="auto"/>
        <w:ind w:firstLine="480" w:firstLineChars="200"/>
        <w:rPr>
          <w:rFonts w:hAnsi="宋体" w:cs="宋体"/>
          <w:sz w:val="24"/>
        </w:rPr>
      </w:pPr>
      <w:r>
        <w:rPr>
          <w:rFonts w:hint="eastAsia" w:hAnsi="宋体" w:cs="宋体"/>
          <w:sz w:val="24"/>
        </w:rPr>
        <w:t>“立项依据充分性”方面，禁毒工作专项经费项目立项是贯彻落实上级对丰泽区禁毒工作的批示精神，解决“毒品问题严重地区重点关注地区”摘帽问题，符合丰泽区政府与区禁毒办的工作任务需要；属于公共财政支持范围，符合中央、地方事权支出责任划分原则，该项目按照规定程序申请立项，依据充分，该项指标可得满分3分。</w:t>
      </w:r>
    </w:p>
    <w:p>
      <w:pPr>
        <w:pStyle w:val="4"/>
        <w:spacing w:line="360" w:lineRule="auto"/>
        <w:ind w:firstLine="480" w:firstLineChars="200"/>
        <w:rPr>
          <w:rFonts w:hAnsi="宋体" w:cs="宋体"/>
          <w:sz w:val="24"/>
        </w:rPr>
      </w:pPr>
      <w:r>
        <w:rPr>
          <w:rFonts w:hint="eastAsia" w:hAnsi="宋体" w:cs="宋体"/>
          <w:sz w:val="24"/>
        </w:rPr>
        <w:t>②立项程序规范性得3分（共3分）</w:t>
      </w:r>
    </w:p>
    <w:p>
      <w:pPr>
        <w:pStyle w:val="4"/>
        <w:spacing w:line="360" w:lineRule="auto"/>
        <w:ind w:firstLine="480" w:firstLineChars="200"/>
        <w:rPr>
          <w:rFonts w:hAnsi="宋体" w:cs="宋体"/>
          <w:sz w:val="24"/>
        </w:rPr>
      </w:pPr>
      <w:r>
        <w:rPr>
          <w:rFonts w:hint="eastAsia" w:hAnsi="宋体" w:cs="宋体"/>
          <w:sz w:val="24"/>
        </w:rPr>
        <w:t>“立项程序规范性”方面，该项支出经费的下拨严格按照泉州市丰泽区财政局文件《2019年财政性禁毒工作经费保障情况》的规定程序申请设立，审批文件齐全，经过必要的评估论证与集体决策，此项指标可得满分3分。</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2.绩效目标得4分（共6分）</w:t>
      </w:r>
    </w:p>
    <w:p>
      <w:pPr>
        <w:pStyle w:val="4"/>
        <w:spacing w:line="360" w:lineRule="auto"/>
        <w:ind w:firstLine="480" w:firstLineChars="200"/>
        <w:rPr>
          <w:rFonts w:hAnsi="宋体" w:cs="宋体"/>
          <w:sz w:val="24"/>
        </w:rPr>
      </w:pPr>
      <w:r>
        <w:rPr>
          <w:rFonts w:hint="eastAsia" w:hAnsi="宋体" w:cs="宋体"/>
          <w:sz w:val="24"/>
        </w:rPr>
        <w:t>“绩效目标”从“绩效目标合理性”、“绩效指标明确性”二个三级指标进行评价。</w:t>
      </w:r>
    </w:p>
    <w:p>
      <w:pPr>
        <w:pStyle w:val="4"/>
        <w:spacing w:line="360" w:lineRule="auto"/>
        <w:ind w:firstLine="480" w:firstLineChars="200"/>
        <w:rPr>
          <w:rFonts w:hAnsi="宋体" w:cs="宋体"/>
          <w:sz w:val="24"/>
        </w:rPr>
      </w:pPr>
      <w:r>
        <w:rPr>
          <w:rFonts w:hint="eastAsia" w:hAnsi="宋体" w:cs="宋体"/>
          <w:sz w:val="24"/>
        </w:rPr>
        <w:t>①绩效目标合理性得3分（共4分）</w:t>
      </w:r>
    </w:p>
    <w:p>
      <w:pPr>
        <w:pStyle w:val="4"/>
        <w:spacing w:line="360" w:lineRule="auto"/>
        <w:ind w:firstLine="480" w:firstLineChars="200"/>
        <w:rPr>
          <w:rFonts w:hAnsi="宋体" w:cs="宋体"/>
          <w:sz w:val="24"/>
          <w:szCs w:val="24"/>
        </w:rPr>
      </w:pPr>
      <w:r>
        <w:rPr>
          <w:rFonts w:hint="eastAsia" w:hAnsi="宋体" w:cs="宋体"/>
          <w:sz w:val="24"/>
        </w:rPr>
        <w:t>“绩效目标合理性”评价项目绩效目标的设置情况</w:t>
      </w:r>
      <w:r>
        <w:rPr>
          <w:rFonts w:hint="eastAsia" w:hAnsi="宋体" w:cs="宋体"/>
          <w:sz w:val="24"/>
          <w:szCs w:val="24"/>
        </w:rPr>
        <w:t>。丰泽区禁毒办对2019年度禁毒工作专项经费开展自评，对产出、效益和满意度等目标分类进行细化，共设置了8个绩效目标，目标设置情况如表3所示，其中“成本目标”的设置不够合理，因为街道工作站和学校禁毒宣教室补助金额是根据相关文件规定给予街道和学校相应补助，实际建设经费远高于补助经费，设置为成本目标并不妥当。此外，该项工作经费注重可持续影响，但未设置该项指标的相应目标值。</w:t>
      </w:r>
      <w:r>
        <w:rPr>
          <w:rFonts w:hint="eastAsia" w:hAnsi="宋体" w:cs="宋体"/>
          <w:sz w:val="24"/>
        </w:rPr>
        <w:t>“绩效目标合理性”</w:t>
      </w:r>
      <w:r>
        <w:rPr>
          <w:rFonts w:hint="eastAsia" w:hAnsi="宋体" w:cs="宋体"/>
          <w:sz w:val="24"/>
          <w:szCs w:val="24"/>
        </w:rPr>
        <w:t>扣1分，得3分。</w:t>
      </w:r>
    </w:p>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表3  2019年度禁毒工作专项经费自评指标设置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712"/>
        <w:gridCol w:w="3736"/>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目标分类</w:t>
            </w:r>
          </w:p>
        </w:tc>
        <w:tc>
          <w:tcPr>
            <w:tcW w:w="1712" w:type="dxa"/>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分类细化</w:t>
            </w:r>
          </w:p>
        </w:tc>
        <w:tc>
          <w:tcPr>
            <w:tcW w:w="3736" w:type="dxa"/>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绩效目标内容</w:t>
            </w:r>
          </w:p>
        </w:tc>
        <w:tc>
          <w:tcPr>
            <w:tcW w:w="2064" w:type="dxa"/>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92" w:type="dxa"/>
            <w:vMerge w:val="restart"/>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产出指标</w:t>
            </w:r>
          </w:p>
        </w:tc>
        <w:tc>
          <w:tcPr>
            <w:tcW w:w="1712" w:type="dxa"/>
            <w:vMerge w:val="restart"/>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数量目标</w:t>
            </w: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街道创建社区戒毒社区康复工作站</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92" w:type="dxa"/>
            <w:vMerge w:val="continue"/>
            <w:vAlign w:val="center"/>
          </w:tcPr>
          <w:p>
            <w:pPr>
              <w:pStyle w:val="4"/>
              <w:spacing w:line="360" w:lineRule="auto"/>
              <w:jc w:val="center"/>
              <w:rPr>
                <w:rFonts w:hAnsi="宋体" w:eastAsia="宋体" w:cs="宋体"/>
                <w:b/>
                <w:bCs/>
                <w:color w:val="000000"/>
                <w:sz w:val="24"/>
                <w:szCs w:val="22"/>
              </w:rPr>
            </w:pPr>
          </w:p>
        </w:tc>
        <w:tc>
          <w:tcPr>
            <w:tcW w:w="1712" w:type="dxa"/>
            <w:vMerge w:val="continue"/>
            <w:vAlign w:val="center"/>
          </w:tcPr>
          <w:p>
            <w:pPr>
              <w:jc w:val="center"/>
              <w:rPr>
                <w:rFonts w:ascii="宋体" w:hAnsi="宋体" w:eastAsia="宋体" w:cs="宋体"/>
                <w:spacing w:val="8"/>
                <w:szCs w:val="21"/>
                <w:shd w:val="clear" w:color="auto" w:fill="FFFFFF"/>
              </w:rPr>
            </w:pP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创建林则徐禁毒宣教室</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pPr>
              <w:pStyle w:val="4"/>
              <w:spacing w:line="360" w:lineRule="auto"/>
              <w:jc w:val="center"/>
              <w:rPr>
                <w:rFonts w:hAnsi="宋体" w:eastAsia="宋体" w:cs="宋体"/>
                <w:b/>
                <w:bCs/>
                <w:color w:val="000000"/>
                <w:sz w:val="24"/>
                <w:szCs w:val="22"/>
              </w:rPr>
            </w:pPr>
          </w:p>
        </w:tc>
        <w:tc>
          <w:tcPr>
            <w:tcW w:w="1712" w:type="dxa"/>
            <w:vMerge w:val="restart"/>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成本目标</w:t>
            </w: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街道工作站补助经费</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pPr>
              <w:pStyle w:val="4"/>
              <w:spacing w:line="360" w:lineRule="auto"/>
              <w:jc w:val="center"/>
              <w:rPr>
                <w:rFonts w:hAnsi="宋体" w:eastAsia="宋体" w:cs="宋体"/>
                <w:b/>
                <w:bCs/>
                <w:color w:val="000000"/>
                <w:sz w:val="24"/>
                <w:szCs w:val="22"/>
              </w:rPr>
            </w:pPr>
          </w:p>
        </w:tc>
        <w:tc>
          <w:tcPr>
            <w:tcW w:w="1712" w:type="dxa"/>
            <w:vMerge w:val="continue"/>
            <w:vAlign w:val="center"/>
          </w:tcPr>
          <w:p>
            <w:pPr>
              <w:jc w:val="center"/>
              <w:rPr>
                <w:rFonts w:ascii="宋体" w:hAnsi="宋体" w:eastAsia="宋体" w:cs="宋体"/>
                <w:spacing w:val="8"/>
                <w:szCs w:val="21"/>
                <w:shd w:val="clear" w:color="auto" w:fill="FFFFFF"/>
              </w:rPr>
            </w:pP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学校禁毒宣教室补助经费</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2万/所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restart"/>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效益指标</w:t>
            </w:r>
          </w:p>
        </w:tc>
        <w:tc>
          <w:tcPr>
            <w:tcW w:w="1712" w:type="dxa"/>
            <w:vMerge w:val="restart"/>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社会效益目标</w:t>
            </w: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创建10所林则徐禁毒宣教室</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提高对青少年毒品预防教育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pPr>
              <w:pStyle w:val="4"/>
              <w:spacing w:line="360" w:lineRule="auto"/>
              <w:jc w:val="center"/>
              <w:rPr>
                <w:rFonts w:hAnsi="宋体" w:eastAsia="宋体" w:cs="宋体"/>
                <w:b/>
                <w:bCs/>
                <w:color w:val="000000"/>
                <w:sz w:val="24"/>
                <w:szCs w:val="22"/>
              </w:rPr>
            </w:pPr>
          </w:p>
        </w:tc>
        <w:tc>
          <w:tcPr>
            <w:tcW w:w="1712" w:type="dxa"/>
            <w:vMerge w:val="continue"/>
            <w:vAlign w:val="center"/>
          </w:tcPr>
          <w:p>
            <w:pPr>
              <w:jc w:val="center"/>
              <w:rPr>
                <w:rFonts w:ascii="宋体" w:hAnsi="宋体" w:eastAsia="宋体" w:cs="宋体"/>
                <w:spacing w:val="8"/>
                <w:szCs w:val="21"/>
                <w:shd w:val="clear" w:color="auto" w:fill="FFFFFF"/>
              </w:rPr>
            </w:pP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建设丰泽区林则徐禁毒教育基地</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提高群众对毒品的认知和毒品的危害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Merge w:val="continue"/>
            <w:vAlign w:val="center"/>
          </w:tcPr>
          <w:p>
            <w:pPr>
              <w:pStyle w:val="4"/>
              <w:spacing w:line="360" w:lineRule="auto"/>
              <w:jc w:val="center"/>
              <w:rPr>
                <w:rFonts w:hAnsi="宋体" w:eastAsia="宋体" w:cs="宋体"/>
                <w:b/>
                <w:bCs/>
                <w:color w:val="000000"/>
                <w:sz w:val="24"/>
                <w:szCs w:val="22"/>
              </w:rPr>
            </w:pPr>
          </w:p>
        </w:tc>
        <w:tc>
          <w:tcPr>
            <w:tcW w:w="1712" w:type="dxa"/>
            <w:vMerge w:val="continue"/>
            <w:vAlign w:val="center"/>
          </w:tcPr>
          <w:p>
            <w:pPr>
              <w:widowControl/>
              <w:jc w:val="center"/>
              <w:textAlignment w:val="center"/>
              <w:rPr>
                <w:rFonts w:ascii="宋体" w:hAnsi="宋体" w:eastAsia="宋体" w:cs="宋体"/>
                <w:color w:val="000000"/>
                <w:kern w:val="0"/>
                <w:sz w:val="18"/>
                <w:szCs w:val="18"/>
              </w:rPr>
            </w:pP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开展各型禁毒宣传活动</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泉丰禁办〔2019〕17号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4"/>
              <w:spacing w:line="360" w:lineRule="auto"/>
              <w:jc w:val="center"/>
              <w:rPr>
                <w:rFonts w:hAnsi="宋体" w:eastAsia="宋体" w:cs="宋体"/>
                <w:b/>
                <w:bCs/>
                <w:color w:val="000000"/>
                <w:sz w:val="24"/>
                <w:szCs w:val="22"/>
              </w:rPr>
            </w:pPr>
            <w:r>
              <w:rPr>
                <w:rFonts w:hint="eastAsia" w:hAnsi="宋体" w:eastAsia="宋体" w:cs="宋体"/>
                <w:b/>
                <w:bCs/>
                <w:color w:val="000000"/>
                <w:sz w:val="24"/>
                <w:szCs w:val="22"/>
              </w:rPr>
              <w:t>满意度指标</w:t>
            </w:r>
          </w:p>
        </w:tc>
        <w:tc>
          <w:tcPr>
            <w:tcW w:w="1712" w:type="dxa"/>
            <w:vAlign w:val="center"/>
          </w:tcPr>
          <w:p>
            <w:pPr>
              <w:widowControl/>
              <w:jc w:val="center"/>
              <w:textAlignment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服务对象满意度指标</w:t>
            </w:r>
          </w:p>
        </w:tc>
        <w:tc>
          <w:tcPr>
            <w:tcW w:w="3736"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收到投诉件</w:t>
            </w:r>
          </w:p>
        </w:tc>
        <w:tc>
          <w:tcPr>
            <w:tcW w:w="2064"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0件</w:t>
            </w:r>
          </w:p>
        </w:tc>
      </w:tr>
    </w:tbl>
    <w:p>
      <w:pPr>
        <w:pStyle w:val="4"/>
        <w:spacing w:line="360" w:lineRule="auto"/>
        <w:ind w:firstLine="480" w:firstLineChars="200"/>
        <w:rPr>
          <w:rFonts w:hAnsi="宋体" w:cs="宋体"/>
          <w:sz w:val="24"/>
          <w:szCs w:val="24"/>
        </w:rPr>
      </w:pPr>
      <w:r>
        <w:rPr>
          <w:rFonts w:hint="eastAsia" w:hAnsi="宋体" w:cs="宋体"/>
          <w:sz w:val="24"/>
          <w:szCs w:val="24"/>
        </w:rPr>
        <w:t>②绩效指标明确性得1分（共2分）</w:t>
      </w:r>
    </w:p>
    <w:p>
      <w:pPr>
        <w:pStyle w:val="4"/>
        <w:spacing w:line="360" w:lineRule="auto"/>
        <w:ind w:firstLine="480" w:firstLineChars="200"/>
        <w:rPr>
          <w:rFonts w:hAnsi="宋体" w:cs="宋体"/>
          <w:sz w:val="24"/>
          <w:szCs w:val="24"/>
        </w:rPr>
      </w:pPr>
      <w:r>
        <w:rPr>
          <w:rFonts w:hint="eastAsia" w:hAnsi="宋体" w:cs="宋体"/>
          <w:sz w:val="24"/>
          <w:szCs w:val="24"/>
        </w:rPr>
        <w:t>“绩效指标明确性”评价项目绩效目标是否将绩效目标细化分解为具体的工作任务；是否通过清晰、可衡量的指标值予以体现。如表3所示，自评表中“社会效益目标”全部为定性目标，缺少定量目标，目标值不够清晰、难以衡量。该项指标扣1分，得1分。</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3.资金投入得</w:t>
      </w:r>
      <w:r>
        <w:rPr>
          <w:rFonts w:hint="eastAsia" w:ascii="宋体" w:hAnsi="宋体" w:eastAsia="宋体" w:cs="宋体"/>
          <w:b/>
          <w:bCs/>
          <w:color w:val="000000"/>
          <w:sz w:val="24"/>
          <w:szCs w:val="22"/>
          <w:lang w:val="en-US" w:eastAsia="zh-CN"/>
        </w:rPr>
        <w:t>5</w:t>
      </w:r>
      <w:r>
        <w:rPr>
          <w:rFonts w:hint="eastAsia" w:ascii="宋体" w:hAnsi="宋体" w:eastAsia="宋体" w:cs="宋体"/>
          <w:b/>
          <w:bCs/>
          <w:color w:val="000000"/>
          <w:sz w:val="24"/>
          <w:szCs w:val="22"/>
        </w:rPr>
        <w:t>分（共6分）</w:t>
      </w:r>
    </w:p>
    <w:p>
      <w:pPr>
        <w:pStyle w:val="4"/>
        <w:spacing w:line="360" w:lineRule="auto"/>
        <w:ind w:firstLine="480" w:firstLineChars="200"/>
        <w:rPr>
          <w:rFonts w:hAnsi="宋体" w:cs="宋体"/>
          <w:sz w:val="24"/>
        </w:rPr>
      </w:pPr>
      <w:r>
        <w:rPr>
          <w:rFonts w:hint="eastAsia" w:hAnsi="宋体" w:cs="宋体"/>
          <w:sz w:val="24"/>
        </w:rPr>
        <w:t>“资金投入”从“</w:t>
      </w:r>
      <w:r>
        <w:rPr>
          <w:rFonts w:hint="eastAsia" w:hAnsi="宋体" w:cs="宋体"/>
          <w:sz w:val="24"/>
          <w:szCs w:val="24"/>
        </w:rPr>
        <w:t>预算编制科学性</w:t>
      </w:r>
      <w:r>
        <w:rPr>
          <w:rFonts w:hint="eastAsia" w:hAnsi="宋体" w:cs="宋体"/>
          <w:sz w:val="24"/>
        </w:rPr>
        <w:t>”、“</w:t>
      </w:r>
      <w:r>
        <w:rPr>
          <w:rFonts w:hint="eastAsia" w:hAnsi="宋体" w:cs="宋体"/>
          <w:sz w:val="24"/>
          <w:szCs w:val="24"/>
        </w:rPr>
        <w:t>资金分配合理性</w:t>
      </w:r>
      <w:r>
        <w:rPr>
          <w:rFonts w:hint="eastAsia" w:hAnsi="宋体" w:cs="宋体"/>
          <w:sz w:val="24"/>
        </w:rPr>
        <w:t>”二个三级指标进行评价。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①预算编制科学性得2分（共2分）</w:t>
      </w:r>
    </w:p>
    <w:p>
      <w:pPr>
        <w:pStyle w:val="4"/>
        <w:spacing w:line="360" w:lineRule="auto"/>
        <w:ind w:firstLine="480" w:firstLineChars="200"/>
        <w:rPr>
          <w:rFonts w:hAnsi="宋体" w:cs="宋体"/>
          <w:sz w:val="24"/>
          <w:szCs w:val="24"/>
        </w:rPr>
      </w:pPr>
      <w:r>
        <w:rPr>
          <w:rFonts w:hint="eastAsia" w:hAnsi="宋体" w:cs="宋体"/>
          <w:sz w:val="24"/>
          <w:szCs w:val="24"/>
        </w:rPr>
        <w:t>“预算编制科学性”评价用于评价预算编制情况。因禁毒工作专项经费主要用于各街道社区（学校）禁毒宣传基地、工作站等建设补助，预算内容与项目内容相匹配，预算确定的项目投资额或资金量基本与工作任务相匹配。该项指标满分2分，得2分。</w:t>
      </w:r>
    </w:p>
    <w:p>
      <w:pPr>
        <w:pStyle w:val="4"/>
        <w:spacing w:line="360" w:lineRule="auto"/>
        <w:ind w:firstLine="480" w:firstLineChars="200"/>
        <w:rPr>
          <w:rFonts w:hAnsi="宋体" w:cs="宋体"/>
          <w:sz w:val="24"/>
          <w:szCs w:val="24"/>
        </w:rPr>
      </w:pPr>
      <w:r>
        <w:rPr>
          <w:rFonts w:hint="eastAsia" w:hAnsi="宋体" w:cs="宋体"/>
          <w:sz w:val="24"/>
          <w:szCs w:val="24"/>
        </w:rPr>
        <w:t>②资金分配合理性得</w:t>
      </w:r>
      <w:r>
        <w:rPr>
          <w:rFonts w:hint="eastAsia" w:hAnsi="宋体" w:cs="宋体"/>
          <w:sz w:val="24"/>
          <w:szCs w:val="24"/>
          <w:lang w:val="en-US" w:eastAsia="zh-CN"/>
        </w:rPr>
        <w:t>3</w:t>
      </w:r>
      <w:r>
        <w:rPr>
          <w:rFonts w:hint="eastAsia" w:hAnsi="宋体" w:cs="宋体"/>
          <w:sz w:val="24"/>
          <w:szCs w:val="24"/>
        </w:rPr>
        <w:t>分（共4分）</w:t>
      </w:r>
    </w:p>
    <w:p>
      <w:pPr>
        <w:pStyle w:val="4"/>
        <w:spacing w:line="360" w:lineRule="auto"/>
        <w:ind w:firstLine="480" w:firstLineChars="200"/>
        <w:rPr>
          <w:rFonts w:hAnsi="宋体" w:cs="宋体"/>
          <w:sz w:val="24"/>
          <w:szCs w:val="24"/>
        </w:rPr>
      </w:pPr>
      <w:r>
        <w:rPr>
          <w:rFonts w:hint="eastAsia" w:hAnsi="宋体" w:cs="宋体"/>
          <w:sz w:val="24"/>
          <w:szCs w:val="24"/>
        </w:rPr>
        <w:t>“资金分配合理性”评价</w:t>
      </w:r>
      <w:r>
        <w:rPr>
          <w:rFonts w:hint="eastAsia" w:hAnsi="宋体" w:eastAsia="宋体" w:cs="宋体"/>
          <w:sz w:val="24"/>
          <w:szCs w:val="24"/>
        </w:rPr>
        <w:t>财政资金在具体项目中的分配情况。</w:t>
      </w:r>
      <w:r>
        <w:rPr>
          <w:rFonts w:hint="eastAsia" w:hAnsi="宋体" w:cs="宋体"/>
          <w:sz w:val="24"/>
          <w:szCs w:val="24"/>
        </w:rPr>
        <w:t>禁毒工作专项经费中的宣传基地建设补助经费基本上按照各街道社区（学校）禁毒宣传基地、工作站的建设需求和街道社区收入情况予以分配补助，</w:t>
      </w:r>
      <w:r>
        <w:rPr>
          <w:rFonts w:hint="eastAsia" w:hAnsi="宋体" w:cs="宋体"/>
          <w:sz w:val="24"/>
          <w:szCs w:val="24"/>
          <w:lang w:val="en-US" w:eastAsia="zh-CN"/>
        </w:rPr>
        <w:t>但是总体经费分配上在办案经费投入相对较少，宣传与办案工作的</w:t>
      </w:r>
      <w:r>
        <w:rPr>
          <w:rFonts w:hint="eastAsia" w:hAnsi="宋体" w:cs="宋体"/>
          <w:sz w:val="24"/>
          <w:szCs w:val="24"/>
        </w:rPr>
        <w:t>资金分配</w:t>
      </w:r>
      <w:r>
        <w:rPr>
          <w:rFonts w:hint="eastAsia" w:hAnsi="宋体" w:cs="宋体"/>
          <w:sz w:val="24"/>
          <w:szCs w:val="24"/>
          <w:lang w:val="en-US" w:eastAsia="zh-CN"/>
        </w:rPr>
        <w:t>不够</w:t>
      </w:r>
      <w:r>
        <w:rPr>
          <w:rFonts w:hint="eastAsia" w:hAnsi="宋体" w:cs="宋体"/>
          <w:sz w:val="24"/>
          <w:szCs w:val="24"/>
        </w:rPr>
        <w:t>合理。该项指标</w:t>
      </w:r>
      <w:r>
        <w:rPr>
          <w:rFonts w:hint="eastAsia" w:hAnsi="宋体" w:cs="宋体"/>
          <w:sz w:val="24"/>
          <w:szCs w:val="24"/>
          <w:lang w:val="en-US" w:eastAsia="zh-CN"/>
        </w:rPr>
        <w:t>扣1分，</w:t>
      </w:r>
      <w:r>
        <w:rPr>
          <w:rFonts w:hint="eastAsia" w:hAnsi="宋体" w:cs="宋体"/>
          <w:sz w:val="24"/>
          <w:szCs w:val="24"/>
        </w:rPr>
        <w:t>得</w:t>
      </w:r>
      <w:r>
        <w:rPr>
          <w:rFonts w:hint="eastAsia" w:hAnsi="宋体" w:cs="宋体"/>
          <w:sz w:val="24"/>
          <w:szCs w:val="24"/>
          <w:lang w:val="en-US" w:eastAsia="zh-CN"/>
        </w:rPr>
        <w:t>3</w:t>
      </w:r>
      <w:r>
        <w:rPr>
          <w:rFonts w:hint="eastAsia" w:hAnsi="宋体" w:cs="宋体"/>
          <w:sz w:val="24"/>
          <w:szCs w:val="24"/>
        </w:rPr>
        <w:t>分。</w:t>
      </w:r>
    </w:p>
    <w:p>
      <w:pPr>
        <w:pStyle w:val="10"/>
        <w:ind w:firstLine="562"/>
        <w:outlineLvl w:val="1"/>
        <w:rPr>
          <w:rFonts w:asciiTheme="minorEastAsia" w:hAnsiTheme="minorEastAsia" w:eastAsiaTheme="minorEastAsia" w:cstheme="minorEastAsia"/>
        </w:rPr>
      </w:pPr>
      <w:bookmarkStart w:id="10" w:name="_Toc3789"/>
      <w:r>
        <w:rPr>
          <w:rFonts w:hint="eastAsia" w:asciiTheme="minorEastAsia" w:hAnsiTheme="minorEastAsia" w:eastAsiaTheme="minorEastAsia" w:cstheme="minorEastAsia"/>
        </w:rPr>
        <w:t>（二）项目过程指标得13分（共14分）</w:t>
      </w:r>
      <w:bookmarkEnd w:id="10"/>
      <w:bookmarkStart w:id="11" w:name="_Toc500226192"/>
    </w:p>
    <w:bookmarkEnd w:id="11"/>
    <w:p>
      <w:pPr>
        <w:pStyle w:val="4"/>
        <w:spacing w:line="360" w:lineRule="auto"/>
        <w:ind w:firstLine="480" w:firstLineChars="200"/>
        <w:rPr>
          <w:rFonts w:hAnsi="宋体" w:cs="宋体"/>
          <w:sz w:val="24"/>
          <w:szCs w:val="24"/>
        </w:rPr>
      </w:pPr>
      <w:r>
        <w:rPr>
          <w:rFonts w:hint="eastAsia" w:hAnsi="宋体" w:cs="宋体"/>
          <w:sz w:val="24"/>
          <w:szCs w:val="24"/>
        </w:rPr>
        <w:t>一级指标“过程”下设“资金管理”、“组织实施”二个二级指标。</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1.资金管理得8分（共9分）</w:t>
      </w:r>
    </w:p>
    <w:p>
      <w:pPr>
        <w:pStyle w:val="4"/>
        <w:spacing w:line="360" w:lineRule="auto"/>
        <w:ind w:firstLine="480" w:firstLineChars="200"/>
        <w:rPr>
          <w:rFonts w:hAnsi="宋体" w:cs="宋体"/>
          <w:sz w:val="24"/>
          <w:szCs w:val="24"/>
        </w:rPr>
      </w:pPr>
      <w:r>
        <w:rPr>
          <w:rFonts w:hint="eastAsia" w:hAnsi="宋体" w:cs="宋体"/>
          <w:sz w:val="24"/>
          <w:szCs w:val="24"/>
        </w:rPr>
        <w:t>“资金管理”从“资金到位率”、“预算执行率”和“资金使用合规性”三个三级指标进行评价。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①资金到位率得2分（共2分）</w:t>
      </w:r>
    </w:p>
    <w:p>
      <w:pPr>
        <w:pStyle w:val="4"/>
        <w:spacing w:line="360" w:lineRule="auto"/>
        <w:ind w:firstLine="480" w:firstLineChars="200"/>
        <w:rPr>
          <w:rFonts w:hAnsi="宋体" w:cs="宋体"/>
          <w:sz w:val="24"/>
          <w:szCs w:val="24"/>
        </w:rPr>
      </w:pPr>
      <w:r>
        <w:rPr>
          <w:rFonts w:hint="eastAsia" w:hAnsi="宋体" w:cs="宋体"/>
          <w:sz w:val="24"/>
          <w:szCs w:val="24"/>
        </w:rPr>
        <w:t>“资金到位率”指标用于说明资金到位情况。资金到位率=（实际到位资金/预算资金）×100%，预算资金在2019年度内全部及时到位得满分。2019年预算资金500万元全部实际到位，资金到位率为100%。该项指标得满分2分。</w:t>
      </w:r>
    </w:p>
    <w:p>
      <w:pPr>
        <w:pStyle w:val="4"/>
        <w:spacing w:line="360" w:lineRule="auto"/>
        <w:ind w:firstLine="480" w:firstLineChars="200"/>
        <w:rPr>
          <w:rFonts w:hAnsi="宋体" w:cs="宋体"/>
          <w:sz w:val="24"/>
          <w:szCs w:val="24"/>
        </w:rPr>
      </w:pPr>
      <w:r>
        <w:rPr>
          <w:rFonts w:hint="eastAsia" w:hAnsi="宋体" w:cs="宋体"/>
          <w:sz w:val="24"/>
          <w:szCs w:val="24"/>
        </w:rPr>
        <w:t>②预算执行率得2分（共3分）</w:t>
      </w:r>
    </w:p>
    <w:p>
      <w:pPr>
        <w:pStyle w:val="4"/>
        <w:spacing w:line="360" w:lineRule="auto"/>
        <w:ind w:firstLine="480" w:firstLineChars="200"/>
        <w:rPr>
          <w:rFonts w:hAnsi="宋体" w:cs="宋体"/>
          <w:sz w:val="24"/>
          <w:szCs w:val="24"/>
        </w:rPr>
      </w:pPr>
      <w:r>
        <w:rPr>
          <w:rFonts w:hint="eastAsia" w:hAnsi="宋体" w:cs="宋体"/>
          <w:sz w:val="24"/>
          <w:szCs w:val="24"/>
        </w:rPr>
        <w:t>“预算执行率”指标用于衡量资金使用情况，预算执行率=实际使用资金/年初预算数×100%，执行率应大于等于95%。根据自评表，至2020年3月11日实际支出资金为467.95万元，实际到位资金为500万元，预算执行率93.59%。根据评分标准，该项指标扣1分，得2分。</w:t>
      </w:r>
    </w:p>
    <w:p>
      <w:pPr>
        <w:pStyle w:val="4"/>
        <w:spacing w:line="360" w:lineRule="auto"/>
        <w:ind w:firstLine="480" w:firstLineChars="200"/>
        <w:rPr>
          <w:rFonts w:hAnsi="宋体" w:cs="宋体"/>
          <w:sz w:val="24"/>
          <w:szCs w:val="24"/>
        </w:rPr>
      </w:pPr>
      <w:r>
        <w:rPr>
          <w:rFonts w:hint="eastAsia" w:hAnsi="宋体" w:cs="宋体"/>
          <w:sz w:val="24"/>
          <w:szCs w:val="24"/>
        </w:rPr>
        <w:t>③资金使用合规性得4分（共4分）</w:t>
      </w:r>
    </w:p>
    <w:p>
      <w:pPr>
        <w:pStyle w:val="4"/>
        <w:spacing w:line="360" w:lineRule="auto"/>
        <w:ind w:firstLine="480" w:firstLineChars="200"/>
        <w:rPr>
          <w:rFonts w:hAnsi="宋体" w:cs="宋体"/>
          <w:sz w:val="24"/>
          <w:szCs w:val="24"/>
        </w:rPr>
      </w:pPr>
      <w:r>
        <w:rPr>
          <w:rFonts w:hint="eastAsia" w:hAnsi="宋体" w:cs="宋体"/>
          <w:sz w:val="24"/>
          <w:szCs w:val="24"/>
        </w:rPr>
        <w:t>“资金使用合规性”指标用于评价资金使用是否违规。评价工作组通过对2019年泉州市丰泽区禁毒工作专项经费的来源、拨付、使用情况等基本数据的了解，查阅了相关的预决算数据，认为本项目资金的使用符合相关制度规定，资金的拨付手续完整，符合部门预算批复的用途，项目</w:t>
      </w:r>
      <w:r>
        <w:rPr>
          <w:rFonts w:hint="eastAsia" w:hAnsi="宋体" w:cs="宋体"/>
          <w:sz w:val="24"/>
          <w:szCs w:val="24"/>
          <w:lang w:eastAsia="zh-CN"/>
        </w:rPr>
        <w:t>支出</w:t>
      </w:r>
      <w:r>
        <w:rPr>
          <w:rFonts w:hint="eastAsia" w:hAnsi="宋体" w:cs="宋体"/>
          <w:sz w:val="24"/>
          <w:szCs w:val="24"/>
        </w:rPr>
        <w:t>均</w:t>
      </w:r>
      <w:r>
        <w:rPr>
          <w:rFonts w:hint="eastAsia" w:hAnsi="宋体" w:cs="宋体"/>
          <w:sz w:val="24"/>
          <w:szCs w:val="24"/>
          <w:lang w:eastAsia="zh-CN"/>
        </w:rPr>
        <w:t>由</w:t>
      </w:r>
      <w:r>
        <w:rPr>
          <w:rFonts w:hint="eastAsia" w:hAnsi="宋体" w:cs="宋体"/>
          <w:sz w:val="24"/>
          <w:szCs w:val="24"/>
        </w:rPr>
        <w:t>区政府</w:t>
      </w:r>
      <w:r>
        <w:rPr>
          <w:rFonts w:hint="eastAsia" w:hAnsi="宋体" w:cs="宋体"/>
          <w:sz w:val="24"/>
          <w:szCs w:val="24"/>
          <w:lang w:eastAsia="zh-CN"/>
        </w:rPr>
        <w:t>下达</w:t>
      </w:r>
      <w:r>
        <w:rPr>
          <w:rFonts w:hint="eastAsia" w:hAnsi="宋体" w:cs="宋体"/>
          <w:sz w:val="24"/>
          <w:szCs w:val="24"/>
        </w:rPr>
        <w:t>指示，1万</w:t>
      </w:r>
      <w:r>
        <w:rPr>
          <w:rFonts w:hint="eastAsia" w:hAnsi="宋体" w:cs="宋体"/>
          <w:sz w:val="24"/>
          <w:szCs w:val="24"/>
          <w:lang w:eastAsia="zh-CN"/>
        </w:rPr>
        <w:t>元</w:t>
      </w:r>
      <w:r>
        <w:rPr>
          <w:rFonts w:hint="eastAsia" w:hAnsi="宋体" w:cs="宋体"/>
          <w:sz w:val="24"/>
          <w:szCs w:val="24"/>
        </w:rPr>
        <w:t>以内</w:t>
      </w:r>
      <w:r>
        <w:rPr>
          <w:rFonts w:hint="eastAsia" w:hAnsi="宋体" w:cs="宋体"/>
          <w:sz w:val="24"/>
          <w:szCs w:val="24"/>
          <w:lang w:eastAsia="zh-CN"/>
        </w:rPr>
        <w:t>支出</w:t>
      </w:r>
      <w:r>
        <w:rPr>
          <w:rFonts w:hint="eastAsia" w:hAnsi="宋体" w:cs="宋体"/>
          <w:sz w:val="24"/>
          <w:szCs w:val="24"/>
        </w:rPr>
        <w:t>的发票由区禁毒办常务副主任签字，1万</w:t>
      </w:r>
      <w:r>
        <w:rPr>
          <w:rFonts w:hint="eastAsia" w:hAnsi="宋体" w:cs="宋体"/>
          <w:sz w:val="24"/>
          <w:szCs w:val="24"/>
          <w:lang w:eastAsia="zh-CN"/>
        </w:rPr>
        <w:t>元</w:t>
      </w:r>
      <w:r>
        <w:rPr>
          <w:rFonts w:hint="eastAsia" w:hAnsi="宋体" w:cs="宋体"/>
          <w:sz w:val="24"/>
          <w:szCs w:val="24"/>
        </w:rPr>
        <w:t>以上</w:t>
      </w:r>
      <w:r>
        <w:rPr>
          <w:rFonts w:hint="eastAsia" w:hAnsi="宋体" w:cs="宋体"/>
          <w:sz w:val="24"/>
          <w:szCs w:val="24"/>
          <w:lang w:eastAsia="zh-CN"/>
        </w:rPr>
        <w:t>支出</w:t>
      </w:r>
      <w:r>
        <w:rPr>
          <w:rFonts w:hint="eastAsia" w:hAnsi="宋体" w:cs="宋体"/>
          <w:sz w:val="24"/>
          <w:szCs w:val="24"/>
        </w:rPr>
        <w:t>由区禁毒办主任</w:t>
      </w:r>
      <w:r>
        <w:rPr>
          <w:rFonts w:hint="eastAsia" w:hAnsi="宋体" w:cs="宋体"/>
          <w:sz w:val="24"/>
          <w:szCs w:val="24"/>
          <w:lang w:val="en-US" w:eastAsia="zh-CN"/>
        </w:rPr>
        <w:t>（由</w:t>
      </w:r>
      <w:r>
        <w:rPr>
          <w:rFonts w:hint="eastAsia" w:hAnsi="宋体" w:cs="宋体"/>
          <w:sz w:val="24"/>
          <w:szCs w:val="24"/>
        </w:rPr>
        <w:t>丰泽区副区长</w:t>
      </w:r>
      <w:r>
        <w:rPr>
          <w:rFonts w:hint="eastAsia" w:hAnsi="宋体" w:cs="宋体"/>
          <w:sz w:val="24"/>
          <w:szCs w:val="24"/>
          <w:lang w:eastAsia="zh-CN"/>
        </w:rPr>
        <w:t>即</w:t>
      </w:r>
      <w:r>
        <w:rPr>
          <w:rFonts w:hint="eastAsia" w:hAnsi="宋体" w:cs="宋体"/>
          <w:sz w:val="24"/>
          <w:szCs w:val="24"/>
        </w:rPr>
        <w:t>区公安</w:t>
      </w:r>
      <w:r>
        <w:rPr>
          <w:rFonts w:hint="eastAsia" w:hAnsi="宋体" w:cs="宋体"/>
          <w:sz w:val="24"/>
          <w:szCs w:val="24"/>
          <w:lang w:eastAsia="zh-CN"/>
        </w:rPr>
        <w:t>分</w:t>
      </w:r>
      <w:r>
        <w:rPr>
          <w:rFonts w:hint="eastAsia" w:hAnsi="宋体" w:cs="宋体"/>
          <w:sz w:val="24"/>
          <w:szCs w:val="24"/>
        </w:rPr>
        <w:t>局局长</w:t>
      </w:r>
      <w:r>
        <w:rPr>
          <w:rFonts w:hint="eastAsia" w:hAnsi="宋体" w:cs="宋体"/>
          <w:sz w:val="24"/>
          <w:szCs w:val="24"/>
          <w:lang w:eastAsia="zh-CN"/>
        </w:rPr>
        <w:t>兼任）</w:t>
      </w:r>
      <w:r>
        <w:rPr>
          <w:rFonts w:hint="eastAsia" w:hAnsi="宋体" w:cs="宋体"/>
          <w:sz w:val="24"/>
          <w:szCs w:val="24"/>
        </w:rPr>
        <w:t>签字，</w:t>
      </w:r>
      <w:r>
        <w:rPr>
          <w:rFonts w:hint="eastAsia" w:hAnsi="宋体" w:cs="宋体"/>
          <w:sz w:val="24"/>
          <w:szCs w:val="24"/>
          <w:lang w:eastAsia="zh-CN"/>
        </w:rPr>
        <w:t>之后经财务审核通过后再拨款。工作组</w:t>
      </w:r>
      <w:r>
        <w:rPr>
          <w:rFonts w:hint="eastAsia" w:hAnsi="宋体" w:cs="宋体"/>
          <w:sz w:val="24"/>
          <w:szCs w:val="24"/>
        </w:rPr>
        <w:t>未发现资金使用存在截留、挤占、挪用、虚列支出等情况。该项指标可得满分4分。</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2.组织实施得5分（共5分）</w:t>
      </w:r>
    </w:p>
    <w:p>
      <w:pPr>
        <w:pStyle w:val="4"/>
        <w:spacing w:line="360" w:lineRule="auto"/>
        <w:ind w:firstLine="480" w:firstLineChars="200"/>
        <w:rPr>
          <w:rFonts w:hAnsi="宋体" w:cs="宋体"/>
          <w:sz w:val="24"/>
          <w:szCs w:val="24"/>
        </w:rPr>
      </w:pPr>
      <w:r>
        <w:rPr>
          <w:rFonts w:hint="eastAsia" w:hAnsi="宋体" w:cs="宋体"/>
          <w:sz w:val="24"/>
          <w:szCs w:val="24"/>
        </w:rPr>
        <w:t>“组织实施”从“管理制度健全性”、“制度执行有效性”二个三级指标进行评价。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①管理制度健全性得2分（共2分）</w:t>
      </w:r>
    </w:p>
    <w:p>
      <w:pPr>
        <w:pStyle w:val="4"/>
        <w:spacing w:line="360" w:lineRule="auto"/>
        <w:ind w:firstLine="480" w:firstLineChars="200"/>
        <w:rPr>
          <w:rFonts w:hAnsi="宋体" w:cs="宋体"/>
          <w:sz w:val="24"/>
          <w:szCs w:val="24"/>
        </w:rPr>
      </w:pPr>
      <w:r>
        <w:rPr>
          <w:rFonts w:hint="eastAsia" w:hAnsi="宋体" w:cs="宋体"/>
          <w:sz w:val="24"/>
          <w:szCs w:val="24"/>
        </w:rPr>
        <w:t>“管理制度健全性”</w:t>
      </w:r>
      <w:r>
        <w:rPr>
          <w:rFonts w:hint="eastAsia" w:hAnsi="宋体" w:cs="宋体"/>
          <w:sz w:val="24"/>
        </w:rPr>
        <w:t>指标评价项目支出是否已制定或具有相应的财务和业务管理制度，财务和业务管理制度是否合法、合规、完整。区禁毒办根据区财政局的财政预算资金管理办法对专项经费进行管理。因</w:t>
      </w:r>
      <w:r>
        <w:rPr>
          <w:rFonts w:hint="eastAsia" w:hAnsi="宋体" w:cs="宋体"/>
          <w:sz w:val="24"/>
          <w:szCs w:val="24"/>
        </w:rPr>
        <w:t>区禁毒办没有专门的财务人员，故区禁毒办委托泉州丰泽区铭泽代理记账有限公司办理日常会计核算业务，登记明细账及总账，资金管理办法符合政府会计制度的规定，执行相关管理制度。根据评分标准，该项指标可得满分2分。</w:t>
      </w:r>
    </w:p>
    <w:p>
      <w:pPr>
        <w:pStyle w:val="4"/>
        <w:spacing w:line="360" w:lineRule="auto"/>
        <w:ind w:firstLine="480" w:firstLineChars="200"/>
        <w:rPr>
          <w:rFonts w:hAnsi="宋体" w:cs="宋体"/>
          <w:sz w:val="24"/>
          <w:szCs w:val="24"/>
        </w:rPr>
      </w:pPr>
      <w:r>
        <w:rPr>
          <w:rFonts w:hint="eastAsia" w:hAnsi="宋体" w:cs="宋体"/>
          <w:sz w:val="24"/>
          <w:szCs w:val="24"/>
        </w:rPr>
        <w:t>②制度执行有效性得3分（共3分）</w:t>
      </w:r>
    </w:p>
    <w:p>
      <w:pPr>
        <w:pStyle w:val="4"/>
        <w:spacing w:line="360" w:lineRule="auto"/>
        <w:ind w:firstLine="480" w:firstLineChars="200"/>
        <w:rPr>
          <w:rFonts w:hAnsi="宋体" w:cs="宋体"/>
          <w:sz w:val="24"/>
          <w:szCs w:val="24"/>
        </w:rPr>
      </w:pPr>
      <w:r>
        <w:rPr>
          <w:rFonts w:hint="eastAsia" w:hAnsi="宋体" w:cs="宋体"/>
          <w:sz w:val="24"/>
          <w:szCs w:val="24"/>
        </w:rPr>
        <w:t>“制度执行有效性”</w:t>
      </w:r>
      <w:r>
        <w:rPr>
          <w:rFonts w:hint="eastAsia" w:hAnsi="宋体" w:cs="宋体"/>
          <w:sz w:val="24"/>
        </w:rPr>
        <w:t>指标用于评价项目管理是否遵守相关法律法规和业务管理规定，项目资料是否齐全并及时归档，项目实施的人员条件、信息支撑等是否落实到位。通过工作组到区禁毒办、泉州九中禁毒宣教馆、丰泽区林则徐禁毒教育基地、泉秀街道华丰社区实地调研并查阅项目资料，项目合同书、验收报告、技术鉴定等资料齐全并及时归档，未发现存在未执行相关规定的问题。</w:t>
      </w:r>
      <w:r>
        <w:rPr>
          <w:rFonts w:hint="eastAsia" w:hAnsi="宋体" w:cs="宋体"/>
          <w:sz w:val="24"/>
          <w:szCs w:val="24"/>
        </w:rPr>
        <w:t>根据评分标准，该项指标可得满分3分。</w:t>
      </w:r>
    </w:p>
    <w:p>
      <w:pPr>
        <w:pStyle w:val="10"/>
        <w:ind w:firstLine="562"/>
        <w:outlineLvl w:val="1"/>
        <w:rPr>
          <w:rFonts w:asciiTheme="minorEastAsia" w:hAnsiTheme="minorEastAsia" w:eastAsiaTheme="minorEastAsia" w:cstheme="minorEastAsia"/>
        </w:rPr>
      </w:pPr>
      <w:bookmarkStart w:id="12" w:name="_Toc27901"/>
      <w:r>
        <w:rPr>
          <w:rFonts w:hint="eastAsia" w:asciiTheme="minorEastAsia" w:hAnsiTheme="minorEastAsia" w:eastAsiaTheme="minorEastAsia" w:cstheme="minorEastAsia"/>
        </w:rPr>
        <w:t>（三）项目产出情况得2</w:t>
      </w: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分（共23分）</w:t>
      </w:r>
      <w:bookmarkEnd w:id="12"/>
    </w:p>
    <w:p>
      <w:pPr>
        <w:pStyle w:val="4"/>
        <w:spacing w:line="360" w:lineRule="auto"/>
        <w:ind w:firstLine="480" w:firstLineChars="200"/>
        <w:rPr>
          <w:rFonts w:hAnsi="宋体" w:cs="宋体"/>
          <w:sz w:val="24"/>
        </w:rPr>
      </w:pPr>
      <w:r>
        <w:rPr>
          <w:rFonts w:hint="eastAsia" w:hAnsi="宋体" w:cs="宋体"/>
          <w:sz w:val="24"/>
        </w:rPr>
        <w:t>一级指标“产出”下设“产出数量”、“产出质量”二个二级指标。</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1.产出数量得15分（共15分）</w:t>
      </w:r>
    </w:p>
    <w:p>
      <w:pPr>
        <w:pStyle w:val="4"/>
        <w:spacing w:line="360" w:lineRule="auto"/>
        <w:ind w:firstLine="480" w:firstLineChars="200"/>
        <w:rPr>
          <w:rFonts w:hAnsi="宋体" w:cs="宋体"/>
          <w:sz w:val="24"/>
        </w:rPr>
      </w:pPr>
      <w:r>
        <w:rPr>
          <w:rFonts w:hint="eastAsia" w:hAnsi="宋体" w:cs="宋体"/>
          <w:sz w:val="24"/>
        </w:rPr>
        <w:t>“产出数量”指标主要通过“禁毒品牌社区数”、“禁毒宣教室数”、“建成林则徐禁毒教育基地数”、“补助社区戒毒康复工作站数”和“设立大型宣传广告牌数”五个三级指标进行评价。</w:t>
      </w:r>
    </w:p>
    <w:p>
      <w:pPr>
        <w:pStyle w:val="4"/>
        <w:spacing w:line="360" w:lineRule="auto"/>
        <w:ind w:firstLine="480" w:firstLineChars="200"/>
        <w:rPr>
          <w:rFonts w:hAnsi="宋体" w:cs="宋体"/>
          <w:sz w:val="24"/>
        </w:rPr>
      </w:pPr>
      <w:r>
        <w:rPr>
          <w:rFonts w:hint="eastAsia" w:hAnsi="宋体" w:cs="宋体"/>
          <w:sz w:val="24"/>
        </w:rPr>
        <w:t>①禁毒品牌社区数得3分（共3分）</w:t>
      </w:r>
    </w:p>
    <w:p>
      <w:pPr>
        <w:pStyle w:val="4"/>
        <w:spacing w:line="360" w:lineRule="auto"/>
        <w:ind w:firstLine="480" w:firstLineChars="200"/>
        <w:rPr>
          <w:rFonts w:hAnsi="宋体" w:cs="宋体"/>
          <w:sz w:val="24"/>
        </w:rPr>
      </w:pPr>
      <w:r>
        <w:rPr>
          <w:rFonts w:hint="eastAsia" w:hAnsi="宋体" w:cs="宋体"/>
          <w:sz w:val="24"/>
        </w:rPr>
        <w:t>2019年度禁毒工作专项经费补助丰泽区街道、东湖街道少林社区和泉秀街道华丰社区建设禁毒品牌社区。根据评分标准，禁毒品牌社区数达到3个，该项指标得满分3分。</w:t>
      </w:r>
    </w:p>
    <w:p>
      <w:pPr>
        <w:pStyle w:val="4"/>
        <w:spacing w:line="360" w:lineRule="auto"/>
        <w:ind w:firstLine="480" w:firstLineChars="200"/>
        <w:rPr>
          <w:rFonts w:hAnsi="宋体" w:cs="宋体"/>
          <w:sz w:val="24"/>
        </w:rPr>
      </w:pPr>
      <w:r>
        <w:rPr>
          <w:rFonts w:hint="eastAsia" w:hAnsi="宋体" w:cs="宋体"/>
          <w:sz w:val="24"/>
        </w:rPr>
        <w:t>②禁毒宣教室数得4分（共4分）</w:t>
      </w:r>
    </w:p>
    <w:p>
      <w:pPr>
        <w:pStyle w:val="4"/>
        <w:spacing w:line="360" w:lineRule="auto"/>
        <w:ind w:firstLine="480" w:firstLineChars="200"/>
        <w:rPr>
          <w:rFonts w:hAnsi="宋体" w:cs="宋体"/>
          <w:sz w:val="24"/>
        </w:rPr>
      </w:pPr>
      <w:r>
        <w:rPr>
          <w:rFonts w:hint="eastAsia" w:hAnsi="宋体" w:cs="宋体"/>
          <w:sz w:val="24"/>
        </w:rPr>
        <w:t>2019年度禁毒工作专项经费补助10所学校创建禁毒宣教室各补助2万元，共计20万元，目前已经建成10所宣教室。根据评分标准，该指标得满分4分。</w:t>
      </w:r>
    </w:p>
    <w:p>
      <w:pPr>
        <w:pStyle w:val="4"/>
        <w:spacing w:line="360" w:lineRule="auto"/>
        <w:ind w:firstLine="480" w:firstLineChars="200"/>
        <w:rPr>
          <w:rFonts w:hAnsi="宋体" w:cs="宋体"/>
          <w:sz w:val="24"/>
        </w:rPr>
      </w:pPr>
      <w:r>
        <w:rPr>
          <w:rFonts w:hint="eastAsia" w:hAnsi="宋体" w:cs="宋体"/>
          <w:sz w:val="24"/>
        </w:rPr>
        <w:t>③建成林则徐禁毒教育基地数得2分（共2分）</w:t>
      </w:r>
    </w:p>
    <w:p>
      <w:pPr>
        <w:pStyle w:val="4"/>
        <w:spacing w:line="360" w:lineRule="auto"/>
        <w:ind w:firstLine="480" w:firstLineChars="200"/>
        <w:rPr>
          <w:rFonts w:hAnsi="宋体" w:cs="宋体"/>
          <w:sz w:val="24"/>
        </w:rPr>
      </w:pPr>
      <w:r>
        <w:rPr>
          <w:rFonts w:hint="eastAsia" w:hAnsi="宋体" w:cs="宋体"/>
          <w:sz w:val="24"/>
        </w:rPr>
        <w:t>根据禁毒工作专项经费补助的项目看，目前已经建成丰泽区林则徐禁毒教育基地和泉州九中林则徐宣传教育馆，并已经投入使用。根据评分标准，该指标满分得2分。</w:t>
      </w:r>
    </w:p>
    <w:p>
      <w:pPr>
        <w:pStyle w:val="4"/>
        <w:spacing w:line="360" w:lineRule="auto"/>
        <w:ind w:firstLine="480" w:firstLineChars="200"/>
        <w:rPr>
          <w:rFonts w:hAnsi="宋体" w:cs="宋体"/>
          <w:sz w:val="24"/>
        </w:rPr>
      </w:pPr>
      <w:r>
        <w:rPr>
          <w:rFonts w:hint="eastAsia" w:hAnsi="宋体" w:cs="宋体"/>
          <w:sz w:val="24"/>
        </w:rPr>
        <w:t>④补助社区戒毒康复工作站数得3分（共3分）</w:t>
      </w:r>
    </w:p>
    <w:p>
      <w:pPr>
        <w:pStyle w:val="4"/>
        <w:spacing w:line="360" w:lineRule="auto"/>
        <w:ind w:firstLine="480" w:firstLineChars="200"/>
        <w:rPr>
          <w:rFonts w:hAnsi="宋体" w:cs="宋体"/>
          <w:sz w:val="24"/>
          <w:szCs w:val="24"/>
        </w:rPr>
      </w:pPr>
      <w:r>
        <w:rPr>
          <w:rFonts w:hint="eastAsia" w:hAnsi="宋体" w:cs="宋体"/>
          <w:sz w:val="24"/>
        </w:rPr>
        <w:t>“补助社区戒毒康复工作站数”补助清源街道、东海街道</w:t>
      </w:r>
      <w:r>
        <w:rPr>
          <w:rFonts w:hint="eastAsia" w:hAnsi="宋体" w:cs="宋体"/>
          <w:sz w:val="24"/>
          <w:szCs w:val="24"/>
        </w:rPr>
        <w:t>、泉秀街道、东湖街道、丰泽街道、北峰街道、城东街道、华大街道8个街道各建设1个社区戒毒社区康复管理工作站。根据评分标准，该指标得满分3分。</w:t>
      </w:r>
    </w:p>
    <w:p>
      <w:pPr>
        <w:pStyle w:val="4"/>
        <w:spacing w:line="360" w:lineRule="auto"/>
        <w:ind w:firstLine="480" w:firstLineChars="200"/>
        <w:rPr>
          <w:rFonts w:hAnsi="宋体" w:cs="宋体"/>
          <w:sz w:val="24"/>
          <w:szCs w:val="24"/>
        </w:rPr>
      </w:pPr>
      <w:r>
        <w:rPr>
          <w:rFonts w:hint="eastAsia" w:hAnsi="宋体" w:cs="宋体"/>
          <w:sz w:val="24"/>
          <w:szCs w:val="24"/>
        </w:rPr>
        <w:t>⑤设立大型宣传广告牌数</w:t>
      </w:r>
      <w:r>
        <w:rPr>
          <w:rFonts w:hint="eastAsia" w:hAnsi="宋体" w:cs="宋体"/>
          <w:sz w:val="24"/>
        </w:rPr>
        <w:t>得3分（共3分）</w:t>
      </w:r>
    </w:p>
    <w:p>
      <w:pPr>
        <w:pStyle w:val="4"/>
        <w:spacing w:line="360" w:lineRule="auto"/>
        <w:ind w:firstLine="480" w:firstLineChars="200"/>
        <w:rPr>
          <w:rFonts w:hAnsi="宋体" w:cs="宋体"/>
          <w:sz w:val="24"/>
          <w:szCs w:val="24"/>
        </w:rPr>
      </w:pPr>
      <w:r>
        <w:rPr>
          <w:rFonts w:hint="eastAsia" w:hAnsi="宋体" w:cs="宋体"/>
          <w:sz w:val="24"/>
          <w:szCs w:val="24"/>
        </w:rPr>
        <w:t xml:space="preserve">“设立大型宣传广告牌数”衡量宣传广告是否到位，是否起到教育预防作用。根据区禁毒办提供的资料，目前各街道社区均设置了禁毒宣传广告牌，并有一定数量的大型宣传广告牌，不少于10处。根据评分标准，大型宣传广告牌数设置10处得满分，该指标可得满分3分。                        </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2.产出质量得</w:t>
      </w:r>
      <w:r>
        <w:rPr>
          <w:rFonts w:hint="eastAsia" w:ascii="宋体" w:hAnsi="宋体" w:eastAsia="宋体" w:cs="宋体"/>
          <w:b/>
          <w:bCs/>
          <w:color w:val="000000"/>
          <w:sz w:val="24"/>
          <w:szCs w:val="22"/>
          <w:lang w:val="en-US" w:eastAsia="zh-CN"/>
        </w:rPr>
        <w:t>6.4</w:t>
      </w:r>
      <w:r>
        <w:rPr>
          <w:rFonts w:hint="eastAsia" w:ascii="宋体" w:hAnsi="宋体" w:eastAsia="宋体" w:cs="宋体"/>
          <w:b/>
          <w:bCs/>
          <w:color w:val="000000"/>
          <w:sz w:val="24"/>
          <w:szCs w:val="22"/>
        </w:rPr>
        <w:t>分（共8分）</w:t>
      </w:r>
    </w:p>
    <w:p>
      <w:pPr>
        <w:pStyle w:val="4"/>
        <w:spacing w:line="360" w:lineRule="auto"/>
        <w:ind w:firstLine="480" w:firstLineChars="200"/>
        <w:rPr>
          <w:rFonts w:hAnsi="宋体" w:cs="宋体"/>
          <w:sz w:val="24"/>
          <w:szCs w:val="24"/>
        </w:rPr>
      </w:pPr>
      <w:r>
        <w:rPr>
          <w:rFonts w:hint="eastAsia" w:hAnsi="宋体" w:cs="宋体"/>
          <w:sz w:val="24"/>
          <w:szCs w:val="24"/>
        </w:rPr>
        <w:t>“产出质量”指标衡量，通过“在册吸毒人员复吸率”、“禁毒工作制度落实情况”二个三级指标进行评价。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①在册吸毒人员复吸率得</w:t>
      </w:r>
      <w:r>
        <w:rPr>
          <w:rFonts w:hint="eastAsia" w:hAnsi="宋体" w:cs="宋体"/>
          <w:sz w:val="24"/>
          <w:szCs w:val="24"/>
          <w:lang w:val="en-US" w:eastAsia="zh-CN"/>
        </w:rPr>
        <w:t>1.4</w:t>
      </w:r>
      <w:r>
        <w:rPr>
          <w:rFonts w:hint="eastAsia" w:hAnsi="宋体" w:cs="宋体"/>
          <w:sz w:val="24"/>
          <w:szCs w:val="24"/>
        </w:rPr>
        <w:t>分（共3分）</w:t>
      </w:r>
    </w:p>
    <w:p>
      <w:pPr>
        <w:pStyle w:val="4"/>
        <w:spacing w:line="360" w:lineRule="auto"/>
        <w:ind w:firstLine="480" w:firstLineChars="200"/>
        <w:rPr>
          <w:rFonts w:hAnsi="宋体" w:cs="宋体"/>
          <w:sz w:val="24"/>
          <w:szCs w:val="24"/>
        </w:rPr>
      </w:pPr>
      <w:r>
        <w:rPr>
          <w:rFonts w:hint="eastAsia" w:hAnsi="宋体" w:cs="宋体"/>
          <w:sz w:val="24"/>
          <w:szCs w:val="24"/>
          <w:lang w:val="en-US" w:eastAsia="zh-CN"/>
        </w:rPr>
        <w:t>根据</w:t>
      </w:r>
      <w:r>
        <w:rPr>
          <w:rFonts w:hint="eastAsia" w:ascii="宋体" w:hAnsi="宋体" w:eastAsia="宋体" w:cs="宋体"/>
          <w:bCs/>
          <w:sz w:val="24"/>
          <w:szCs w:val="24"/>
          <w:u w:val="none"/>
          <w:lang w:val="en-US" w:eastAsia="zh-CN"/>
        </w:rPr>
        <w:t>《2020年泉州市禁毒工作综合考评细则》</w:t>
      </w:r>
      <w:r>
        <w:rPr>
          <w:rFonts w:hint="eastAsia" w:hAnsi="宋体" w:eastAsia="宋体" w:cs="宋体"/>
          <w:bCs/>
          <w:sz w:val="24"/>
          <w:szCs w:val="24"/>
          <w:u w:val="none"/>
          <w:lang w:val="en-US" w:eastAsia="zh-CN"/>
        </w:rPr>
        <w:t>，</w:t>
      </w:r>
      <w:r>
        <w:rPr>
          <w:rFonts w:hint="eastAsia" w:hAnsi="宋体" w:cs="宋体"/>
          <w:sz w:val="24"/>
          <w:szCs w:val="24"/>
        </w:rPr>
        <w:t>2019年吸毒人员复吸率</w:t>
      </w:r>
      <w:r>
        <w:rPr>
          <w:rFonts w:hint="eastAsia" w:hAnsi="宋体" w:cs="宋体"/>
          <w:sz w:val="24"/>
          <w:szCs w:val="24"/>
          <w:lang w:val="en-US" w:eastAsia="zh-CN"/>
        </w:rPr>
        <w:t>为</w:t>
      </w:r>
      <w:r>
        <w:rPr>
          <w:rFonts w:hint="eastAsia" w:hAnsi="宋体" w:cs="宋体"/>
          <w:sz w:val="24"/>
          <w:szCs w:val="24"/>
        </w:rPr>
        <w:t>60.4%</w:t>
      </w:r>
      <w:r>
        <w:rPr>
          <w:rFonts w:hint="eastAsia" w:hAnsi="宋体" w:cs="宋体"/>
          <w:sz w:val="24"/>
          <w:szCs w:val="24"/>
          <w:lang w:eastAsia="zh-CN"/>
        </w:rPr>
        <w:t>（</w:t>
      </w:r>
      <w:r>
        <w:rPr>
          <w:rFonts w:hint="eastAsia" w:hAnsi="宋体" w:cs="宋体"/>
          <w:sz w:val="24"/>
          <w:szCs w:val="24"/>
        </w:rPr>
        <w:t>=180/298</w:t>
      </w:r>
      <w:r>
        <w:rPr>
          <w:rFonts w:hint="eastAsia" w:hAnsi="宋体" w:cs="宋体"/>
          <w:sz w:val="24"/>
          <w:szCs w:val="24"/>
          <w:lang w:eastAsia="zh-CN"/>
        </w:rPr>
        <w:t>），</w:t>
      </w:r>
      <w:r>
        <w:rPr>
          <w:rFonts w:hint="eastAsia" w:hAnsi="宋体" w:cs="宋体"/>
          <w:sz w:val="24"/>
          <w:szCs w:val="24"/>
          <w:lang w:val="en-US" w:eastAsia="zh-CN"/>
        </w:rPr>
        <w:t>较</w:t>
      </w:r>
      <w:r>
        <w:rPr>
          <w:rFonts w:hint="eastAsia" w:hAnsi="宋体" w:cs="宋体"/>
          <w:sz w:val="24"/>
          <w:szCs w:val="24"/>
        </w:rPr>
        <w:t>2018年吸毒人员复吸率67.4%</w:t>
      </w:r>
      <w:r>
        <w:rPr>
          <w:rFonts w:hint="eastAsia" w:hAnsi="宋体" w:cs="宋体"/>
          <w:sz w:val="24"/>
          <w:szCs w:val="24"/>
          <w:lang w:eastAsia="zh-CN"/>
        </w:rPr>
        <w:t>（</w:t>
      </w:r>
      <w:r>
        <w:rPr>
          <w:rFonts w:hint="eastAsia" w:hAnsi="宋体" w:cs="宋体"/>
          <w:sz w:val="24"/>
          <w:szCs w:val="24"/>
        </w:rPr>
        <w:t>=93/138</w:t>
      </w:r>
      <w:r>
        <w:rPr>
          <w:rFonts w:hint="eastAsia" w:hAnsi="宋体" w:cs="宋体"/>
          <w:sz w:val="24"/>
          <w:szCs w:val="24"/>
          <w:lang w:eastAsia="zh-CN"/>
        </w:rPr>
        <w:t>）</w:t>
      </w:r>
      <w:r>
        <w:rPr>
          <w:rFonts w:hint="eastAsia" w:hAnsi="宋体" w:cs="宋体"/>
          <w:sz w:val="24"/>
          <w:szCs w:val="24"/>
          <w:lang w:val="en-US" w:eastAsia="zh-CN"/>
        </w:rPr>
        <w:t>减少了7%</w:t>
      </w:r>
      <w:r>
        <w:rPr>
          <w:rFonts w:hint="eastAsia" w:hAnsi="宋体" w:cs="宋体"/>
          <w:sz w:val="24"/>
          <w:szCs w:val="24"/>
        </w:rPr>
        <w:t>。根据评分标准，该指标</w:t>
      </w:r>
      <w:r>
        <w:rPr>
          <w:rFonts w:hint="eastAsia" w:hAnsi="宋体" w:cs="宋体"/>
          <w:sz w:val="24"/>
          <w:szCs w:val="24"/>
          <w:lang w:val="en-US" w:eastAsia="zh-CN"/>
        </w:rPr>
        <w:t>可</w:t>
      </w:r>
      <w:r>
        <w:rPr>
          <w:rFonts w:hint="eastAsia" w:hAnsi="宋体" w:cs="宋体"/>
          <w:sz w:val="24"/>
          <w:szCs w:val="24"/>
        </w:rPr>
        <w:t>得</w:t>
      </w:r>
      <w:r>
        <w:rPr>
          <w:rFonts w:hint="eastAsia" w:hAnsi="宋体" w:cs="宋体"/>
          <w:sz w:val="24"/>
          <w:szCs w:val="24"/>
          <w:lang w:val="en-US" w:eastAsia="zh-CN"/>
        </w:rPr>
        <w:t>1.4</w:t>
      </w:r>
      <w:r>
        <w:rPr>
          <w:rFonts w:hint="eastAsia" w:hAnsi="宋体" w:cs="宋体"/>
          <w:sz w:val="24"/>
          <w:szCs w:val="24"/>
        </w:rPr>
        <w:t>分。</w:t>
      </w:r>
    </w:p>
    <w:p>
      <w:pPr>
        <w:pStyle w:val="4"/>
        <w:spacing w:line="360" w:lineRule="auto"/>
        <w:ind w:firstLine="480" w:firstLineChars="200"/>
        <w:rPr>
          <w:rFonts w:hAnsi="宋体" w:cs="宋体"/>
          <w:sz w:val="24"/>
          <w:szCs w:val="24"/>
        </w:rPr>
      </w:pPr>
      <w:r>
        <w:rPr>
          <w:rFonts w:hint="eastAsia" w:hAnsi="宋体" w:cs="宋体"/>
          <w:sz w:val="24"/>
          <w:szCs w:val="24"/>
        </w:rPr>
        <w:t>②禁毒工作制度落实情况得5分（共5分）</w:t>
      </w:r>
    </w:p>
    <w:p>
      <w:pPr>
        <w:pStyle w:val="4"/>
        <w:spacing w:line="360" w:lineRule="auto"/>
        <w:ind w:firstLine="480" w:firstLineChars="200"/>
        <w:rPr>
          <w:rFonts w:hAnsi="宋体" w:cs="宋体"/>
          <w:sz w:val="24"/>
          <w:szCs w:val="24"/>
        </w:rPr>
      </w:pPr>
      <w:r>
        <w:rPr>
          <w:rFonts w:hint="eastAsia" w:hAnsi="宋体" w:cs="宋体"/>
          <w:sz w:val="24"/>
          <w:szCs w:val="24"/>
        </w:rPr>
        <w:t>按照禁毒重点整治攻坚行动实施方案要求，区禁毒委各成员单位、各街道根据要求均能够结合本单位工作职责，制定相应的禁毒整治方案，逐一细化工作措施，确保工作时效，被区级以上含区级挂牌整治的毒品问题严重的街道，均能够立即制定整治方案，按时整改，由区禁毒办组织验收。根据区禁毒办提供的资料，各单位均能按照要求完成禁毒任务，该指标得满分5分。</w:t>
      </w:r>
    </w:p>
    <w:p>
      <w:pPr>
        <w:pStyle w:val="10"/>
        <w:ind w:firstLine="562"/>
        <w:outlineLvl w:val="1"/>
        <w:rPr>
          <w:rFonts w:asciiTheme="minorEastAsia" w:hAnsiTheme="minorEastAsia" w:eastAsiaTheme="minorEastAsia" w:cstheme="minorEastAsia"/>
        </w:rPr>
      </w:pPr>
      <w:bookmarkStart w:id="13" w:name="_Toc31108"/>
      <w:r>
        <w:rPr>
          <w:rFonts w:hint="eastAsia" w:asciiTheme="minorEastAsia" w:hAnsiTheme="minorEastAsia" w:eastAsiaTheme="minorEastAsia" w:cstheme="minorEastAsia"/>
        </w:rPr>
        <w:t>（四）项目效益情况得4</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分（共45分）</w:t>
      </w:r>
      <w:bookmarkEnd w:id="13"/>
    </w:p>
    <w:p>
      <w:pPr>
        <w:pStyle w:val="4"/>
        <w:spacing w:line="360" w:lineRule="auto"/>
        <w:ind w:firstLine="480" w:firstLineChars="200"/>
        <w:rPr>
          <w:rFonts w:hAnsi="宋体" w:cs="宋体"/>
          <w:sz w:val="24"/>
          <w:szCs w:val="24"/>
        </w:rPr>
      </w:pPr>
      <w:r>
        <w:rPr>
          <w:rFonts w:hint="eastAsia" w:hAnsi="宋体" w:cs="宋体"/>
          <w:sz w:val="24"/>
          <w:szCs w:val="24"/>
        </w:rPr>
        <w:t>“效益”指标通过“社会效益”、“可持续影响”和“满意度”三个三级指标进行评价。</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 xml:space="preserve">1.社会效益得18分（共18分） </w:t>
      </w:r>
    </w:p>
    <w:p>
      <w:pPr>
        <w:pStyle w:val="4"/>
        <w:spacing w:line="360" w:lineRule="auto"/>
        <w:ind w:firstLine="480" w:firstLineChars="200"/>
        <w:rPr>
          <w:rFonts w:hAnsi="宋体" w:cs="宋体"/>
          <w:sz w:val="24"/>
          <w:szCs w:val="24"/>
        </w:rPr>
      </w:pPr>
      <w:r>
        <w:rPr>
          <w:rFonts w:hint="eastAsia" w:hAnsi="宋体" w:cs="宋体"/>
          <w:sz w:val="24"/>
          <w:szCs w:val="24"/>
        </w:rPr>
        <w:t>“社会效益”通过“宣传报道在媒体发布情况”、“青少年接受禁毒教育课时”、“宣传形式多样化”和“新四进全覆盖”四个三级指标衡量。</w:t>
      </w:r>
    </w:p>
    <w:p>
      <w:pPr>
        <w:pStyle w:val="4"/>
        <w:spacing w:line="360" w:lineRule="auto"/>
        <w:ind w:firstLine="480" w:firstLineChars="200"/>
        <w:rPr>
          <w:rFonts w:hAnsi="宋体" w:cs="宋体"/>
          <w:sz w:val="24"/>
          <w:szCs w:val="24"/>
        </w:rPr>
      </w:pPr>
      <w:r>
        <w:rPr>
          <w:rFonts w:hint="eastAsia" w:hAnsi="宋体" w:cs="宋体"/>
          <w:sz w:val="24"/>
          <w:szCs w:val="24"/>
        </w:rPr>
        <w:t>①宣传报道在媒体发布情况得5分（共5分）</w:t>
      </w:r>
    </w:p>
    <w:p>
      <w:pPr>
        <w:pStyle w:val="4"/>
        <w:spacing w:line="360" w:lineRule="auto"/>
        <w:ind w:firstLine="480" w:firstLineChars="200"/>
        <w:rPr>
          <w:rFonts w:hAnsi="宋体" w:cs="宋体"/>
          <w:sz w:val="24"/>
          <w:szCs w:val="24"/>
        </w:rPr>
      </w:pPr>
      <w:r>
        <w:rPr>
          <w:rFonts w:hint="eastAsia" w:hAnsi="宋体" w:cs="宋体"/>
          <w:sz w:val="24"/>
          <w:szCs w:val="24"/>
        </w:rPr>
        <w:t>丰泽区2019年度禁毒工作宣传被正义网、人民日报、中国禁毒报、中国禁毒网、北青网、福建司法微信公众号、福建禁毒信息网、福建日报东南网等近10家国家级和省级媒体平台报道。根据评分标准，该项指标可得满分5分。</w:t>
      </w:r>
    </w:p>
    <w:p>
      <w:pPr>
        <w:pStyle w:val="4"/>
        <w:spacing w:line="360" w:lineRule="auto"/>
        <w:ind w:firstLine="480" w:firstLineChars="200"/>
        <w:rPr>
          <w:rFonts w:hAnsi="宋体" w:cs="宋体"/>
          <w:sz w:val="24"/>
          <w:szCs w:val="24"/>
        </w:rPr>
      </w:pPr>
      <w:r>
        <w:rPr>
          <w:rFonts w:hint="eastAsia" w:hAnsi="宋体" w:cs="宋体"/>
          <w:sz w:val="24"/>
          <w:szCs w:val="24"/>
        </w:rPr>
        <w:t>②青少年接受禁毒教育课时得4分（共4分）</w:t>
      </w:r>
    </w:p>
    <w:p>
      <w:pPr>
        <w:pStyle w:val="4"/>
        <w:spacing w:line="360" w:lineRule="auto"/>
        <w:ind w:firstLine="480" w:firstLineChars="200"/>
        <w:rPr>
          <w:rFonts w:hAnsi="宋体" w:cs="宋体"/>
          <w:sz w:val="24"/>
          <w:szCs w:val="24"/>
        </w:rPr>
      </w:pPr>
      <w:r>
        <w:rPr>
          <w:rFonts w:hint="eastAsia" w:hAnsi="宋体" w:cs="宋体"/>
          <w:sz w:val="24"/>
          <w:szCs w:val="24"/>
        </w:rPr>
        <w:t>丰泽区教育局制定毒品预防教育计划，全区各所学校从小学五年级到高二将毒品预防教育纳入常规课程，根据教育局反馈的资料，各所学校课表中均有对毒品预防教育的课程安排，每学年达到2课时，该项指标可得满分4分。</w:t>
      </w:r>
    </w:p>
    <w:p>
      <w:pPr>
        <w:pStyle w:val="4"/>
        <w:spacing w:line="360" w:lineRule="auto"/>
        <w:ind w:firstLine="480" w:firstLineChars="200"/>
        <w:rPr>
          <w:rFonts w:hAnsi="宋体" w:cs="宋体"/>
          <w:sz w:val="24"/>
          <w:szCs w:val="24"/>
        </w:rPr>
      </w:pPr>
      <w:r>
        <w:rPr>
          <w:rFonts w:hint="eastAsia" w:hAnsi="宋体" w:cs="宋体"/>
          <w:sz w:val="24"/>
          <w:szCs w:val="24"/>
        </w:rPr>
        <w:t>③宣传形式多样化得5分（共5分）</w:t>
      </w:r>
    </w:p>
    <w:p>
      <w:pPr>
        <w:pStyle w:val="4"/>
        <w:spacing w:line="360" w:lineRule="auto"/>
        <w:ind w:firstLine="480" w:firstLineChars="200"/>
        <w:rPr>
          <w:rFonts w:hAnsi="宋体" w:cs="宋体"/>
          <w:sz w:val="24"/>
          <w:szCs w:val="24"/>
        </w:rPr>
      </w:pPr>
      <w:r>
        <w:rPr>
          <w:rFonts w:hint="eastAsia" w:hAnsi="宋体" w:cs="宋体"/>
          <w:sz w:val="24"/>
          <w:szCs w:val="24"/>
        </w:rPr>
        <w:t>根据区禁毒办提供的资料，2019年度禁毒宣传形式有宣传材料、宣传报道、禁毒讲座、禁毒期刊、禁毒广告、标语和LED电子屏幕、专项培训、宣传教育基地、禁毒宣传微电影、开展禁毒法律有奖问答、举办“6.26”国际禁毒日大型宣教活动暨文艺汇演等形式，根据评分标准，该项指标可得满分5分。</w:t>
      </w:r>
    </w:p>
    <w:p>
      <w:pPr>
        <w:pStyle w:val="4"/>
        <w:spacing w:line="360" w:lineRule="auto"/>
        <w:ind w:firstLine="480" w:firstLineChars="200"/>
        <w:rPr>
          <w:rFonts w:hAnsi="宋体" w:cs="宋体"/>
          <w:sz w:val="24"/>
          <w:szCs w:val="24"/>
        </w:rPr>
      </w:pPr>
      <w:r>
        <w:rPr>
          <w:rFonts w:hint="eastAsia" w:hAnsi="宋体" w:cs="宋体"/>
          <w:sz w:val="24"/>
          <w:szCs w:val="24"/>
        </w:rPr>
        <w:t>④新四进全覆盖得4分（共4分）</w:t>
      </w:r>
    </w:p>
    <w:p>
      <w:pPr>
        <w:pStyle w:val="4"/>
        <w:spacing w:line="360" w:lineRule="auto"/>
        <w:ind w:firstLine="480" w:firstLineChars="200"/>
        <w:rPr>
          <w:rFonts w:hAnsi="宋体" w:cs="宋体"/>
          <w:sz w:val="24"/>
          <w:szCs w:val="24"/>
        </w:rPr>
      </w:pPr>
      <w:r>
        <w:rPr>
          <w:rFonts w:hint="eastAsia" w:hAnsi="宋体" w:cs="宋体"/>
          <w:sz w:val="24"/>
          <w:szCs w:val="24"/>
        </w:rPr>
        <w:t>按照禁毒重点整治攻坚行动实施方案要求，在禁毒“六进”（进社区、进场所、进家庭、进企业、进学校、进网络）的基础上，推动禁毒宣传进广场、进景区、进公共文化场所、进高速服务区的“新四进”，在全区形成自觉抵制毒品的浓厚氛围，根据区禁毒办提供的资料，2019年“新四进”实现了全覆盖，该项指标可得满分4分。</w:t>
      </w:r>
    </w:p>
    <w:p>
      <w:pPr>
        <w:spacing w:line="360" w:lineRule="auto"/>
        <w:ind w:firstLine="482" w:firstLineChars="200"/>
        <w:rPr>
          <w:rFonts w:ascii="宋体" w:hAnsi="宋体" w:cs="宋体"/>
          <w:szCs w:val="21"/>
        </w:rPr>
      </w:pPr>
      <w:r>
        <w:rPr>
          <w:rFonts w:hint="eastAsia" w:ascii="宋体" w:hAnsi="宋体" w:eastAsia="宋体" w:cs="宋体"/>
          <w:b/>
          <w:bCs/>
          <w:color w:val="000000"/>
          <w:sz w:val="24"/>
          <w:szCs w:val="22"/>
        </w:rPr>
        <w:t>2.可持续影响得1</w:t>
      </w:r>
      <w:r>
        <w:rPr>
          <w:rFonts w:hint="eastAsia" w:ascii="宋体" w:hAnsi="宋体" w:eastAsia="宋体" w:cs="宋体"/>
          <w:b/>
          <w:bCs/>
          <w:color w:val="000000"/>
          <w:sz w:val="24"/>
          <w:szCs w:val="22"/>
          <w:lang w:val="en-US" w:eastAsia="zh-CN"/>
        </w:rPr>
        <w:t>5</w:t>
      </w:r>
      <w:r>
        <w:rPr>
          <w:rFonts w:hint="eastAsia" w:ascii="宋体" w:hAnsi="宋体" w:eastAsia="宋体" w:cs="宋体"/>
          <w:b/>
          <w:bCs/>
          <w:color w:val="000000"/>
          <w:sz w:val="24"/>
          <w:szCs w:val="22"/>
        </w:rPr>
        <w:t>分（共15分）</w:t>
      </w:r>
    </w:p>
    <w:p>
      <w:pPr>
        <w:pStyle w:val="4"/>
        <w:spacing w:line="360" w:lineRule="auto"/>
        <w:ind w:firstLine="480" w:firstLineChars="200"/>
        <w:rPr>
          <w:rFonts w:hAnsi="宋体" w:cs="宋体"/>
          <w:sz w:val="24"/>
          <w:szCs w:val="24"/>
        </w:rPr>
      </w:pPr>
      <w:r>
        <w:rPr>
          <w:rFonts w:hint="eastAsia" w:hAnsi="宋体" w:cs="宋体"/>
          <w:sz w:val="24"/>
          <w:szCs w:val="24"/>
        </w:rPr>
        <w:t>“可持续影响”通过“宣教次数”、“宣传覆盖率”和“社工队伍建设”三个三级指标进行评价。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①宣教次数得5分（共5分）</w:t>
      </w:r>
    </w:p>
    <w:p>
      <w:pPr>
        <w:pStyle w:val="4"/>
        <w:spacing w:line="360" w:lineRule="auto"/>
        <w:ind w:firstLine="480" w:firstLineChars="200"/>
        <w:rPr>
          <w:rFonts w:hAnsi="宋体" w:cs="宋体"/>
          <w:sz w:val="24"/>
          <w:szCs w:val="24"/>
        </w:rPr>
      </w:pPr>
      <w:r>
        <w:rPr>
          <w:rFonts w:hint="eastAsia" w:hAnsi="宋体" w:cs="宋体"/>
          <w:sz w:val="24"/>
          <w:szCs w:val="24"/>
        </w:rPr>
        <w:t>根据区禁毒办提供的资料，2019年组织禁毒宣传教育活动912场，举办毒品预防教育讲座51次。根据评分标准该项指标得满分5分。</w:t>
      </w:r>
    </w:p>
    <w:p>
      <w:pPr>
        <w:pStyle w:val="4"/>
        <w:spacing w:line="360" w:lineRule="auto"/>
        <w:ind w:firstLine="480" w:firstLineChars="200"/>
        <w:rPr>
          <w:rFonts w:hAnsi="宋体" w:cs="宋体"/>
          <w:sz w:val="24"/>
          <w:szCs w:val="24"/>
        </w:rPr>
      </w:pPr>
      <w:r>
        <w:rPr>
          <w:rFonts w:hint="eastAsia" w:hAnsi="宋体" w:cs="宋体"/>
          <w:sz w:val="24"/>
          <w:szCs w:val="24"/>
        </w:rPr>
        <w:t>②宣传覆盖率得5分（共5分）</w:t>
      </w:r>
    </w:p>
    <w:p>
      <w:pPr>
        <w:pStyle w:val="4"/>
        <w:spacing w:line="360" w:lineRule="auto"/>
        <w:ind w:firstLine="480" w:firstLineChars="200"/>
        <w:rPr>
          <w:rFonts w:hAnsi="宋体" w:cs="宋体"/>
          <w:sz w:val="24"/>
          <w:szCs w:val="24"/>
        </w:rPr>
      </w:pPr>
      <w:r>
        <w:rPr>
          <w:rFonts w:hint="eastAsia" w:hAnsi="宋体" w:cs="宋体"/>
          <w:sz w:val="24"/>
          <w:szCs w:val="24"/>
        </w:rPr>
        <w:t>工作组设计了问卷星《泉州市丰泽区禁毒工作的宣传满意度调查问卷》（见附件3），并委托区禁毒办向各街道社区分发，共计回收314份问卷。从表4的统计数据看，禁毒宣传的群众知晓率达到</w:t>
      </w:r>
      <w:r>
        <w:rPr>
          <w:rFonts w:hint="eastAsia" w:hAnsi="宋体" w:cs="宋体"/>
          <w:sz w:val="24"/>
          <w:szCs w:val="24"/>
        </w:rPr>
        <w:drawing>
          <wp:inline distT="0" distB="0" distL="114300" distR="114300">
            <wp:extent cx="9525" cy="114300"/>
            <wp:effectExtent l="0" t="0" r="571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525" cy="114300"/>
                    </a:xfrm>
                    <a:prstGeom prst="rect">
                      <a:avLst/>
                    </a:prstGeom>
                    <a:noFill/>
                    <a:ln>
                      <a:noFill/>
                    </a:ln>
                  </pic:spPr>
                </pic:pic>
              </a:graphicData>
            </a:graphic>
          </wp:inline>
        </w:drawing>
      </w:r>
      <w:r>
        <w:rPr>
          <w:rFonts w:hint="eastAsia" w:hAnsi="宋体" w:cs="宋体"/>
          <w:sz w:val="24"/>
          <w:szCs w:val="24"/>
        </w:rPr>
        <w:t>99.68%，根据评分标准，该项指标可得满分5分。</w:t>
      </w:r>
    </w:p>
    <w:p>
      <w:pPr>
        <w:pStyle w:val="4"/>
        <w:spacing w:line="360" w:lineRule="auto"/>
        <w:jc w:val="center"/>
        <w:rPr>
          <w:rFonts w:hAnsi="宋体" w:cs="宋体"/>
          <w:b/>
          <w:bCs/>
          <w:sz w:val="24"/>
          <w:szCs w:val="24"/>
        </w:rPr>
      </w:pPr>
      <w:r>
        <w:rPr>
          <w:rFonts w:hint="eastAsia" w:hAnsi="宋体" w:cs="宋体"/>
          <w:b/>
          <w:bCs/>
          <w:sz w:val="24"/>
          <w:szCs w:val="24"/>
        </w:rPr>
        <w:t>表4  泉州市丰泽区禁毒工作的宣传满意度调查问卷分析</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11"/>
        <w:gridCol w:w="3514"/>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4"/>
              <w:spacing w:line="360" w:lineRule="auto"/>
              <w:jc w:val="center"/>
              <w:rPr>
                <w:rFonts w:hAnsi="宋体" w:eastAsia="宋体" w:cs="宋体"/>
                <w:b/>
                <w:bCs/>
                <w:color w:val="000000"/>
              </w:rPr>
            </w:pPr>
            <w:r>
              <w:rPr>
                <w:rFonts w:hint="eastAsia" w:hAnsi="宋体" w:eastAsia="宋体" w:cs="宋体"/>
                <w:b/>
                <w:bCs/>
                <w:color w:val="000000"/>
              </w:rPr>
              <w:t>序号</w:t>
            </w:r>
          </w:p>
        </w:tc>
        <w:tc>
          <w:tcPr>
            <w:tcW w:w="2311" w:type="dxa"/>
            <w:vAlign w:val="center"/>
          </w:tcPr>
          <w:p>
            <w:pPr>
              <w:pStyle w:val="4"/>
              <w:spacing w:line="360" w:lineRule="auto"/>
              <w:jc w:val="center"/>
              <w:rPr>
                <w:rFonts w:hAnsi="宋体" w:eastAsia="宋体" w:cs="宋体"/>
                <w:b/>
                <w:bCs/>
                <w:color w:val="000000"/>
              </w:rPr>
            </w:pPr>
            <w:r>
              <w:rPr>
                <w:rFonts w:hint="eastAsia" w:hAnsi="宋体" w:eastAsia="宋体" w:cs="宋体"/>
                <w:b/>
                <w:bCs/>
                <w:color w:val="000000"/>
              </w:rPr>
              <w:t>调查问题</w:t>
            </w:r>
          </w:p>
        </w:tc>
        <w:tc>
          <w:tcPr>
            <w:tcW w:w="3514" w:type="dxa"/>
            <w:vAlign w:val="center"/>
          </w:tcPr>
          <w:p>
            <w:pPr>
              <w:pStyle w:val="4"/>
              <w:spacing w:line="360" w:lineRule="auto"/>
              <w:jc w:val="center"/>
              <w:rPr>
                <w:rFonts w:hAnsi="宋体" w:eastAsia="宋体" w:cs="宋体"/>
                <w:b/>
                <w:bCs/>
                <w:color w:val="000000"/>
              </w:rPr>
            </w:pPr>
            <w:r>
              <w:rPr>
                <w:rFonts w:hint="eastAsia" w:hAnsi="宋体" w:eastAsia="宋体" w:cs="宋体"/>
                <w:b/>
                <w:bCs/>
                <w:color w:val="000000"/>
              </w:rPr>
              <w:t>分值计算说明</w:t>
            </w:r>
          </w:p>
        </w:tc>
        <w:tc>
          <w:tcPr>
            <w:tcW w:w="2251" w:type="dxa"/>
            <w:vAlign w:val="center"/>
          </w:tcPr>
          <w:p>
            <w:pPr>
              <w:pStyle w:val="4"/>
              <w:spacing w:line="360" w:lineRule="auto"/>
              <w:jc w:val="center"/>
              <w:rPr>
                <w:rFonts w:hAnsi="宋体" w:eastAsia="宋体" w:cs="宋体"/>
                <w:b/>
                <w:bCs/>
                <w:color w:val="000000"/>
              </w:rPr>
            </w:pPr>
            <w:r>
              <w:rPr>
                <w:rFonts w:hint="eastAsia" w:hAnsi="宋体" w:eastAsia="宋体" w:cs="宋体"/>
                <w:b/>
                <w:bCs/>
                <w:color w:val="000000"/>
              </w:rPr>
              <w:t>知晓率/满意度(%)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4"/>
              <w:spacing w:line="360" w:lineRule="auto"/>
              <w:jc w:val="center"/>
              <w:rPr>
                <w:rFonts w:hAnsi="宋体" w:cs="宋体"/>
              </w:rPr>
            </w:pPr>
            <w:r>
              <w:rPr>
                <w:rFonts w:hint="eastAsia" w:hAnsi="宋体" w:cs="宋体"/>
              </w:rPr>
              <w:t>问题1</w:t>
            </w:r>
          </w:p>
        </w:tc>
        <w:tc>
          <w:tcPr>
            <w:tcW w:w="2311" w:type="dxa"/>
            <w:vAlign w:val="center"/>
          </w:tcPr>
          <w:p>
            <w:pPr>
              <w:pStyle w:val="4"/>
              <w:spacing w:line="360" w:lineRule="auto"/>
              <w:jc w:val="center"/>
              <w:rPr>
                <w:rFonts w:hAnsi="宋体" w:cs="宋体"/>
              </w:rPr>
            </w:pPr>
            <w:r>
              <w:rPr>
                <w:rFonts w:hint="eastAsia" w:hAnsi="宋体" w:cs="宋体"/>
              </w:rPr>
              <w:t>禁毒宣传知晓率</w:t>
            </w:r>
          </w:p>
        </w:tc>
        <w:tc>
          <w:tcPr>
            <w:tcW w:w="3514" w:type="dxa"/>
            <w:vAlign w:val="center"/>
          </w:tcPr>
          <w:p>
            <w:pPr>
              <w:pStyle w:val="4"/>
              <w:spacing w:line="360" w:lineRule="auto"/>
              <w:jc w:val="center"/>
              <w:rPr>
                <w:rFonts w:hAnsi="宋体" w:cs="宋体"/>
              </w:rPr>
            </w:pPr>
            <w:r>
              <w:rPr>
                <w:rFonts w:hint="eastAsia" w:hAnsi="宋体" w:cs="宋体"/>
              </w:rPr>
              <w:t>313/314</w:t>
            </w:r>
          </w:p>
        </w:tc>
        <w:tc>
          <w:tcPr>
            <w:tcW w:w="2251" w:type="dxa"/>
            <w:vAlign w:val="center"/>
          </w:tcPr>
          <w:p>
            <w:pPr>
              <w:pStyle w:val="4"/>
              <w:spacing w:line="360" w:lineRule="auto"/>
              <w:jc w:val="center"/>
              <w:rPr>
                <w:rFonts w:hAnsi="宋体" w:cs="宋体"/>
              </w:rPr>
            </w:pPr>
            <w:r>
              <w:rPr>
                <w:rFonts w:hint="eastAsia" w:hAnsi="宋体" w:cs="宋体"/>
              </w:rPr>
              <w:t>99.68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4"/>
              <w:spacing w:line="360" w:lineRule="auto"/>
              <w:jc w:val="center"/>
              <w:rPr>
                <w:rFonts w:hAnsi="宋体" w:cs="宋体"/>
              </w:rPr>
            </w:pPr>
            <w:r>
              <w:rPr>
                <w:rFonts w:hint="eastAsia" w:hAnsi="宋体" w:cs="宋体"/>
              </w:rPr>
              <w:t>问题3</w:t>
            </w:r>
          </w:p>
        </w:tc>
        <w:tc>
          <w:tcPr>
            <w:tcW w:w="2311" w:type="dxa"/>
            <w:vAlign w:val="center"/>
          </w:tcPr>
          <w:p>
            <w:pPr>
              <w:pStyle w:val="4"/>
              <w:spacing w:line="360" w:lineRule="auto"/>
              <w:jc w:val="center"/>
              <w:rPr>
                <w:rFonts w:hAnsi="宋体" w:cs="宋体"/>
              </w:rPr>
            </w:pPr>
            <w:r>
              <w:rPr>
                <w:rFonts w:hint="eastAsia" w:hAnsi="宋体" w:cs="宋体"/>
              </w:rPr>
              <w:t>禁毒宣传方式满意度</w:t>
            </w:r>
          </w:p>
        </w:tc>
        <w:tc>
          <w:tcPr>
            <w:tcW w:w="3514" w:type="dxa"/>
            <w:vAlign w:val="center"/>
          </w:tcPr>
          <w:p>
            <w:pPr>
              <w:pStyle w:val="4"/>
              <w:jc w:val="center"/>
              <w:rPr>
                <w:rFonts w:hAnsi="宋体" w:cs="宋体"/>
              </w:rPr>
            </w:pPr>
            <w:r>
              <w:rPr>
                <w:rFonts w:hint="eastAsia" w:hAnsi="宋体" w:eastAsia="宋体" w:cs="宋体"/>
              </w:rPr>
              <w:t>（5×293+4×15+3×5+1×1）/（5×314）</w:t>
            </w:r>
          </w:p>
        </w:tc>
        <w:tc>
          <w:tcPr>
            <w:tcW w:w="2251" w:type="dxa"/>
            <w:vAlign w:val="center"/>
          </w:tcPr>
          <w:p>
            <w:pPr>
              <w:pStyle w:val="4"/>
              <w:spacing w:line="360" w:lineRule="auto"/>
              <w:jc w:val="center"/>
              <w:rPr>
                <w:rFonts w:hAnsi="宋体" w:cs="宋体"/>
              </w:rPr>
            </w:pPr>
            <w:r>
              <w:rPr>
                <w:rFonts w:hint="eastAsia" w:hAnsi="宋体" w:cs="宋体"/>
              </w:rPr>
              <w:t>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pStyle w:val="4"/>
              <w:spacing w:line="360" w:lineRule="auto"/>
              <w:jc w:val="center"/>
              <w:rPr>
                <w:rFonts w:hAnsi="宋体" w:cs="宋体"/>
              </w:rPr>
            </w:pPr>
            <w:r>
              <w:rPr>
                <w:rFonts w:hint="eastAsia" w:hAnsi="宋体" w:cs="宋体"/>
              </w:rPr>
              <w:t>问题4</w:t>
            </w:r>
          </w:p>
        </w:tc>
        <w:tc>
          <w:tcPr>
            <w:tcW w:w="2311" w:type="dxa"/>
            <w:vAlign w:val="center"/>
          </w:tcPr>
          <w:p>
            <w:pPr>
              <w:pStyle w:val="4"/>
              <w:spacing w:line="360" w:lineRule="auto"/>
              <w:jc w:val="center"/>
              <w:rPr>
                <w:rFonts w:hAnsi="宋体" w:cs="宋体"/>
              </w:rPr>
            </w:pPr>
            <w:r>
              <w:rPr>
                <w:rFonts w:hint="eastAsia" w:hAnsi="宋体" w:cs="宋体"/>
              </w:rPr>
              <w:t>禁毒宣传力度满意度</w:t>
            </w:r>
          </w:p>
        </w:tc>
        <w:tc>
          <w:tcPr>
            <w:tcW w:w="3514" w:type="dxa"/>
            <w:vAlign w:val="center"/>
          </w:tcPr>
          <w:p>
            <w:pPr>
              <w:pStyle w:val="4"/>
              <w:jc w:val="center"/>
              <w:rPr>
                <w:rFonts w:hAnsi="宋体" w:cs="宋体"/>
              </w:rPr>
            </w:pPr>
            <w:r>
              <w:rPr>
                <w:rFonts w:hint="eastAsia" w:hAnsi="宋体" w:eastAsia="宋体" w:cs="宋体"/>
              </w:rPr>
              <w:t>（5×288+4×19+3×6+1×1）/（5×314）</w:t>
            </w:r>
          </w:p>
        </w:tc>
        <w:tc>
          <w:tcPr>
            <w:tcW w:w="2251" w:type="dxa"/>
            <w:vAlign w:val="center"/>
          </w:tcPr>
          <w:p>
            <w:pPr>
              <w:pStyle w:val="4"/>
              <w:spacing w:line="360" w:lineRule="auto"/>
              <w:jc w:val="center"/>
              <w:rPr>
                <w:rFonts w:hAnsi="宋体" w:cs="宋体"/>
              </w:rPr>
            </w:pPr>
            <w:r>
              <w:rPr>
                <w:rFonts w:hint="eastAsia" w:hAnsi="宋体" w:cs="宋体"/>
              </w:rPr>
              <w:t>97.77</w:t>
            </w:r>
          </w:p>
        </w:tc>
      </w:tr>
    </w:tbl>
    <w:p>
      <w:pPr>
        <w:pStyle w:val="4"/>
        <w:spacing w:line="360" w:lineRule="auto"/>
        <w:ind w:firstLine="480" w:firstLineChars="200"/>
        <w:rPr>
          <w:rFonts w:hAnsi="宋体" w:cs="宋体"/>
          <w:sz w:val="24"/>
          <w:szCs w:val="24"/>
        </w:rPr>
      </w:pPr>
      <w:r>
        <w:rPr>
          <w:rFonts w:hint="eastAsia" w:hAnsi="宋体" w:cs="宋体"/>
          <w:sz w:val="24"/>
          <w:szCs w:val="24"/>
        </w:rPr>
        <w:t>③社工队伍建设得</w:t>
      </w:r>
      <w:r>
        <w:rPr>
          <w:rFonts w:hint="eastAsia" w:hAnsi="宋体" w:cs="宋体"/>
          <w:sz w:val="24"/>
          <w:szCs w:val="24"/>
          <w:lang w:val="en-US" w:eastAsia="zh-CN"/>
        </w:rPr>
        <w:t>5</w:t>
      </w:r>
      <w:r>
        <w:rPr>
          <w:rFonts w:hint="eastAsia" w:hAnsi="宋体" w:cs="宋体"/>
          <w:sz w:val="24"/>
          <w:szCs w:val="24"/>
        </w:rPr>
        <w:t>分（共5分）</w:t>
      </w:r>
    </w:p>
    <w:p>
      <w:pPr>
        <w:pStyle w:val="4"/>
        <w:spacing w:line="360" w:lineRule="auto"/>
        <w:ind w:firstLine="480" w:firstLineChars="200"/>
        <w:rPr>
          <w:rFonts w:hAnsi="宋体" w:cs="宋体"/>
          <w:sz w:val="24"/>
          <w:szCs w:val="24"/>
        </w:rPr>
      </w:pPr>
      <w:r>
        <w:rPr>
          <w:rFonts w:hint="eastAsia" w:hAnsi="宋体" w:eastAsia="宋体" w:cs="宋体"/>
          <w:bCs/>
          <w:sz w:val="24"/>
          <w:szCs w:val="24"/>
          <w:u w:val="none"/>
          <w:lang w:val="en-US" w:eastAsia="zh-CN"/>
        </w:rPr>
        <w:t>根据</w:t>
      </w:r>
      <w:r>
        <w:rPr>
          <w:rFonts w:hint="eastAsia" w:ascii="宋体" w:hAnsi="宋体" w:eastAsia="宋体" w:cs="宋体"/>
          <w:bCs/>
          <w:sz w:val="24"/>
          <w:szCs w:val="24"/>
          <w:u w:val="none"/>
          <w:lang w:val="en-US" w:eastAsia="zh-CN"/>
        </w:rPr>
        <w:t>《丰泽区机关、事业单位工作人员调配领导小组二〇一九年第四次会议纪要》（〔2019〕4号）文件精神，社工队伍建设应达到13名，</w:t>
      </w:r>
      <w:r>
        <w:rPr>
          <w:rFonts w:hint="eastAsia" w:hAnsi="宋体" w:eastAsia="宋体" w:cs="宋体"/>
          <w:bCs/>
          <w:sz w:val="24"/>
          <w:szCs w:val="24"/>
          <w:u w:val="none"/>
          <w:lang w:val="en-US" w:eastAsia="zh-CN"/>
        </w:rPr>
        <w:t>2019年禁毒大队</w:t>
      </w:r>
      <w:r>
        <w:rPr>
          <w:rFonts w:hint="eastAsia" w:ascii="宋体" w:hAnsi="宋体" w:eastAsia="宋体" w:cs="宋体"/>
          <w:bCs/>
          <w:sz w:val="24"/>
          <w:szCs w:val="24"/>
          <w:u w:val="none"/>
          <w:lang w:val="en-US" w:eastAsia="zh-CN"/>
        </w:rPr>
        <w:t>的13名</w:t>
      </w:r>
      <w:r>
        <w:rPr>
          <w:rFonts w:hint="eastAsia" w:hAnsi="宋体" w:eastAsia="宋体" w:cs="宋体"/>
          <w:bCs/>
          <w:sz w:val="24"/>
          <w:szCs w:val="24"/>
          <w:u w:val="none"/>
          <w:lang w:val="en-US" w:eastAsia="zh-CN"/>
        </w:rPr>
        <w:t>社工</w:t>
      </w:r>
      <w:r>
        <w:rPr>
          <w:rFonts w:hint="eastAsia" w:ascii="宋体" w:hAnsi="宋体" w:eastAsia="宋体" w:cs="宋体"/>
          <w:bCs/>
          <w:sz w:val="24"/>
          <w:szCs w:val="24"/>
          <w:u w:val="none"/>
          <w:lang w:val="en-US" w:eastAsia="zh-CN"/>
        </w:rPr>
        <w:t>指标已全部招满。</w:t>
      </w:r>
      <w:r>
        <w:rPr>
          <w:rFonts w:hint="eastAsia" w:hAnsi="宋体" w:cs="宋体"/>
          <w:sz w:val="24"/>
          <w:szCs w:val="24"/>
        </w:rPr>
        <w:t>按照评分标准，该项指标</w:t>
      </w:r>
      <w:r>
        <w:rPr>
          <w:rFonts w:hint="eastAsia" w:hAnsi="宋体" w:cs="宋体"/>
          <w:sz w:val="24"/>
          <w:szCs w:val="24"/>
          <w:lang w:val="en-US" w:eastAsia="zh-CN"/>
        </w:rPr>
        <w:t>可</w:t>
      </w:r>
      <w:r>
        <w:rPr>
          <w:rFonts w:hint="eastAsia" w:hAnsi="宋体" w:cs="宋体"/>
          <w:sz w:val="24"/>
          <w:szCs w:val="24"/>
        </w:rPr>
        <w:t>得</w:t>
      </w:r>
      <w:r>
        <w:rPr>
          <w:rFonts w:hint="eastAsia" w:hAnsi="宋体" w:cs="宋体"/>
          <w:sz w:val="24"/>
          <w:szCs w:val="24"/>
          <w:lang w:val="en-US" w:eastAsia="zh-CN"/>
        </w:rPr>
        <w:t>满分5</w:t>
      </w:r>
      <w:r>
        <w:rPr>
          <w:rFonts w:hint="eastAsia" w:hAnsi="宋体" w:cs="宋体"/>
          <w:sz w:val="24"/>
          <w:szCs w:val="24"/>
        </w:rPr>
        <w:t>分。</w:t>
      </w:r>
    </w:p>
    <w:p>
      <w:pPr>
        <w:spacing w:line="360" w:lineRule="auto"/>
        <w:ind w:firstLine="482" w:firstLineChars="200"/>
        <w:rPr>
          <w:rFonts w:ascii="宋体" w:hAnsi="宋体" w:cs="宋体"/>
          <w:szCs w:val="21"/>
        </w:rPr>
      </w:pPr>
      <w:r>
        <w:rPr>
          <w:rFonts w:hint="eastAsia" w:ascii="宋体" w:hAnsi="宋体" w:eastAsia="宋体" w:cs="宋体"/>
          <w:b/>
          <w:bCs/>
          <w:color w:val="000000"/>
          <w:sz w:val="24"/>
          <w:szCs w:val="22"/>
        </w:rPr>
        <w:t>3.满意度得11分（共12分）</w:t>
      </w:r>
    </w:p>
    <w:p>
      <w:pPr>
        <w:pStyle w:val="4"/>
        <w:spacing w:line="360" w:lineRule="auto"/>
        <w:ind w:firstLine="480" w:firstLineChars="200"/>
        <w:rPr>
          <w:rFonts w:hAnsi="宋体" w:cs="宋体"/>
          <w:sz w:val="24"/>
          <w:szCs w:val="24"/>
        </w:rPr>
      </w:pPr>
      <w:r>
        <w:rPr>
          <w:rFonts w:hint="eastAsia" w:hAnsi="宋体" w:cs="宋体"/>
          <w:sz w:val="24"/>
          <w:szCs w:val="24"/>
        </w:rPr>
        <w:t>“满意度”通过“上级主管部门满意度”和“群众满意度”二个三级指标进行评价。</w:t>
      </w:r>
    </w:p>
    <w:p>
      <w:pPr>
        <w:pStyle w:val="4"/>
        <w:spacing w:line="360" w:lineRule="auto"/>
        <w:ind w:firstLine="480" w:firstLineChars="200"/>
        <w:rPr>
          <w:rFonts w:hAnsi="宋体" w:cs="宋体"/>
          <w:sz w:val="24"/>
          <w:szCs w:val="24"/>
        </w:rPr>
      </w:pPr>
      <w:r>
        <w:rPr>
          <w:rFonts w:hint="eastAsia" w:hAnsi="宋体" w:cs="宋体"/>
          <w:sz w:val="24"/>
          <w:szCs w:val="24"/>
        </w:rPr>
        <w:t>①上级主管部门满意度得5分（共6分）</w:t>
      </w:r>
    </w:p>
    <w:p>
      <w:pPr>
        <w:pStyle w:val="4"/>
        <w:spacing w:line="360" w:lineRule="auto"/>
        <w:ind w:firstLine="480" w:firstLineChars="200"/>
        <w:rPr>
          <w:rFonts w:hAnsi="宋体" w:cs="宋体"/>
          <w:sz w:val="24"/>
          <w:szCs w:val="24"/>
        </w:rPr>
      </w:pPr>
      <w:r>
        <w:rPr>
          <w:rFonts w:hint="eastAsia" w:hAnsi="宋体" w:cs="宋体"/>
          <w:sz w:val="24"/>
          <w:szCs w:val="24"/>
        </w:rPr>
        <w:t>根据评分标准，摘掉“禁毒重点关注地区”帽子得6分，未摘帽但获得市级（含）以上领导表扬得3分。由于疫情影响，虽然丰泽区禁毒工作已于2020年5月已通过省禁毒委验收，但还需要副省长签署意见才能正式摘帽，此外，丰泽区禁毒工作得到泉州市禁毒委表彰，获得2019年全市禁毒工作综合评价优胜单位，因还未正式摘帽，该项指标酌情扣1分，得5分。</w:t>
      </w:r>
    </w:p>
    <w:p>
      <w:pPr>
        <w:pStyle w:val="4"/>
        <w:spacing w:line="360" w:lineRule="auto"/>
        <w:ind w:firstLine="480" w:firstLineChars="200"/>
        <w:rPr>
          <w:rFonts w:hAnsi="宋体" w:cs="宋体"/>
          <w:sz w:val="24"/>
          <w:szCs w:val="24"/>
        </w:rPr>
      </w:pPr>
      <w:r>
        <w:rPr>
          <w:rFonts w:hint="eastAsia" w:hAnsi="宋体" w:cs="宋体"/>
          <w:sz w:val="24"/>
          <w:szCs w:val="24"/>
        </w:rPr>
        <w:t>②群众满意度得6分（共6分）</w:t>
      </w:r>
    </w:p>
    <w:p>
      <w:pPr>
        <w:pStyle w:val="4"/>
        <w:spacing w:line="360" w:lineRule="auto"/>
        <w:ind w:firstLine="480" w:firstLineChars="200"/>
        <w:rPr>
          <w:rFonts w:hAnsi="宋体" w:cs="宋体"/>
          <w:sz w:val="24"/>
        </w:rPr>
      </w:pPr>
      <w:r>
        <w:rPr>
          <w:rFonts w:hint="eastAsia" w:hAnsi="宋体" w:cs="宋体"/>
          <w:sz w:val="24"/>
          <w:szCs w:val="24"/>
        </w:rPr>
        <w:t>根据调查问卷统计数据分析（见表4），群众对禁毒宣传的方式和力度的满意度达到98.15%和97.77%。根据评分标准，该项指标满分6分，得6分。</w:t>
      </w:r>
    </w:p>
    <w:p>
      <w:pPr>
        <w:pStyle w:val="8"/>
        <w:spacing w:beforeLines="100" w:afterLines="100"/>
        <w:outlineLvl w:val="0"/>
        <w:rPr>
          <w:rFonts w:ascii="黑体" w:hAnsi="黑体" w:eastAsia="黑体" w:cs="黑体"/>
          <w:b w:val="0"/>
          <w:bCs/>
        </w:rPr>
      </w:pPr>
      <w:bookmarkStart w:id="14" w:name="_Toc4692"/>
      <w:r>
        <w:rPr>
          <w:rFonts w:hint="eastAsia" w:ascii="黑体" w:hAnsi="黑体" w:eastAsia="黑体" w:cs="黑体"/>
          <w:b w:val="0"/>
          <w:bCs/>
        </w:rPr>
        <w:t>五、主要经验及做法、存在的问题及原因分析</w:t>
      </w:r>
      <w:bookmarkEnd w:id="14"/>
    </w:p>
    <w:p>
      <w:pPr>
        <w:pStyle w:val="10"/>
        <w:ind w:firstLine="562"/>
        <w:outlineLvl w:val="1"/>
      </w:pPr>
      <w:bookmarkStart w:id="15" w:name="_Toc12712"/>
      <w:r>
        <w:rPr>
          <w:rFonts w:hint="eastAsia"/>
        </w:rPr>
        <w:t>（一）主要经验及做法</w:t>
      </w:r>
      <w:bookmarkEnd w:id="15"/>
    </w:p>
    <w:p>
      <w:pPr>
        <w:pStyle w:val="4"/>
        <w:spacing w:line="360" w:lineRule="auto"/>
        <w:ind w:firstLine="480" w:firstLineChars="200"/>
        <w:rPr>
          <w:rFonts w:hAnsi="宋体" w:cs="宋体"/>
          <w:sz w:val="24"/>
          <w:szCs w:val="24"/>
        </w:rPr>
      </w:pPr>
      <w:r>
        <w:rPr>
          <w:rFonts w:hint="eastAsia" w:hAnsi="宋体" w:cs="宋体"/>
          <w:sz w:val="24"/>
          <w:szCs w:val="24"/>
        </w:rPr>
        <w:t>丰泽区区委、区政府对2019年度全区禁毒工作部署，严格根据《福建省禁毒重点整治工作办法》、《福建省禁毒工作综合评估办法》、《福建省禁毒重点整治地区认定及验收细则》等有关规定，结合“禁毒2019两打两控”、“飓风肃毒2019”等专项行动，专设禁毒人民战争专项工作经费，加大禁毒经费投入，制定《丰泽区2019年禁毒重点整治攻坚行动实施方案》，分阶段安排禁毒工作推进。主要经验和做法如下：</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1.指导思想正确</w:t>
      </w:r>
    </w:p>
    <w:p>
      <w:pPr>
        <w:pStyle w:val="4"/>
        <w:spacing w:line="360" w:lineRule="auto"/>
        <w:ind w:firstLine="480" w:firstLineChars="200"/>
        <w:rPr>
          <w:rFonts w:hAnsi="宋体" w:cs="宋体"/>
          <w:sz w:val="24"/>
          <w:szCs w:val="24"/>
        </w:rPr>
      </w:pPr>
      <w:r>
        <w:rPr>
          <w:rFonts w:hint="eastAsia" w:hAnsi="宋体" w:cs="宋体"/>
          <w:sz w:val="24"/>
          <w:szCs w:val="24"/>
        </w:rPr>
        <w:t>坚持以党的十九大精神和习近平总书记“走中国特色的毒品问题治理之路，坚决打赢新时代禁毒人民战争”的重要指示精神为指导，按照习近平总书记“认识到位、措施到位、责任到位、保障到位”的总要求，增强“四个意识”、坚定“四个自信”、做到“两个维护”，认真学习贯彻“7.17”全国禁毒工作电视电话会议精神，按照省、市禁毒委、禁毒办、区委、区政府部署要求，能够以当前影响丰泽区禁毒形势的“团伙贩毒、零星贩毒犯罪和毒品集散地、吸毒人员增多”四个突出问题为打击重点，以最坚决的态度、最管用的措施、最有效的办法，全力以赴、全员参与，确保“摘掉帽子，打出声威，整出声势”，坚决打赢禁毒重点整治攻坚战，全面构建“五全”毒品治理体系，即构建全覆盖毒品预防教育体系、全环节管控吸毒人员体系、全链条打击毒品犯罪体系、全要素监管制毒物品体系、全方位毒情监测预警体系，切实满足人民群众对美好生活的向往，营造和谐稳定的社会环境。</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2.上级主管部门高度重视</w:t>
      </w:r>
    </w:p>
    <w:p>
      <w:pPr>
        <w:pStyle w:val="4"/>
        <w:spacing w:line="360" w:lineRule="auto"/>
        <w:ind w:firstLine="480" w:firstLineChars="200"/>
        <w:rPr>
          <w:rFonts w:hAnsi="宋体" w:cs="宋体"/>
          <w:sz w:val="24"/>
          <w:szCs w:val="24"/>
        </w:rPr>
      </w:pPr>
      <w:r>
        <w:rPr>
          <w:rFonts w:hint="eastAsia" w:hAnsi="宋体" w:cs="宋体"/>
          <w:sz w:val="24"/>
          <w:szCs w:val="24"/>
        </w:rPr>
        <w:t>区委区政府将禁毒工作列入“强基促稳”三年行动重要内容，纳入党政领导干部年度考核、政府效能、综治平安建设、文明创建等考核范畴。区委召开多次常委会，区政府召开政府常务会，专题研究禁毒工作，区委区政府多次召开全区禁毒重点整治攻坚战部署动员会和禁毒工作推进会，领导先后34次对禁毒工作作出具体部署和批示，并多次到一线督导推动，确保各项禁毒措施落到实处。</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3.责任到位</w:t>
      </w:r>
    </w:p>
    <w:p>
      <w:pPr>
        <w:pStyle w:val="4"/>
        <w:spacing w:line="360" w:lineRule="auto"/>
        <w:ind w:firstLine="480" w:firstLineChars="200"/>
        <w:rPr>
          <w:rFonts w:hAnsi="宋体" w:cs="宋体"/>
          <w:sz w:val="24"/>
          <w:szCs w:val="24"/>
        </w:rPr>
      </w:pPr>
      <w:r>
        <w:rPr>
          <w:rFonts w:hint="eastAsia" w:hAnsi="宋体" w:cs="宋体"/>
          <w:sz w:val="24"/>
          <w:szCs w:val="24"/>
        </w:rPr>
        <w:t>以《毒品问题严重地区责任考评办法》为主线，找准突出短板和薄弱环节。主动聚焦全省禁毒重点整治22项重点工作事项，扎实推进新时代禁毒工作向纵深发展。区禁毒委与全区八个街道和区禁毒委成员各单位签订了责任书，印发了《丰泽区禁毒重点整治工作方案》《丰泽区禁毒工作责任制》《丰泽区重点整治实施细则》等系列文件，明确规定党委、政府、禁毒委各成员单位的职责任务，形成“责任到人”“分级管理”“人人有责”的工作格局。</w:t>
      </w:r>
    </w:p>
    <w:p>
      <w:pPr>
        <w:spacing w:line="360" w:lineRule="auto"/>
        <w:ind w:firstLine="482" w:firstLineChars="200"/>
        <w:rPr>
          <w:rFonts w:hint="eastAsia" w:ascii="宋体" w:hAnsi="宋体" w:eastAsia="宋体" w:cs="宋体"/>
          <w:b/>
          <w:bCs/>
          <w:color w:val="000000"/>
          <w:sz w:val="24"/>
          <w:szCs w:val="22"/>
          <w:lang w:val="en-US" w:eastAsia="zh-CN"/>
        </w:rPr>
      </w:pPr>
      <w:r>
        <w:rPr>
          <w:rFonts w:hint="eastAsia" w:ascii="宋体" w:hAnsi="宋体" w:eastAsia="宋体" w:cs="宋体"/>
          <w:b/>
          <w:bCs/>
          <w:color w:val="000000"/>
          <w:sz w:val="24"/>
          <w:szCs w:val="22"/>
        </w:rPr>
        <w:t>4.</w:t>
      </w:r>
      <w:r>
        <w:rPr>
          <w:rFonts w:hint="eastAsia" w:ascii="宋体" w:hAnsi="宋体" w:eastAsia="宋体" w:cs="宋体"/>
          <w:b/>
          <w:bCs/>
          <w:color w:val="000000"/>
          <w:sz w:val="24"/>
          <w:szCs w:val="22"/>
          <w:lang w:val="en-US" w:eastAsia="zh-CN"/>
        </w:rPr>
        <w:t>禁毒宣传教育工作常态化</w:t>
      </w:r>
    </w:p>
    <w:p>
      <w:pPr>
        <w:pStyle w:val="4"/>
        <w:spacing w:line="360" w:lineRule="auto"/>
        <w:ind w:firstLine="480" w:firstLineChars="200"/>
        <w:rPr>
          <w:rFonts w:hAnsi="宋体" w:cs="宋体"/>
          <w:sz w:val="24"/>
          <w:szCs w:val="24"/>
        </w:rPr>
      </w:pPr>
      <w:r>
        <w:rPr>
          <w:rFonts w:hint="eastAsia" w:hAnsi="宋体" w:cs="宋体"/>
          <w:sz w:val="24"/>
          <w:szCs w:val="24"/>
        </w:rPr>
        <w:t>2019年，丰泽区委、区政府加大对禁毒工作的投入，建设1个区级林则徐禁毒教育基地、8个街道社区戒毒社区康复管理工作站、10所林则徐禁毒宣教室、白水营禁毒宣传文化长廊、两条禁毒宣传街等一系列禁毒宣传阵地，不断深化青少年毒品预防教育“6·27”工程建设，推动青少年毒品宣传教育工作常态化，实现了毒品预防教育阵地全覆盖、宣传无盲区。</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5.宣传形式多样化</w:t>
      </w:r>
    </w:p>
    <w:p>
      <w:pPr>
        <w:pStyle w:val="4"/>
        <w:spacing w:line="360" w:lineRule="auto"/>
        <w:ind w:firstLine="480" w:firstLineChars="200"/>
        <w:rPr>
          <w:rFonts w:hAnsi="宋体" w:cs="宋体"/>
          <w:sz w:val="24"/>
          <w:szCs w:val="24"/>
        </w:rPr>
      </w:pPr>
      <w:r>
        <w:rPr>
          <w:rFonts w:hint="eastAsia" w:hAnsi="宋体" w:cs="宋体"/>
          <w:sz w:val="24"/>
          <w:szCs w:val="24"/>
        </w:rPr>
        <w:t>健全新时代全民禁毒宣传教育体系。建立健全禁毒宣传长效机制，推进禁毒宣传阵地建设，提升综合性禁毒宣传教育亮点工程，采取宣传材料、宣传报道、禁毒讲座、禁毒期刊、禁毒广告、标语和LED电子屏幕、专项培训、宣传教育基地、禁毒宣传微电影、开展禁毒法律有奖问答等多样化的宣传形式，围绕“6·3”、“6·26”等重要节点，组织开展“全民禁毒宣传月”等大型禁毒主题宣传教育活动，掀起禁毒宣传热潮。这些形式有针对性地开展毒品预防教育，全面提升社会公众特别是青少年识毒防毒拒毒意识。</w:t>
      </w:r>
    </w:p>
    <w:p>
      <w:pPr>
        <w:pStyle w:val="10"/>
        <w:ind w:firstLine="562"/>
        <w:outlineLvl w:val="1"/>
      </w:pPr>
      <w:bookmarkStart w:id="16" w:name="_Toc26517"/>
      <w:r>
        <w:rPr>
          <w:rFonts w:hint="eastAsia"/>
        </w:rPr>
        <w:t>（二）存在的问题及原因分析</w:t>
      </w:r>
      <w:bookmarkEnd w:id="16"/>
    </w:p>
    <w:p>
      <w:pPr>
        <w:spacing w:line="360" w:lineRule="auto"/>
        <w:ind w:firstLine="482" w:firstLineChars="200"/>
        <w:rPr>
          <w:rFonts w:ascii="宋体" w:hAnsi="宋体" w:eastAsia="宋体" w:cs="宋体"/>
          <w:b/>
          <w:bCs/>
          <w:color w:val="000000"/>
          <w:sz w:val="24"/>
          <w:szCs w:val="22"/>
        </w:rPr>
      </w:pPr>
      <w:bookmarkStart w:id="17" w:name="_Toc27501"/>
      <w:r>
        <w:rPr>
          <w:rFonts w:hint="eastAsia" w:ascii="宋体" w:hAnsi="宋体" w:eastAsia="宋体" w:cs="宋体"/>
          <w:b/>
          <w:bCs/>
          <w:color w:val="000000"/>
          <w:sz w:val="24"/>
          <w:szCs w:val="22"/>
        </w:rPr>
        <w:t>1.自评指标</w:t>
      </w:r>
      <w:bookmarkEnd w:id="17"/>
      <w:r>
        <w:rPr>
          <w:rFonts w:hint="eastAsia" w:ascii="宋体" w:hAnsi="宋体" w:eastAsia="宋体" w:cs="宋体"/>
          <w:b/>
          <w:bCs/>
          <w:color w:val="000000"/>
          <w:sz w:val="24"/>
          <w:szCs w:val="22"/>
        </w:rPr>
        <w:t>设置不够完善</w:t>
      </w:r>
    </w:p>
    <w:p>
      <w:pPr>
        <w:pStyle w:val="4"/>
        <w:spacing w:line="360" w:lineRule="auto"/>
        <w:ind w:firstLine="480" w:firstLineChars="200"/>
        <w:rPr>
          <w:rFonts w:hAnsi="宋体" w:cs="宋体"/>
          <w:sz w:val="24"/>
          <w:szCs w:val="24"/>
        </w:rPr>
      </w:pPr>
      <w:r>
        <w:rPr>
          <w:rFonts w:hint="eastAsia" w:hAnsi="宋体" w:cs="宋体"/>
          <w:sz w:val="24"/>
          <w:szCs w:val="24"/>
        </w:rPr>
        <w:t>禁毒工作专项经费的投入和禁毒宣传工作的开展应注重后续影响，但从区禁毒办的绩效自评表来看，自评表缺少重要的“可持续影响”二级指标，且部分三级指标对应的二级指标存在偏差，目标值设置不够明确，定量目标较少，绩效目标申报工作有待完善。</w:t>
      </w:r>
    </w:p>
    <w:p>
      <w:pPr>
        <w:pStyle w:val="4"/>
        <w:spacing w:line="360" w:lineRule="auto"/>
        <w:ind w:firstLine="480" w:firstLineChars="200"/>
        <w:rPr>
          <w:rFonts w:hAnsi="宋体" w:cs="宋体"/>
          <w:sz w:val="24"/>
          <w:szCs w:val="24"/>
        </w:rPr>
      </w:pPr>
      <w:r>
        <w:rPr>
          <w:rFonts w:hint="eastAsia" w:hAnsi="宋体" w:cs="宋体"/>
          <w:sz w:val="24"/>
          <w:szCs w:val="24"/>
        </w:rPr>
        <w:t>如自评表中的社会效益指标，“创建10所林则徐禁毒宣教室”、“建设丰泽区林则徐禁毒教育基地”和“开展各型禁毒宣传活动”实际上都属于产出数量指标，而对应的设定为目标值的“提高对青少年毒品预防教育”、“提高群众对毒品的认知和毒品的危害”和“提高群众对毒品的认知”则是体现社会效益和可持续影响，但应通过调查问卷等获得相应的目标值。</w:t>
      </w:r>
    </w:p>
    <w:p>
      <w:pPr>
        <w:spacing w:line="360" w:lineRule="auto"/>
        <w:ind w:firstLine="482" w:firstLineChars="200"/>
        <w:rPr>
          <w:rFonts w:hint="eastAsia" w:ascii="宋体" w:hAnsi="宋体" w:eastAsia="宋体" w:cs="宋体"/>
          <w:b/>
          <w:bCs/>
          <w:color w:val="000000"/>
          <w:sz w:val="24"/>
          <w:szCs w:val="22"/>
          <w:lang w:eastAsia="zh-CN"/>
        </w:rPr>
      </w:pPr>
      <w:bookmarkStart w:id="18" w:name="_Toc10982"/>
      <w:r>
        <w:rPr>
          <w:rFonts w:hint="eastAsia" w:ascii="宋体" w:hAnsi="宋体" w:eastAsia="宋体" w:cs="宋体"/>
          <w:b/>
          <w:bCs/>
          <w:color w:val="000000"/>
          <w:sz w:val="24"/>
          <w:szCs w:val="22"/>
        </w:rPr>
        <w:t>2.</w:t>
      </w:r>
      <w:bookmarkEnd w:id="18"/>
      <w:r>
        <w:rPr>
          <w:rFonts w:hint="eastAsia" w:ascii="宋体" w:hAnsi="宋体" w:eastAsia="宋体" w:cs="宋体"/>
          <w:b/>
          <w:bCs/>
          <w:color w:val="000000"/>
          <w:sz w:val="24"/>
          <w:szCs w:val="22"/>
        </w:rPr>
        <w:t>禁毒</w:t>
      </w:r>
      <w:r>
        <w:rPr>
          <w:rFonts w:hint="eastAsia" w:ascii="宋体" w:hAnsi="宋体" w:eastAsia="宋体" w:cs="宋体"/>
          <w:b/>
          <w:bCs/>
          <w:color w:val="000000"/>
          <w:sz w:val="24"/>
          <w:szCs w:val="22"/>
          <w:lang w:val="en-US" w:eastAsia="zh-CN"/>
        </w:rPr>
        <w:t>办案</w:t>
      </w:r>
      <w:r>
        <w:rPr>
          <w:rFonts w:hint="eastAsia" w:ascii="宋体" w:hAnsi="宋体" w:eastAsia="宋体" w:cs="宋体"/>
          <w:b/>
          <w:bCs/>
          <w:color w:val="000000"/>
          <w:sz w:val="24"/>
          <w:szCs w:val="22"/>
        </w:rPr>
        <w:t>经费预算</w:t>
      </w:r>
      <w:r>
        <w:rPr>
          <w:rFonts w:hint="eastAsia" w:ascii="宋体" w:hAnsi="宋体" w:eastAsia="宋体" w:cs="宋体"/>
          <w:b/>
          <w:bCs/>
          <w:color w:val="000000"/>
          <w:sz w:val="24"/>
          <w:szCs w:val="22"/>
          <w:lang w:val="en-US" w:eastAsia="zh-CN"/>
        </w:rPr>
        <w:t>不足</w:t>
      </w:r>
    </w:p>
    <w:p>
      <w:pPr>
        <w:pStyle w:val="4"/>
        <w:spacing w:line="360" w:lineRule="auto"/>
        <w:ind w:firstLine="480" w:firstLineChars="200"/>
        <w:rPr>
          <w:rFonts w:hAnsi="宋体" w:cs="宋体"/>
          <w:sz w:val="24"/>
          <w:szCs w:val="24"/>
        </w:rPr>
      </w:pPr>
      <w:r>
        <w:rPr>
          <w:rFonts w:hint="eastAsia" w:hAnsi="宋体" w:cs="宋体"/>
          <w:sz w:val="24"/>
        </w:rPr>
        <w:t>根据《丰泽区区委常委第102次会议纪要》（中共泉州市丰泽区第五届委员会会议纪要〔2019〕4号），2019年禁毒工作专项经费具体用于保障</w:t>
      </w:r>
      <w:r>
        <w:rPr>
          <w:rFonts w:hint="eastAsia" w:hAnsi="宋体" w:cs="宋体"/>
          <w:sz w:val="24"/>
          <w:lang w:eastAsia="zh-CN"/>
        </w:rPr>
        <w:t>禁毒办案</w:t>
      </w:r>
      <w:r>
        <w:rPr>
          <w:rFonts w:hint="eastAsia" w:hAnsi="宋体" w:cs="宋体"/>
          <w:sz w:val="24"/>
        </w:rPr>
        <w:t>、基础设施建设、完善装备设备、落实宣传教育、强化打击防控等方面，而目前该项经费主要用于宣传教育和基础设施建设，保障</w:t>
      </w:r>
      <w:r>
        <w:rPr>
          <w:rFonts w:hint="eastAsia" w:hAnsi="宋体" w:cs="宋体"/>
          <w:sz w:val="24"/>
          <w:lang w:eastAsia="zh-CN"/>
        </w:rPr>
        <w:t>禁毒办案</w:t>
      </w:r>
      <w:r>
        <w:rPr>
          <w:rFonts w:hint="eastAsia" w:hAnsi="宋体" w:cs="宋体"/>
          <w:sz w:val="24"/>
        </w:rPr>
        <w:t>的投入不足。</w:t>
      </w:r>
      <w:r>
        <w:rPr>
          <w:rFonts w:hint="eastAsia" w:hAnsi="宋体" w:cs="宋体"/>
          <w:sz w:val="24"/>
          <w:szCs w:val="24"/>
        </w:rPr>
        <w:t>截止到2020年3月11日，</w:t>
      </w:r>
      <w:r>
        <w:rPr>
          <w:rFonts w:hint="eastAsia" w:hAnsi="宋体" w:cs="宋体"/>
          <w:sz w:val="24"/>
          <w:szCs w:val="24"/>
          <w:lang w:val="en-US" w:eastAsia="zh-CN"/>
        </w:rPr>
        <w:t>禁毒工作专项经费用于宣传基地建设补助和宣传工作的支出共计394.06万元，占总预算的78.81%，而禁毒办案工作经费占比仅为14.14%</w:t>
      </w:r>
      <w:r>
        <w:rPr>
          <w:rFonts w:hint="eastAsia" w:hAnsi="宋体" w:cs="宋体"/>
          <w:sz w:val="24"/>
          <w:szCs w:val="24"/>
        </w:rPr>
        <w:t>。2019年</w:t>
      </w:r>
      <w:r>
        <w:rPr>
          <w:rFonts w:hint="eastAsia" w:hAnsi="宋体" w:cs="宋体"/>
          <w:sz w:val="24"/>
          <w:szCs w:val="24"/>
          <w:lang w:eastAsia="zh-CN"/>
        </w:rPr>
        <w:t>，</w:t>
      </w:r>
      <w:r>
        <w:rPr>
          <w:rFonts w:hint="eastAsia" w:hAnsi="宋体" w:cs="宋体"/>
          <w:sz w:val="24"/>
          <w:szCs w:val="24"/>
        </w:rPr>
        <w:t>区公安分局</w:t>
      </w:r>
      <w:r>
        <w:rPr>
          <w:rFonts w:hint="eastAsia" w:hAnsi="宋体" w:cs="宋体"/>
          <w:sz w:val="24"/>
          <w:szCs w:val="24"/>
          <w:lang w:val="en-US" w:eastAsia="zh-CN"/>
        </w:rPr>
        <w:t>已</w:t>
      </w:r>
      <w:r>
        <w:rPr>
          <w:rFonts w:hint="eastAsia" w:hAnsi="宋体" w:cs="宋体"/>
          <w:sz w:val="24"/>
          <w:szCs w:val="24"/>
        </w:rPr>
        <w:t>垫付</w:t>
      </w:r>
      <w:r>
        <w:rPr>
          <w:rFonts w:hint="eastAsia" w:hAnsi="宋体" w:cs="宋体"/>
          <w:sz w:val="24"/>
          <w:szCs w:val="24"/>
          <w:lang w:val="en-US" w:eastAsia="zh-CN"/>
        </w:rPr>
        <w:t>相关禁毒工作经费156.22万元，包括禁毒大队</w:t>
      </w:r>
      <w:r>
        <w:rPr>
          <w:rFonts w:hint="eastAsia" w:hAnsi="宋体" w:cs="宋体"/>
          <w:sz w:val="24"/>
          <w:szCs w:val="24"/>
        </w:rPr>
        <w:t>社工费用2.22万元</w:t>
      </w:r>
      <w:r>
        <w:rPr>
          <w:rFonts w:hint="eastAsia" w:hAnsi="宋体" w:cs="宋体"/>
          <w:sz w:val="24"/>
          <w:szCs w:val="24"/>
          <w:lang w:eastAsia="zh-CN"/>
        </w:rPr>
        <w:t>、</w:t>
      </w:r>
      <w:r>
        <w:rPr>
          <w:rFonts w:hint="eastAsia" w:hAnsi="宋体" w:cs="宋体"/>
          <w:sz w:val="24"/>
          <w:szCs w:val="24"/>
        </w:rPr>
        <w:t>各派出所禁毒攻坚专项行动工作办案经费124万元</w:t>
      </w:r>
      <w:r>
        <w:rPr>
          <w:rFonts w:hint="eastAsia" w:hAnsi="宋体" w:cs="宋体"/>
          <w:sz w:val="24"/>
          <w:szCs w:val="24"/>
          <w:lang w:val="en-US" w:eastAsia="zh-CN"/>
        </w:rPr>
        <w:t>及</w:t>
      </w:r>
      <w:r>
        <w:rPr>
          <w:rFonts w:hint="eastAsia" w:hAnsi="宋体" w:cs="宋体"/>
          <w:sz w:val="24"/>
          <w:szCs w:val="24"/>
        </w:rPr>
        <w:t>奖励经费30万元</w:t>
      </w:r>
      <w:r>
        <w:rPr>
          <w:rFonts w:hint="eastAsia" w:hAnsi="宋体" w:cs="宋体"/>
          <w:sz w:val="24"/>
          <w:szCs w:val="24"/>
          <w:lang w:eastAsia="zh-CN"/>
        </w:rPr>
        <w:t>，</w:t>
      </w:r>
      <w:r>
        <w:rPr>
          <w:rFonts w:hint="eastAsia" w:hAnsi="宋体" w:cs="宋体"/>
          <w:sz w:val="24"/>
          <w:szCs w:val="24"/>
          <w:lang w:val="en-US" w:eastAsia="zh-CN"/>
        </w:rPr>
        <w:t>应属于禁毒工作专项经费预算支出范畴</w:t>
      </w:r>
      <w:r>
        <w:rPr>
          <w:rFonts w:hint="eastAsia" w:hAnsi="宋体" w:cs="宋体"/>
          <w:sz w:val="24"/>
          <w:szCs w:val="24"/>
        </w:rPr>
        <w:t>。</w:t>
      </w:r>
    </w:p>
    <w:p>
      <w:pPr>
        <w:spacing w:line="360" w:lineRule="auto"/>
        <w:ind w:firstLine="482" w:firstLineChars="200"/>
        <w:rPr>
          <w:rFonts w:ascii="宋体" w:hAnsi="宋体" w:eastAsia="宋体" w:cs="宋体"/>
          <w:b/>
          <w:bCs/>
          <w:color w:val="000000"/>
          <w:sz w:val="24"/>
          <w:szCs w:val="22"/>
        </w:rPr>
      </w:pPr>
      <w:r>
        <w:rPr>
          <w:rFonts w:hint="eastAsia" w:ascii="宋体" w:hAnsi="宋体" w:eastAsia="宋体" w:cs="宋体"/>
          <w:b/>
          <w:bCs/>
          <w:color w:val="000000"/>
          <w:sz w:val="24"/>
          <w:szCs w:val="22"/>
        </w:rPr>
        <w:t>3.在册吸毒人员复吸率</w:t>
      </w:r>
      <w:r>
        <w:rPr>
          <w:rFonts w:hint="eastAsia" w:ascii="宋体" w:hAnsi="宋体" w:eastAsia="宋体" w:cs="宋体"/>
          <w:b/>
          <w:bCs/>
          <w:color w:val="000000"/>
          <w:sz w:val="24"/>
          <w:szCs w:val="22"/>
          <w:lang w:val="en-US" w:eastAsia="zh-CN"/>
        </w:rPr>
        <w:t>仍</w:t>
      </w:r>
      <w:r>
        <w:rPr>
          <w:rFonts w:hint="eastAsia" w:ascii="宋体" w:hAnsi="宋体" w:eastAsia="宋体" w:cs="宋体"/>
          <w:b/>
          <w:bCs/>
          <w:color w:val="000000"/>
          <w:sz w:val="24"/>
          <w:szCs w:val="22"/>
        </w:rPr>
        <w:t>过高</w:t>
      </w:r>
    </w:p>
    <w:p>
      <w:pPr>
        <w:pStyle w:val="4"/>
        <w:spacing w:line="360" w:lineRule="auto"/>
        <w:ind w:firstLine="480" w:firstLineChars="200"/>
        <w:rPr>
          <w:rFonts w:hint="eastAsia" w:hAnsi="宋体" w:cs="宋体"/>
          <w:sz w:val="24"/>
          <w:szCs w:val="24"/>
        </w:rPr>
      </w:pPr>
      <w:r>
        <w:rPr>
          <w:rFonts w:hint="eastAsia" w:hAnsi="宋体" w:cs="宋体"/>
          <w:sz w:val="24"/>
          <w:szCs w:val="24"/>
        </w:rPr>
        <w:t>从产出质量看，目前在册吸毒人员复吸率高达6</w:t>
      </w:r>
      <w:r>
        <w:rPr>
          <w:rFonts w:hint="eastAsia" w:hAnsi="宋体" w:cs="宋体"/>
          <w:sz w:val="24"/>
          <w:szCs w:val="24"/>
          <w:lang w:val="en-US" w:eastAsia="zh-CN"/>
        </w:rPr>
        <w:t>0</w:t>
      </w:r>
      <w:r>
        <w:rPr>
          <w:rFonts w:hint="eastAsia" w:hAnsi="宋体" w:cs="宋体"/>
          <w:sz w:val="24"/>
          <w:szCs w:val="24"/>
        </w:rPr>
        <w:t>.4%，广泛开展宣传活动对于在册吸毒人员的教育作用较小，</w:t>
      </w:r>
      <w:r>
        <w:rPr>
          <w:rFonts w:hint="eastAsia" w:hAnsi="宋体" w:cs="宋体"/>
          <w:sz w:val="24"/>
          <w:szCs w:val="24"/>
          <w:lang w:val="en-US" w:eastAsia="zh-CN"/>
        </w:rPr>
        <w:t>一是</w:t>
      </w:r>
      <w:r>
        <w:rPr>
          <w:rFonts w:hint="eastAsia" w:hAnsi="宋体" w:cs="宋体"/>
          <w:sz w:val="24"/>
          <w:szCs w:val="24"/>
        </w:rPr>
        <w:t>吸毒一旦成瘾</w:t>
      </w:r>
      <w:r>
        <w:rPr>
          <w:rFonts w:hint="eastAsia" w:hAnsi="宋体" w:cs="宋体"/>
          <w:sz w:val="24"/>
          <w:szCs w:val="24"/>
          <w:lang w:val="en-US" w:eastAsia="zh-CN"/>
        </w:rPr>
        <w:t>产生对毒品的心理依赖性</w:t>
      </w:r>
      <w:r>
        <w:rPr>
          <w:rFonts w:hint="eastAsia" w:hAnsi="宋体" w:cs="宋体"/>
          <w:sz w:val="24"/>
          <w:szCs w:val="24"/>
        </w:rPr>
        <w:t>就难以戒除，</w:t>
      </w:r>
      <w:r>
        <w:rPr>
          <w:rFonts w:hint="eastAsia" w:hAnsi="宋体" w:cs="宋体"/>
          <w:sz w:val="24"/>
          <w:szCs w:val="24"/>
          <w:lang w:val="en-US" w:eastAsia="zh-CN"/>
        </w:rPr>
        <w:t>二是吸毒人员戒毒出所后难以融入正常人群，往往与涉毒的高危人群交往，所交往的这些人员容易接触毒品，</w:t>
      </w:r>
      <w:r>
        <w:rPr>
          <w:rFonts w:hint="eastAsia" w:hAnsi="宋体" w:cs="宋体"/>
          <w:sz w:val="24"/>
          <w:szCs w:val="24"/>
        </w:rPr>
        <w:t>所以复吸率较高</w:t>
      </w:r>
      <w:r>
        <w:rPr>
          <w:rFonts w:hint="eastAsia" w:hAnsi="宋体" w:cs="宋体"/>
          <w:sz w:val="24"/>
          <w:szCs w:val="24"/>
          <w:lang w:eastAsia="zh-CN"/>
        </w:rPr>
        <w:t>。</w:t>
      </w:r>
      <w:r>
        <w:rPr>
          <w:rFonts w:hint="eastAsia" w:hAnsi="宋体" w:cs="宋体"/>
          <w:sz w:val="24"/>
          <w:szCs w:val="24"/>
        </w:rPr>
        <w:t>2019年禁毒工作专项经费的投入未能体现对已成瘾的在册吸毒人员的良好</w:t>
      </w:r>
      <w:r>
        <w:rPr>
          <w:rFonts w:hint="eastAsia" w:hAnsi="宋体" w:cs="宋体"/>
          <w:sz w:val="24"/>
          <w:szCs w:val="24"/>
          <w:lang w:val="en-US" w:eastAsia="zh-CN"/>
        </w:rPr>
        <w:t>教育</w:t>
      </w:r>
      <w:r>
        <w:rPr>
          <w:rFonts w:hint="eastAsia" w:hAnsi="宋体" w:cs="宋体"/>
          <w:sz w:val="24"/>
          <w:szCs w:val="24"/>
        </w:rPr>
        <w:t>效果。</w:t>
      </w:r>
    </w:p>
    <w:p>
      <w:pPr>
        <w:spacing w:line="360" w:lineRule="auto"/>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4.社工队伍建设</w:t>
      </w:r>
      <w:r>
        <w:rPr>
          <w:rFonts w:hint="eastAsia" w:ascii="宋体" w:hAnsi="宋体" w:eastAsia="宋体" w:cs="宋体"/>
          <w:b/>
          <w:bCs/>
          <w:color w:val="000000"/>
          <w:sz w:val="24"/>
          <w:szCs w:val="22"/>
          <w:lang w:val="en-US" w:eastAsia="zh-CN"/>
        </w:rPr>
        <w:t>投入</w:t>
      </w:r>
      <w:r>
        <w:rPr>
          <w:rFonts w:hint="eastAsia" w:ascii="宋体" w:hAnsi="宋体" w:eastAsia="宋体" w:cs="宋体"/>
          <w:b/>
          <w:bCs/>
          <w:color w:val="000000"/>
          <w:sz w:val="24"/>
          <w:szCs w:val="22"/>
        </w:rPr>
        <w:t>不足</w:t>
      </w:r>
    </w:p>
    <w:p>
      <w:pPr>
        <w:pStyle w:val="4"/>
        <w:spacing w:line="360" w:lineRule="auto"/>
        <w:ind w:firstLine="480" w:firstLineChars="200"/>
        <w:rPr>
          <w:rFonts w:hint="default" w:hAnsi="宋体" w:cs="宋体" w:eastAsiaTheme="minorEastAsia"/>
          <w:sz w:val="24"/>
          <w:szCs w:val="24"/>
          <w:lang w:val="en-US" w:eastAsia="zh-CN"/>
        </w:rPr>
      </w:pPr>
      <w:r>
        <w:rPr>
          <w:rFonts w:hint="eastAsia" w:hAnsi="宋体" w:cs="宋体"/>
          <w:sz w:val="24"/>
          <w:szCs w:val="24"/>
          <w:lang w:val="en-US" w:eastAsia="zh-CN"/>
        </w:rPr>
        <w:t>虽然目前社工队伍已达到</w:t>
      </w:r>
      <w:r>
        <w:rPr>
          <w:rFonts w:hint="eastAsia" w:ascii="宋体" w:hAnsi="宋体" w:eastAsia="宋体" w:cs="宋体"/>
          <w:bCs/>
          <w:sz w:val="24"/>
          <w:szCs w:val="24"/>
          <w:u w:val="none"/>
          <w:lang w:val="en-US" w:eastAsia="zh-CN"/>
        </w:rPr>
        <w:t>《丰泽区机关、事业单位工作人员调配领导小组二〇一九年第四次会议纪要》（〔2019〕4号）文件</w:t>
      </w:r>
      <w:r>
        <w:rPr>
          <w:rFonts w:hint="eastAsia" w:hAnsi="宋体" w:eastAsia="宋体" w:cs="宋体"/>
          <w:bCs/>
          <w:sz w:val="24"/>
          <w:szCs w:val="24"/>
          <w:u w:val="none"/>
          <w:lang w:val="en-US" w:eastAsia="zh-CN"/>
        </w:rPr>
        <w:t>要求的13人，但</w:t>
      </w:r>
      <w:r>
        <w:rPr>
          <w:rFonts w:hint="eastAsia" w:hAnsi="宋体" w:cs="宋体"/>
          <w:sz w:val="24"/>
          <w:szCs w:val="24"/>
        </w:rPr>
        <w:t>按照《丰泽区2019年禁毒重点整治攻坚行动实施方案》的要求，禁毒社工队伍应达到15人</w:t>
      </w:r>
      <w:r>
        <w:rPr>
          <w:rFonts w:hint="eastAsia" w:hAnsi="宋体" w:cs="宋体"/>
          <w:sz w:val="24"/>
          <w:szCs w:val="24"/>
          <w:lang w:eastAsia="zh-CN"/>
        </w:rPr>
        <w:t>，</w:t>
      </w:r>
      <w:r>
        <w:rPr>
          <w:rFonts w:hint="eastAsia" w:hAnsi="宋体" w:eastAsia="宋体" w:cs="宋体"/>
          <w:bCs/>
          <w:sz w:val="24"/>
          <w:szCs w:val="24"/>
          <w:u w:val="none"/>
          <w:lang w:val="en-US" w:eastAsia="zh-CN"/>
        </w:rPr>
        <w:t>说明</w:t>
      </w:r>
      <w:r>
        <w:rPr>
          <w:rFonts w:hint="eastAsia" w:hAnsi="宋体" w:cs="宋体"/>
          <w:sz w:val="24"/>
          <w:szCs w:val="24"/>
        </w:rPr>
        <w:t>社工队伍建设仍</w:t>
      </w:r>
      <w:r>
        <w:rPr>
          <w:rFonts w:hint="eastAsia" w:hAnsi="宋体" w:cs="宋体"/>
          <w:sz w:val="24"/>
          <w:szCs w:val="24"/>
          <w:lang w:val="en-US" w:eastAsia="zh-CN"/>
        </w:rPr>
        <w:t>应加大投入</w:t>
      </w:r>
      <w:r>
        <w:rPr>
          <w:rFonts w:hint="eastAsia" w:hAnsi="宋体" w:cs="宋体"/>
          <w:sz w:val="24"/>
          <w:szCs w:val="24"/>
        </w:rPr>
        <w:t>。</w:t>
      </w:r>
      <w:r>
        <w:rPr>
          <w:rFonts w:hint="eastAsia" w:hAnsi="宋体" w:cs="宋体"/>
          <w:sz w:val="24"/>
          <w:szCs w:val="24"/>
          <w:lang w:val="en-US" w:eastAsia="zh-CN"/>
        </w:rPr>
        <w:t>目前禁毒社工人员补助每月仅1800元，补助水平偏低，而其岗位的专业性要求较高，并且需要与吸毒人员打交道，具有一定的危险性。</w:t>
      </w:r>
    </w:p>
    <w:p>
      <w:pPr>
        <w:pStyle w:val="8"/>
        <w:spacing w:beforeLines="100" w:afterLines="100"/>
        <w:outlineLvl w:val="0"/>
        <w:rPr>
          <w:rFonts w:ascii="黑体" w:hAnsi="黑体" w:eastAsia="黑体" w:cs="黑体"/>
          <w:b w:val="0"/>
          <w:bCs/>
        </w:rPr>
      </w:pPr>
      <w:bookmarkStart w:id="19" w:name="_Toc22149"/>
      <w:r>
        <w:rPr>
          <w:rFonts w:hint="eastAsia" w:ascii="黑体" w:hAnsi="黑体" w:eastAsia="黑体" w:cs="黑体"/>
          <w:b w:val="0"/>
          <w:bCs/>
        </w:rPr>
        <w:t>六、有关建议</w:t>
      </w:r>
      <w:bookmarkEnd w:id="19"/>
    </w:p>
    <w:p>
      <w:pPr>
        <w:pStyle w:val="10"/>
        <w:ind w:firstLine="562"/>
        <w:outlineLvl w:val="1"/>
        <w:rPr>
          <w:color w:val="000000" w:themeColor="text1"/>
        </w:rPr>
      </w:pPr>
      <w:bookmarkStart w:id="20" w:name="_Toc12864"/>
      <w:bookmarkStart w:id="21" w:name="_Toc13570"/>
      <w:r>
        <w:rPr>
          <w:rFonts w:hint="eastAsia"/>
          <w:color w:val="000000" w:themeColor="text1"/>
        </w:rPr>
        <w:t>（一）完善项目支出绩效目标申报工作</w:t>
      </w:r>
      <w:bookmarkEnd w:id="20"/>
      <w:bookmarkEnd w:id="21"/>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工作组建议区禁毒办在年度绩效目标申报工作中，应根据《</w:t>
      </w:r>
      <w:r>
        <w:rPr>
          <w:rFonts w:hint="eastAsia" w:ascii="宋体" w:hAnsi="宋体" w:cs="宋体"/>
          <w:sz w:val="24"/>
        </w:rPr>
        <w:t>丰泽区2019年禁毒重点整治攻坚行动实施方案</w:t>
      </w:r>
      <w:r>
        <w:rPr>
          <w:rFonts w:hint="eastAsia" w:asciiTheme="minorEastAsia" w:hAnsiTheme="minorEastAsia" w:cstheme="minorEastAsia"/>
          <w:color w:val="000000" w:themeColor="text1"/>
          <w:sz w:val="24"/>
        </w:rPr>
        <w:t>》，对标设置禁毒工作专项经费绩效指标，科学界定和测算绩效目标值，进一步细化、量化产出和效益指标。</w:t>
      </w:r>
      <w:r>
        <w:rPr>
          <w:rFonts w:hint="eastAsia" w:asciiTheme="minorEastAsia" w:hAnsiTheme="minorEastAsia" w:cstheme="minorEastAsia"/>
          <w:color w:val="000000" w:themeColor="text1"/>
          <w:sz w:val="24"/>
          <w:lang w:val="en-US" w:eastAsia="zh-CN"/>
        </w:rPr>
        <w:t>上述</w:t>
      </w:r>
      <w:r>
        <w:rPr>
          <w:rFonts w:hint="eastAsia" w:ascii="宋体" w:hAnsi="宋体" w:cs="宋体"/>
          <w:sz w:val="24"/>
        </w:rPr>
        <w:t>行动实施方案</w:t>
      </w:r>
      <w:r>
        <w:rPr>
          <w:rFonts w:hint="eastAsia" w:ascii="宋体" w:hAnsi="宋体" w:cs="宋体"/>
          <w:sz w:val="24"/>
          <w:lang w:val="en-US" w:eastAsia="zh-CN"/>
        </w:rPr>
        <w:t>中，已明确的量化目标均应作为禁毒工作专项经费的绩效目标，</w:t>
      </w:r>
      <w:r>
        <w:rPr>
          <w:rFonts w:hint="eastAsia" w:asciiTheme="minorEastAsia" w:hAnsiTheme="minorEastAsia" w:cstheme="minorEastAsia"/>
          <w:color w:val="000000" w:themeColor="text1"/>
          <w:sz w:val="24"/>
        </w:rPr>
        <w:t>可将行动实施方案的具体要求转化为量化目标，以此作为目标值，如</w:t>
      </w:r>
      <w:r>
        <w:rPr>
          <w:rFonts w:hint="eastAsia" w:asciiTheme="minorEastAsia" w:hAnsiTheme="minorEastAsia" w:cstheme="minorEastAsia"/>
          <w:color w:val="000000" w:themeColor="text1"/>
          <w:sz w:val="24"/>
          <w:lang w:eastAsia="zh-CN"/>
        </w:rPr>
        <w:t>“</w:t>
      </w:r>
      <w:r>
        <w:rPr>
          <w:rFonts w:hint="eastAsia" w:asciiTheme="minorEastAsia" w:hAnsiTheme="minorEastAsia" w:cstheme="minorEastAsia"/>
          <w:color w:val="000000" w:themeColor="text1"/>
          <w:sz w:val="24"/>
          <w:lang w:val="en-US" w:eastAsia="zh-CN"/>
        </w:rPr>
        <w:t>夯实基础保障</w:t>
      </w:r>
      <w:r>
        <w:rPr>
          <w:rFonts w:hint="eastAsia" w:asciiTheme="minorEastAsia" w:hAnsiTheme="minorEastAsia" w:cstheme="minorEastAsia"/>
          <w:color w:val="000000" w:themeColor="text1"/>
          <w:sz w:val="24"/>
          <w:lang w:eastAsia="zh-CN"/>
        </w:rPr>
        <w:t>”</w:t>
      </w:r>
      <w:r>
        <w:rPr>
          <w:rFonts w:hint="eastAsia" w:asciiTheme="minorEastAsia" w:hAnsiTheme="minorEastAsia" w:cstheme="minorEastAsia"/>
          <w:color w:val="000000" w:themeColor="text1"/>
          <w:sz w:val="24"/>
          <w:lang w:val="en-US" w:eastAsia="zh-CN"/>
        </w:rPr>
        <w:t>中“招聘……15名禁毒社工”，该数量可作为队伍建设的可持续影响指标，又如“深化禁吸戒毒工作”中“确保在册吸毒人员复吸率下降到10%以下”则可作为产出质量的三级指标目标值</w:t>
      </w:r>
      <w:r>
        <w:rPr>
          <w:rFonts w:hint="eastAsia" w:asciiTheme="minorEastAsia" w:hAnsiTheme="minorEastAsia" w:cstheme="minorEastAsia"/>
          <w:color w:val="000000" w:themeColor="text1"/>
          <w:sz w:val="24"/>
          <w:lang w:eastAsia="zh-CN"/>
        </w:rPr>
        <w:t>。</w:t>
      </w:r>
      <w:r>
        <w:rPr>
          <w:rFonts w:hint="eastAsia" w:asciiTheme="minorEastAsia" w:hAnsiTheme="minorEastAsia" w:cstheme="minorEastAsia"/>
          <w:color w:val="000000" w:themeColor="text1"/>
          <w:sz w:val="24"/>
          <w:lang w:val="en-US" w:eastAsia="zh-CN"/>
        </w:rPr>
        <w:t>综上，</w:t>
      </w:r>
      <w:r>
        <w:rPr>
          <w:rFonts w:hint="eastAsia" w:asciiTheme="minorEastAsia" w:hAnsiTheme="minorEastAsia" w:cstheme="minorEastAsia"/>
          <w:sz w:val="24"/>
          <w:lang w:val="en-US" w:eastAsia="zh-CN"/>
        </w:rPr>
        <w:t>产出和效益</w:t>
      </w:r>
      <w:r>
        <w:rPr>
          <w:rFonts w:hint="eastAsia" w:asciiTheme="minorEastAsia" w:hAnsiTheme="minorEastAsia" w:cstheme="minorEastAsia"/>
          <w:sz w:val="24"/>
        </w:rPr>
        <w:t>指标均可</w:t>
      </w:r>
      <w:r>
        <w:rPr>
          <w:rFonts w:hint="eastAsia" w:asciiTheme="minorEastAsia" w:hAnsiTheme="minorEastAsia" w:cstheme="minorEastAsia"/>
          <w:color w:val="000000" w:themeColor="text1"/>
          <w:sz w:val="24"/>
        </w:rPr>
        <w:t>通过事前细化任务</w:t>
      </w:r>
      <w:r>
        <w:rPr>
          <w:rFonts w:hint="eastAsia" w:asciiTheme="minorEastAsia" w:hAnsiTheme="minorEastAsia" w:cstheme="minorEastAsia"/>
          <w:color w:val="000000" w:themeColor="text1"/>
          <w:sz w:val="24"/>
          <w:lang w:eastAsia="zh-CN"/>
        </w:rPr>
        <w:t>，</w:t>
      </w:r>
      <w:r>
        <w:rPr>
          <w:rFonts w:hint="eastAsia" w:asciiTheme="minorEastAsia" w:hAnsiTheme="minorEastAsia" w:cstheme="minorEastAsia"/>
          <w:color w:val="000000" w:themeColor="text1"/>
          <w:sz w:val="24"/>
          <w:lang w:val="en-US" w:eastAsia="zh-CN"/>
        </w:rPr>
        <w:t>尽量采用可量化指标来</w:t>
      </w:r>
      <w:r>
        <w:rPr>
          <w:rFonts w:hint="eastAsia" w:asciiTheme="minorEastAsia" w:hAnsiTheme="minorEastAsia" w:cstheme="minorEastAsia"/>
          <w:color w:val="000000" w:themeColor="text1"/>
          <w:sz w:val="24"/>
        </w:rPr>
        <w:t>设定</w:t>
      </w:r>
      <w:r>
        <w:rPr>
          <w:rFonts w:hint="eastAsia" w:asciiTheme="minorEastAsia" w:hAnsiTheme="minorEastAsia" w:cstheme="minorEastAsia"/>
          <w:sz w:val="24"/>
        </w:rPr>
        <w:t>三级指标</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根据任务要求确定目标值</w:t>
      </w:r>
      <w:r>
        <w:rPr>
          <w:rFonts w:hint="eastAsia" w:asciiTheme="minorEastAsia" w:hAnsiTheme="minorEastAsia" w:cstheme="minorEastAsia"/>
          <w:color w:val="000000" w:themeColor="text1"/>
          <w:sz w:val="24"/>
        </w:rPr>
        <w:t>，便于有效考核执行效果，保障绩效评价工作更好地开展。</w:t>
      </w:r>
    </w:p>
    <w:p>
      <w:pPr>
        <w:pStyle w:val="10"/>
        <w:ind w:left="420" w:leftChars="200" w:firstLine="0" w:firstLineChars="0"/>
        <w:outlineLvl w:val="1"/>
        <w:rPr>
          <w:rFonts w:hint="default" w:eastAsia="宋体"/>
          <w:color w:val="000000" w:themeColor="text1"/>
          <w:lang w:val="en-US" w:eastAsia="zh-CN"/>
        </w:rPr>
      </w:pPr>
      <w:bookmarkStart w:id="22" w:name="_Toc21851"/>
      <w:r>
        <w:rPr>
          <w:rFonts w:hint="eastAsia"/>
          <w:color w:val="000000" w:themeColor="text1"/>
        </w:rPr>
        <w:t>（二）</w:t>
      </w:r>
      <w:r>
        <w:rPr>
          <w:rFonts w:hint="eastAsia"/>
          <w:color w:val="000000" w:themeColor="text1"/>
          <w:lang w:val="en-US" w:eastAsia="zh-CN"/>
        </w:rPr>
        <w:t>建立长效的宣传工作机制</w:t>
      </w:r>
      <w:bookmarkEnd w:id="22"/>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当前禁毒宣传</w:t>
      </w:r>
      <w:r>
        <w:rPr>
          <w:rFonts w:hint="eastAsia" w:asciiTheme="minorEastAsia" w:hAnsiTheme="minorEastAsia" w:cstheme="minorEastAsia"/>
          <w:sz w:val="24"/>
          <w:lang w:val="en-US" w:eastAsia="zh-CN"/>
        </w:rPr>
        <w:t>已</w:t>
      </w:r>
      <w:r>
        <w:rPr>
          <w:rFonts w:hint="eastAsia" w:asciiTheme="minorEastAsia" w:hAnsiTheme="minorEastAsia" w:cstheme="minorEastAsia"/>
          <w:sz w:val="24"/>
        </w:rPr>
        <w:t>卓有成效，</w:t>
      </w:r>
      <w:r>
        <w:rPr>
          <w:rFonts w:hint="eastAsia" w:asciiTheme="minorEastAsia" w:hAnsiTheme="minorEastAsia" w:cstheme="minorEastAsia"/>
          <w:sz w:val="24"/>
          <w:lang w:val="en-US" w:eastAsia="zh-CN"/>
        </w:rPr>
        <w:t>丰泽区林则徐禁毒宣传教育基地和泉州九中禁毒宣教馆均已投入使用，</w:t>
      </w:r>
      <w:r>
        <w:rPr>
          <w:rFonts w:hint="eastAsia" w:asciiTheme="minorEastAsia" w:hAnsiTheme="minorEastAsia" w:cstheme="minorEastAsia"/>
          <w:sz w:val="24"/>
        </w:rPr>
        <w:t>各街道社区</w:t>
      </w:r>
      <w:r>
        <w:rPr>
          <w:rFonts w:hint="eastAsia" w:asciiTheme="minorEastAsia" w:hAnsiTheme="minorEastAsia" w:cstheme="minorEastAsia"/>
          <w:sz w:val="24"/>
          <w:lang w:val="en-US" w:eastAsia="zh-CN"/>
        </w:rPr>
        <w:t>的禁毒社区康复管理工作站或禁毒品牌社区建设也</w:t>
      </w:r>
      <w:r>
        <w:rPr>
          <w:rFonts w:hint="eastAsia" w:asciiTheme="minorEastAsia" w:hAnsiTheme="minorEastAsia" w:cstheme="minorEastAsia"/>
          <w:sz w:val="24"/>
        </w:rPr>
        <w:t>已成型，从调查问卷的反馈情况看，群众对防毒禁毒也有一定的了解，对于宣传方式和宣传力度的满意度较高，</w:t>
      </w:r>
      <w:r>
        <w:rPr>
          <w:rFonts w:hint="eastAsia" w:asciiTheme="minorEastAsia" w:hAnsiTheme="minorEastAsia" w:cstheme="minorEastAsia"/>
          <w:sz w:val="24"/>
          <w:lang w:val="en-US" w:eastAsia="zh-CN"/>
        </w:rPr>
        <w:t>了解到毒品的危害性，</w:t>
      </w:r>
      <w:r>
        <w:rPr>
          <w:rFonts w:hint="eastAsia" w:asciiTheme="minorEastAsia" w:hAnsiTheme="minorEastAsia" w:cstheme="minorEastAsia"/>
          <w:sz w:val="24"/>
        </w:rPr>
        <w:t>已经形成良好的禁毒氛围。</w:t>
      </w:r>
      <w:r>
        <w:rPr>
          <w:rFonts w:hint="eastAsia" w:asciiTheme="minorEastAsia" w:hAnsiTheme="minorEastAsia" w:cstheme="minorEastAsia"/>
          <w:sz w:val="24"/>
          <w:lang w:val="en-US" w:eastAsia="zh-CN"/>
        </w:rPr>
        <w:t>为进一步巩固禁毒宣传效果，应建立长效的宣传工作机制，警钟长鸣，有效利用宣传教育基地和社区禁毒广场，定期开展禁毒宣传活动，未建设禁毒宣教室和禁毒宣教馆的学校应组织学生到宣教基地参观，充分利用基地内现代化的VR设备等使学生更直观地感受到毒品的危害性，使宣传基地建设资金的投入发挥长效作用。</w:t>
      </w:r>
    </w:p>
    <w:p>
      <w:pPr>
        <w:pStyle w:val="10"/>
        <w:ind w:left="420" w:leftChars="200" w:firstLine="0" w:firstLineChars="0"/>
        <w:outlineLvl w:val="1"/>
        <w:rPr>
          <w:color w:val="000000" w:themeColor="text1"/>
        </w:rPr>
      </w:pPr>
      <w:bookmarkStart w:id="23" w:name="_Toc31056"/>
      <w:r>
        <w:rPr>
          <w:rFonts w:hint="eastAsia"/>
          <w:color w:val="000000" w:themeColor="text1"/>
          <w:lang w:eastAsia="zh-CN"/>
        </w:rPr>
        <w:t>（</w:t>
      </w:r>
      <w:r>
        <w:rPr>
          <w:rFonts w:hint="eastAsia"/>
          <w:color w:val="000000" w:themeColor="text1"/>
          <w:lang w:val="en-US" w:eastAsia="zh-CN"/>
        </w:rPr>
        <w:t>三</w:t>
      </w:r>
      <w:r>
        <w:rPr>
          <w:rFonts w:hint="eastAsia"/>
          <w:color w:val="000000" w:themeColor="text1"/>
          <w:lang w:eastAsia="zh-CN"/>
        </w:rPr>
        <w:t>）</w:t>
      </w:r>
      <w:r>
        <w:rPr>
          <w:rFonts w:hint="eastAsia"/>
          <w:color w:val="000000" w:themeColor="text1"/>
        </w:rPr>
        <w:t>加大</w:t>
      </w:r>
      <w:r>
        <w:rPr>
          <w:rFonts w:hint="eastAsia"/>
          <w:color w:val="000000" w:themeColor="text1"/>
          <w:lang w:eastAsia="zh-CN"/>
        </w:rPr>
        <w:t>禁毒办案</w:t>
      </w:r>
      <w:r>
        <w:rPr>
          <w:rFonts w:hint="eastAsia"/>
          <w:color w:val="000000" w:themeColor="text1"/>
        </w:rPr>
        <w:t>的经费投入</w:t>
      </w:r>
      <w:bookmarkEnd w:id="23"/>
    </w:p>
    <w:p>
      <w:pPr>
        <w:spacing w:line="360" w:lineRule="auto"/>
        <w:ind w:firstLine="480" w:firstLineChars="200"/>
        <w:rPr>
          <w:rFonts w:hint="eastAsia" w:asciiTheme="minorEastAsia" w:hAnsiTheme="minorEastAsia" w:cstheme="minorEastAsia"/>
          <w:color w:val="000000" w:themeColor="text1"/>
          <w:sz w:val="24"/>
          <w:lang w:val="en-US" w:eastAsia="zh-CN"/>
        </w:rPr>
      </w:pPr>
      <w:r>
        <w:rPr>
          <w:rFonts w:hint="eastAsia" w:asciiTheme="minorEastAsia" w:hAnsiTheme="minorEastAsia" w:cstheme="minorEastAsia"/>
          <w:color w:val="000000" w:themeColor="text1"/>
          <w:sz w:val="24"/>
          <w:lang w:val="en-US" w:eastAsia="zh-CN"/>
        </w:rPr>
        <w:t>今后的禁毒工作专项经费投入应主要用于保障禁毒办案，保障禁毒大队的办案工作经费和举报奖励经费不少于总预算的50%。一方面加强警种协作，禁毒大队应与监所、治安、刑侦、网安等部门形成合力，各警种充分发挥各自优势和特点，资源共享，为打击毒品违法犯罪提供有力支撑；另一方面，要充分运用情报机制，以现代信息技术为支撑，提高侦查能力，努力实现毒品渗透大幅下降，查缉毒品能力不断提高，加大对于吸毒贩毒的打击力度，有效遏制毒品泛滥。</w:t>
      </w:r>
    </w:p>
    <w:p>
      <w:pPr>
        <w:spacing w:line="360" w:lineRule="auto"/>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lang w:val="en-US" w:eastAsia="zh-CN"/>
        </w:rPr>
        <w:t>同时，加大禁毒办案经费投入，也能有效控制</w:t>
      </w:r>
      <w:r>
        <w:rPr>
          <w:rFonts w:hint="eastAsia" w:asciiTheme="minorEastAsia" w:hAnsiTheme="minorEastAsia" w:cstheme="minorEastAsia"/>
          <w:color w:val="000000" w:themeColor="text1"/>
          <w:sz w:val="24"/>
        </w:rPr>
        <w:t>贩毒源头</w:t>
      </w:r>
      <w:r>
        <w:rPr>
          <w:rFonts w:hint="eastAsia" w:asciiTheme="minorEastAsia" w:hAnsiTheme="minorEastAsia" w:cstheme="minorEastAsia"/>
          <w:color w:val="000000" w:themeColor="text1"/>
          <w:sz w:val="24"/>
          <w:lang w:val="en-US" w:eastAsia="zh-CN"/>
        </w:rPr>
        <w:t>，减少毒品买卖，</w:t>
      </w:r>
      <w:r>
        <w:rPr>
          <w:rFonts w:hint="eastAsia" w:asciiTheme="minorEastAsia" w:hAnsiTheme="minorEastAsia" w:cstheme="minorEastAsia"/>
          <w:color w:val="000000" w:themeColor="text1"/>
          <w:sz w:val="24"/>
        </w:rPr>
        <w:t>阻断吸毒人员购买毒品的途径，</w:t>
      </w:r>
      <w:r>
        <w:rPr>
          <w:rFonts w:hint="eastAsia" w:asciiTheme="minorEastAsia" w:hAnsiTheme="minorEastAsia" w:cstheme="minorEastAsia"/>
          <w:color w:val="000000" w:themeColor="text1"/>
          <w:sz w:val="24"/>
          <w:lang w:val="en-US" w:eastAsia="zh-CN"/>
        </w:rPr>
        <w:t>降低吸毒人员聚集的可能性</w:t>
      </w:r>
      <w:r>
        <w:rPr>
          <w:rFonts w:hint="eastAsia" w:asciiTheme="minorEastAsia" w:hAnsiTheme="minorEastAsia" w:cstheme="minorEastAsia"/>
          <w:color w:val="000000" w:themeColor="text1"/>
          <w:sz w:val="24"/>
        </w:rPr>
        <w:t>，</w:t>
      </w:r>
      <w:r>
        <w:rPr>
          <w:rFonts w:hint="eastAsia" w:asciiTheme="minorEastAsia" w:hAnsiTheme="minorEastAsia" w:cstheme="minorEastAsia"/>
          <w:color w:val="000000" w:themeColor="text1"/>
          <w:sz w:val="24"/>
          <w:lang w:val="en-US" w:eastAsia="zh-CN"/>
        </w:rPr>
        <w:t>从而</w:t>
      </w:r>
      <w:r>
        <w:rPr>
          <w:rFonts w:hint="eastAsia" w:asciiTheme="minorEastAsia" w:hAnsiTheme="minorEastAsia" w:cstheme="minorEastAsia"/>
          <w:color w:val="000000" w:themeColor="text1"/>
          <w:sz w:val="24"/>
        </w:rPr>
        <w:t>也能</w:t>
      </w:r>
      <w:r>
        <w:rPr>
          <w:rFonts w:hint="eastAsia" w:asciiTheme="minorEastAsia" w:hAnsiTheme="minorEastAsia" w:cstheme="minorEastAsia"/>
          <w:color w:val="000000" w:themeColor="text1"/>
          <w:sz w:val="24"/>
          <w:lang w:val="en-US" w:eastAsia="zh-CN"/>
        </w:rPr>
        <w:t>降低</w:t>
      </w:r>
      <w:r>
        <w:rPr>
          <w:rFonts w:hint="eastAsia" w:asciiTheme="minorEastAsia" w:hAnsiTheme="minorEastAsia" w:cstheme="minorEastAsia"/>
          <w:color w:val="000000" w:themeColor="text1"/>
          <w:sz w:val="24"/>
        </w:rPr>
        <w:t>复吸率。</w:t>
      </w:r>
    </w:p>
    <w:p>
      <w:pPr>
        <w:pStyle w:val="10"/>
        <w:ind w:left="420" w:leftChars="200" w:firstLine="0" w:firstLineChars="0"/>
        <w:outlineLvl w:val="1"/>
        <w:rPr>
          <w:color w:val="000000" w:themeColor="text1"/>
        </w:rPr>
      </w:pPr>
      <w:bookmarkStart w:id="24" w:name="_Toc5396"/>
      <w:r>
        <w:rPr>
          <w:rFonts w:hint="eastAsia"/>
          <w:color w:val="000000" w:themeColor="text1"/>
        </w:rPr>
        <w:t>（</w:t>
      </w:r>
      <w:r>
        <w:rPr>
          <w:rFonts w:hint="eastAsia"/>
          <w:color w:val="000000" w:themeColor="text1"/>
          <w:lang w:val="en-US" w:eastAsia="zh-CN"/>
        </w:rPr>
        <w:t>四</w:t>
      </w:r>
      <w:r>
        <w:rPr>
          <w:rFonts w:hint="eastAsia"/>
          <w:color w:val="000000" w:themeColor="text1"/>
        </w:rPr>
        <w:t>）加大社工队伍建设投入</w:t>
      </w:r>
      <w:bookmarkEnd w:id="24"/>
    </w:p>
    <w:p>
      <w:pPr>
        <w:spacing w:line="360" w:lineRule="auto"/>
        <w:ind w:firstLine="480" w:firstLineChars="200"/>
        <w:rPr>
          <w:rFonts w:hint="default" w:asciiTheme="minorEastAsia" w:hAnsiTheme="minorEastAsia" w:cstheme="minorEastAsia"/>
          <w:color w:val="000000" w:themeColor="text1"/>
          <w:sz w:val="24"/>
          <w:lang w:val="en-US" w:eastAsia="zh-CN"/>
        </w:rPr>
      </w:pPr>
      <w:r>
        <w:rPr>
          <w:rFonts w:hint="eastAsia" w:asciiTheme="minorEastAsia" w:hAnsiTheme="minorEastAsia" w:cstheme="minorEastAsia"/>
          <w:color w:val="000000" w:themeColor="text1"/>
          <w:sz w:val="24"/>
          <w:lang w:val="en-US" w:eastAsia="zh-CN"/>
        </w:rPr>
        <w:t>建议在下一阶段增加对社工队伍建设的投入。第一，增加禁毒大队社工经费的投入，可适当提高禁毒社工补助。第二，戒毒是一项社会系统工程，需要全社会的参与和支持。可以广泛动员群众力量，建立志愿者禁毒帮教服务队伍，尤其是能进行心理辅导的专业人员，积极投入街道社区的社工行列，要帮助解决戒毒者的一些实际困难，了解戒毒者的生活</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学习</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工作等情况，减轻他们的心理负担。第三，有关研究表明两次或两次以上戒毒患者其心理障碍、病态思维严重，对其实施情绪疏导与心理治疗就十分必要，戒毒社区可定期邀请专业的心理辅导社工接受戒毒人员的咨询，对戒毒人员继续强化心理治疗、监督，使其能保持良好</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健康的精神状态</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第四，壮大群众监督队伍，积极举报吸贩毒罪行，开展创建无吸毒</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无贩毒</w:t>
      </w:r>
      <w:r>
        <w:rPr>
          <w:rFonts w:hint="default" w:asciiTheme="minorEastAsia" w:hAnsiTheme="minorEastAsia" w:cstheme="minorEastAsia"/>
          <w:color w:val="000000" w:themeColor="text1"/>
          <w:sz w:val="24"/>
          <w:lang w:val="en-US" w:eastAsia="zh-CN"/>
        </w:rPr>
        <w:t>、</w:t>
      </w:r>
      <w:r>
        <w:rPr>
          <w:rFonts w:hint="eastAsia" w:asciiTheme="minorEastAsia" w:hAnsiTheme="minorEastAsia" w:cstheme="minorEastAsia"/>
          <w:color w:val="000000" w:themeColor="text1"/>
          <w:sz w:val="24"/>
          <w:lang w:val="en-US" w:eastAsia="zh-CN"/>
        </w:rPr>
        <w:t>无制毒的无毒社区活动，形成自觉抵制毒品的社会氛围</w:t>
      </w:r>
      <w:r>
        <w:rPr>
          <w:rFonts w:hint="default" w:asciiTheme="minorEastAsia" w:hAnsiTheme="minorEastAsia" w:cstheme="minorEastAsia"/>
          <w:color w:val="000000" w:themeColor="text1"/>
          <w:sz w:val="24"/>
          <w:lang w:val="en-US" w:eastAsia="zh-CN"/>
        </w:rPr>
        <w:t xml:space="preserve">。 </w:t>
      </w:r>
      <w:r>
        <w:rPr>
          <w:rFonts w:hint="eastAsia" w:asciiTheme="minorEastAsia" w:hAnsiTheme="minorEastAsia" w:cstheme="minorEastAsia"/>
          <w:color w:val="000000" w:themeColor="text1"/>
          <w:sz w:val="24"/>
          <w:lang w:val="en-US" w:eastAsia="zh-CN"/>
        </w:rPr>
        <w:t>优化和提升各社区禁毒宣教阵地的建设和社会效果，创造良好的禁毒环境，帮扶和实现禁毒宣传预防、吸毒人员管控、吸毒人员心理、家庭关系、社会关系的修复，对降低吸毒人员复吸率有重要作用。</w:t>
      </w:r>
    </w:p>
    <w:p>
      <w:pPr>
        <w:pStyle w:val="8"/>
        <w:spacing w:beforeLines="100" w:afterLines="100"/>
        <w:outlineLvl w:val="0"/>
        <w:rPr>
          <w:rFonts w:ascii="黑体" w:hAnsi="黑体" w:eastAsia="黑体" w:cs="黑体"/>
          <w:b w:val="0"/>
          <w:bCs/>
        </w:rPr>
      </w:pPr>
      <w:bookmarkStart w:id="25" w:name="_Toc23702"/>
      <w:r>
        <w:rPr>
          <w:rFonts w:hint="eastAsia" w:ascii="黑体" w:hAnsi="黑体" w:eastAsia="黑体" w:cs="黑体"/>
          <w:b w:val="0"/>
          <w:bCs/>
        </w:rPr>
        <w:t>七、其他需要说明的问题</w:t>
      </w:r>
      <w:bookmarkEnd w:id="25"/>
    </w:p>
    <w:p>
      <w:pPr>
        <w:spacing w:line="360" w:lineRule="auto"/>
        <w:ind w:firstLine="480" w:firstLineChars="200"/>
        <w:rPr>
          <w:rFonts w:hint="eastAsia" w:asciiTheme="minorEastAsia" w:hAnsiTheme="minorEastAsia" w:cstheme="minorEastAsia"/>
          <w:color w:val="000000" w:themeColor="text1"/>
          <w:sz w:val="24"/>
          <w:lang w:val="en-US" w:eastAsia="zh-CN"/>
        </w:rPr>
      </w:pPr>
      <w:r>
        <w:rPr>
          <w:rFonts w:hint="eastAsia" w:asciiTheme="minorEastAsia" w:hAnsiTheme="minorEastAsia" w:cstheme="minorEastAsia"/>
          <w:color w:val="000000" w:themeColor="text1"/>
          <w:sz w:val="24"/>
          <w:lang w:val="en-US" w:eastAsia="zh-CN"/>
        </w:rPr>
        <w:t>1.本绩效评价报告是在泉州市丰泽区禁毒委员会办公室提供资料的基础上形成的。</w:t>
      </w:r>
    </w:p>
    <w:p>
      <w:pPr>
        <w:spacing w:line="360" w:lineRule="auto"/>
        <w:ind w:firstLine="480" w:firstLineChars="200"/>
        <w:rPr>
          <w:rFonts w:hint="eastAsia" w:asciiTheme="minorEastAsia" w:hAnsiTheme="minorEastAsia" w:cstheme="minorEastAsia"/>
          <w:color w:val="000000" w:themeColor="text1"/>
          <w:sz w:val="24"/>
          <w:lang w:val="en-US" w:eastAsia="zh-CN"/>
        </w:rPr>
      </w:pPr>
      <w:r>
        <w:rPr>
          <w:rFonts w:hint="eastAsia" w:asciiTheme="minorEastAsia" w:hAnsiTheme="minorEastAsia" w:cstheme="minorEastAsia"/>
          <w:color w:val="000000" w:themeColor="text1"/>
          <w:sz w:val="24"/>
          <w:lang w:val="en-US" w:eastAsia="zh-CN"/>
        </w:rPr>
        <w:t>2.本绩效评价报告仅供泉州市丰泽区财政局开展“泉州市丰泽区2019年度禁毒工作专项经费”相关工作使用，不作他用。</w:t>
      </w:r>
    </w:p>
    <w:p>
      <w:pPr>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br w:type="page"/>
      </w:r>
    </w:p>
    <w:p>
      <w:pPr>
        <w:spacing w:line="360" w:lineRule="auto"/>
        <w:ind w:firstLine="480"/>
        <w:jc w:val="center"/>
        <w:outlineLvl w:val="0"/>
        <w:rPr>
          <w:rStyle w:val="20"/>
          <w:rFonts w:ascii="黑体" w:hAnsi="黑体" w:eastAsia="黑体" w:cs="黑体"/>
          <w:b w:val="0"/>
          <w:bCs/>
        </w:rPr>
      </w:pPr>
      <w:bookmarkStart w:id="26" w:name="_Toc24726"/>
      <w:r>
        <w:rPr>
          <w:rStyle w:val="20"/>
          <w:rFonts w:hint="eastAsia" w:ascii="黑体" w:hAnsi="黑体" w:eastAsia="黑体" w:cs="黑体"/>
          <w:b w:val="0"/>
          <w:bCs/>
        </w:rPr>
        <w:t>附件1  绩效</w:t>
      </w:r>
      <w:r>
        <w:rPr>
          <w:rStyle w:val="20"/>
          <w:rFonts w:hint="eastAsia" w:ascii="黑体" w:hAnsi="黑体" w:eastAsia="黑体" w:cs="黑体"/>
          <w:b w:val="0"/>
          <w:bCs/>
          <w:szCs w:val="22"/>
        </w:rPr>
        <w:t>评价得分表</w:t>
      </w:r>
      <w:bookmarkEnd w:id="2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804"/>
        <w:gridCol w:w="1268"/>
        <w:gridCol w:w="5411"/>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一级指标</w:t>
            </w:r>
          </w:p>
        </w:tc>
        <w:tc>
          <w:tcPr>
            <w:tcW w:w="804"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二级指标</w:t>
            </w:r>
          </w:p>
        </w:tc>
        <w:tc>
          <w:tcPr>
            <w:tcW w:w="1269"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三级指标</w:t>
            </w:r>
          </w:p>
        </w:tc>
        <w:tc>
          <w:tcPr>
            <w:tcW w:w="5415"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评分标准</w:t>
            </w:r>
          </w:p>
        </w:tc>
        <w:tc>
          <w:tcPr>
            <w:tcW w:w="817" w:type="dxa"/>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决策</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（18分）</w:t>
            </w:r>
          </w:p>
        </w:tc>
        <w:tc>
          <w:tcPr>
            <w:tcW w:w="804" w:type="dxa"/>
            <w:vMerge w:val="restart"/>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项目立项</w:t>
            </w:r>
          </w:p>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（6分）</w:t>
            </w:r>
          </w:p>
        </w:tc>
        <w:tc>
          <w:tcPr>
            <w:tcW w:w="1269" w:type="dxa"/>
            <w:vAlign w:val="center"/>
          </w:tcPr>
          <w:p>
            <w:pPr>
              <w:widowControl/>
              <w:jc w:val="center"/>
              <w:rPr>
                <w:rFonts w:ascii="宋体" w:hAnsi="宋体"/>
                <w:szCs w:val="21"/>
              </w:rPr>
            </w:pPr>
            <w:r>
              <w:rPr>
                <w:rFonts w:hint="eastAsia" w:ascii="宋体" w:hAnsi="宋体"/>
                <w:szCs w:val="21"/>
              </w:rPr>
              <w:t>立项依据</w:t>
            </w:r>
          </w:p>
          <w:p>
            <w:pPr>
              <w:widowControl/>
              <w:jc w:val="center"/>
              <w:rPr>
                <w:rFonts w:ascii="宋体" w:hAnsi="宋体"/>
                <w:szCs w:val="21"/>
              </w:rPr>
            </w:pPr>
            <w:r>
              <w:rPr>
                <w:rFonts w:hint="eastAsia" w:ascii="宋体" w:hAnsi="宋体"/>
                <w:szCs w:val="21"/>
              </w:rPr>
              <w:t>充分性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（3分）</w:t>
            </w:r>
          </w:p>
        </w:tc>
        <w:tc>
          <w:tcPr>
            <w:tcW w:w="5415" w:type="dxa"/>
            <w:vAlign w:val="center"/>
          </w:tcPr>
          <w:p>
            <w:r>
              <w:rPr>
                <w:rFonts w:hint="eastAsia"/>
              </w:rPr>
              <w:t>①项目立项是否符合相关政策要求；</w:t>
            </w:r>
          </w:p>
          <w:p>
            <w:r>
              <w:rPr>
                <w:rFonts w:hint="eastAsia"/>
              </w:rPr>
              <w:t>②项目立项是否与部门职责范围相符，属于部门履职所需；</w:t>
            </w:r>
          </w:p>
          <w:p>
            <w:r>
              <w:rPr>
                <w:rFonts w:hint="eastAsia"/>
              </w:rPr>
              <w:t>③项目是否属于公共财政支持范围，是否符合中央、地方事权支出责任划分原则；</w:t>
            </w:r>
          </w:p>
          <w:p>
            <w:pPr>
              <w:rPr>
                <w:rFonts w:ascii="宋体" w:hAnsi="宋体" w:eastAsia="仿宋" w:cs="宋体"/>
                <w:spacing w:val="8"/>
                <w:szCs w:val="21"/>
              </w:rPr>
            </w:pPr>
            <w:r>
              <w:rPr>
                <w:rFonts w:hint="eastAsia" w:asciiTheme="minorEastAsia" w:hAnsiTheme="minorEastAsia" w:cstheme="minorEastAsia"/>
                <w:color w:val="000000"/>
                <w:kern w:val="0"/>
                <w:szCs w:val="21"/>
              </w:rPr>
              <w:t>以上三项分别评分，各单项符合得1分，基本符合得0.5分，不符合得0分。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tcPr>
          <w:p>
            <w:pPr>
              <w:jc w:val="center"/>
              <w:rPr>
                <w:rFonts w:ascii="宋体" w:hAnsi="宋体" w:eastAsia="宋体" w:cs="宋体"/>
                <w:b/>
                <w:bCs/>
                <w:szCs w:val="21"/>
              </w:rPr>
            </w:pPr>
          </w:p>
        </w:tc>
        <w:tc>
          <w:tcPr>
            <w:tcW w:w="1269" w:type="dxa"/>
            <w:vAlign w:val="center"/>
          </w:tcPr>
          <w:p>
            <w:pPr>
              <w:widowControl/>
              <w:jc w:val="center"/>
              <w:rPr>
                <w:rFonts w:ascii="宋体" w:hAnsi="宋体"/>
                <w:szCs w:val="21"/>
              </w:rPr>
            </w:pPr>
            <w:r>
              <w:rPr>
                <w:rFonts w:hint="eastAsia" w:ascii="宋体" w:hAnsi="宋体"/>
                <w:szCs w:val="21"/>
              </w:rPr>
              <w:t>立项程序</w:t>
            </w:r>
          </w:p>
          <w:p>
            <w:pPr>
              <w:widowControl/>
              <w:jc w:val="center"/>
              <w:rPr>
                <w:rFonts w:ascii="宋体" w:hAnsi="宋体"/>
                <w:szCs w:val="21"/>
              </w:rPr>
            </w:pPr>
            <w:r>
              <w:rPr>
                <w:rFonts w:hint="eastAsia" w:ascii="宋体" w:hAnsi="宋体"/>
                <w:szCs w:val="21"/>
              </w:rPr>
              <w:t>规范性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（3分）</w:t>
            </w:r>
          </w:p>
        </w:tc>
        <w:tc>
          <w:tcPr>
            <w:tcW w:w="5415" w:type="dxa"/>
            <w:vAlign w:val="center"/>
          </w:tcPr>
          <w:p>
            <w:r>
              <w:rPr>
                <w:rFonts w:hint="eastAsia"/>
              </w:rPr>
              <w:t>①项目是否按照规定的程序申请设立；</w:t>
            </w:r>
          </w:p>
          <w:p>
            <w:r>
              <w:rPr>
                <w:rFonts w:hint="eastAsia"/>
              </w:rPr>
              <w:t>②审批文件、材料是否符含相关要求；</w:t>
            </w:r>
          </w:p>
          <w:p>
            <w:r>
              <w:rPr>
                <w:rFonts w:hint="eastAsia"/>
              </w:rPr>
              <w:t>③事前是否已经过必要的可行性研究、专家论证、风险评估、绩效评估集体决策；</w:t>
            </w:r>
          </w:p>
          <w:p>
            <w:pPr>
              <w:rPr>
                <w:rFonts w:ascii="宋体" w:hAnsi="宋体" w:eastAsia="宋体" w:cs="宋体"/>
                <w:spacing w:val="8"/>
                <w:szCs w:val="21"/>
              </w:rPr>
            </w:pPr>
            <w:r>
              <w:rPr>
                <w:rFonts w:hint="eastAsia" w:asciiTheme="minorEastAsia" w:hAnsiTheme="minorEastAsia" w:cstheme="minorEastAsia"/>
                <w:color w:val="000000"/>
                <w:kern w:val="0"/>
                <w:szCs w:val="21"/>
              </w:rPr>
              <w:t>以上三项分别评分，各单项符合得1分，基本符合得0.5分，不符合得0分。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绩效目标</w:t>
            </w:r>
          </w:p>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（6分）</w:t>
            </w:r>
          </w:p>
        </w:tc>
        <w:tc>
          <w:tcPr>
            <w:tcW w:w="1269" w:type="dxa"/>
            <w:vAlign w:val="center"/>
          </w:tcPr>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绩效目标</w:t>
            </w:r>
          </w:p>
          <w:p>
            <w:pPr>
              <w:widowControl/>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合理性</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color w:val="000000"/>
                <w:kern w:val="0"/>
                <w:szCs w:val="21"/>
              </w:rPr>
              <w:t>（</w:t>
            </w:r>
            <w:r>
              <w:rPr>
                <w:rFonts w:hint="eastAsia" w:ascii="宋体" w:hAnsi="宋体" w:cs="宋体"/>
                <w:color w:val="000000"/>
                <w:kern w:val="0"/>
                <w:szCs w:val="21"/>
              </w:rPr>
              <w:t>4</w:t>
            </w:r>
            <w:r>
              <w:rPr>
                <w:rFonts w:hint="eastAsia" w:ascii="宋体" w:hAnsi="宋体" w:eastAsia="宋体" w:cs="宋体"/>
                <w:color w:val="000000"/>
                <w:kern w:val="0"/>
                <w:szCs w:val="21"/>
              </w:rPr>
              <w:t>分）</w:t>
            </w:r>
          </w:p>
        </w:tc>
        <w:tc>
          <w:tcPr>
            <w:tcW w:w="5415" w:type="dxa"/>
            <w:vAlign w:val="center"/>
          </w:tcPr>
          <w:p>
            <w:pPr>
              <w:pStyle w:val="11"/>
              <w:widowControl/>
              <w:wordWrap w:val="0"/>
              <w:spacing w:beforeAutospacing="0" w:afterAutospacing="0"/>
              <w:jc w:val="both"/>
              <w:rPr>
                <w:rFonts w:ascii="宋体" w:hAnsi="宋体" w:eastAsia="宋体" w:cs="宋体"/>
                <w:spacing w:val="8"/>
                <w:sz w:val="21"/>
                <w:szCs w:val="21"/>
              </w:rPr>
            </w:pPr>
            <w:r>
              <w:rPr>
                <w:rFonts w:hint="eastAsia" w:ascii="宋体" w:hAnsi="宋体" w:eastAsia="宋体" w:cs="宋体"/>
                <w:spacing w:val="8"/>
                <w:sz w:val="21"/>
                <w:szCs w:val="21"/>
              </w:rPr>
              <w:t>①项目是否有绩效目标；</w:t>
            </w:r>
            <w:r>
              <w:rPr>
                <w:rFonts w:hint="eastAsia" w:ascii="宋体" w:hAnsi="宋体" w:eastAsia="宋体" w:cs="宋体"/>
                <w:spacing w:val="8"/>
                <w:sz w:val="21"/>
                <w:szCs w:val="21"/>
              </w:rPr>
              <w:br w:type="textWrapping"/>
            </w:r>
            <w:r>
              <w:rPr>
                <w:rFonts w:hint="eastAsia" w:ascii="宋体" w:hAnsi="宋体" w:eastAsia="宋体" w:cs="宋体"/>
                <w:spacing w:val="8"/>
                <w:sz w:val="21"/>
                <w:szCs w:val="21"/>
              </w:rPr>
              <w:t>②项目绩效目标与实际工作内容是否具有相关性；</w:t>
            </w:r>
            <w:r>
              <w:rPr>
                <w:rFonts w:hint="eastAsia" w:ascii="宋体" w:hAnsi="宋体" w:eastAsia="宋体" w:cs="宋体"/>
                <w:spacing w:val="8"/>
                <w:sz w:val="21"/>
                <w:szCs w:val="21"/>
              </w:rPr>
              <w:br w:type="textWrapping"/>
            </w:r>
            <w:r>
              <w:rPr>
                <w:rFonts w:hint="eastAsia" w:ascii="宋体" w:hAnsi="宋体" w:eastAsia="宋体" w:cs="宋体"/>
                <w:spacing w:val="8"/>
                <w:sz w:val="21"/>
                <w:szCs w:val="21"/>
              </w:rPr>
              <w:t>③项目预期产出效益和效果是否符合正常的业绩水平；</w:t>
            </w:r>
          </w:p>
          <w:p>
            <w:pPr>
              <w:pStyle w:val="11"/>
              <w:widowControl/>
              <w:wordWrap w:val="0"/>
              <w:spacing w:beforeAutospacing="0" w:afterAutospacing="0"/>
              <w:jc w:val="both"/>
              <w:rPr>
                <w:rFonts w:ascii="宋体" w:hAnsi="宋体" w:eastAsia="宋体" w:cs="宋体"/>
                <w:spacing w:val="8"/>
                <w:sz w:val="21"/>
                <w:szCs w:val="21"/>
              </w:rPr>
            </w:pPr>
            <w:r>
              <w:rPr>
                <w:rFonts w:hint="eastAsia" w:ascii="宋体" w:hAnsi="宋体" w:eastAsia="宋体" w:cs="宋体"/>
                <w:spacing w:val="8"/>
                <w:sz w:val="21"/>
                <w:szCs w:val="21"/>
              </w:rPr>
              <w:t>④是否与预算确定的项目投资额或资金量相匹配。</w:t>
            </w:r>
          </w:p>
          <w:p>
            <w:pPr>
              <w:widowControl/>
              <w:snapToGrid w:val="0"/>
              <w:rPr>
                <w:rFonts w:ascii="宋体" w:hAnsi="宋体" w:eastAsia="宋体" w:cs="宋体"/>
                <w:spacing w:val="8"/>
                <w:szCs w:val="21"/>
              </w:rPr>
            </w:pPr>
            <w:r>
              <w:rPr>
                <w:rFonts w:hint="eastAsia" w:ascii="宋体" w:hAnsi="宋体" w:eastAsia="宋体" w:cs="宋体"/>
                <w:spacing w:val="8"/>
                <w:szCs w:val="21"/>
              </w:rPr>
              <w:t>每项符合得1分，基本符合得0.5分，不符合得0分，满分4分。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绩效指标</w:t>
            </w:r>
          </w:p>
          <w:p>
            <w:pPr>
              <w:widowControl/>
              <w:snapToGrid w:val="0"/>
              <w:jc w:val="center"/>
              <w:rPr>
                <w:rFonts w:ascii="宋体" w:hAnsi="宋体" w:eastAsia="宋体" w:cs="宋体"/>
                <w:kern w:val="0"/>
                <w:szCs w:val="21"/>
              </w:rPr>
            </w:pPr>
            <w:r>
              <w:rPr>
                <w:rFonts w:hint="eastAsia" w:ascii="宋体" w:hAnsi="宋体" w:eastAsia="宋体" w:cs="宋体"/>
                <w:kern w:val="0"/>
                <w:szCs w:val="21"/>
              </w:rPr>
              <w:t>明确性</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（2分）</w:t>
            </w:r>
          </w:p>
        </w:tc>
        <w:tc>
          <w:tcPr>
            <w:tcW w:w="5415" w:type="dxa"/>
            <w:vAlign w:val="center"/>
          </w:tcPr>
          <w:p>
            <w:pPr>
              <w:widowControl/>
              <w:snapToGrid w:val="0"/>
              <w:rPr>
                <w:rFonts w:ascii="宋体" w:hAnsi="宋体" w:eastAsia="宋体" w:cs="宋体"/>
                <w:kern w:val="0"/>
                <w:szCs w:val="21"/>
              </w:rPr>
            </w:pPr>
            <w:r>
              <w:rPr>
                <w:rFonts w:hint="eastAsia" w:ascii="宋体" w:hAnsi="宋体" w:eastAsia="宋体" w:cs="宋体"/>
                <w:kern w:val="0"/>
                <w:szCs w:val="21"/>
              </w:rPr>
              <w:t>①是否将绩效目标细化分解为具体的工作任务；</w:t>
            </w:r>
          </w:p>
          <w:p>
            <w:pPr>
              <w:widowControl/>
              <w:snapToGrid w:val="0"/>
              <w:rPr>
                <w:rFonts w:ascii="宋体" w:hAnsi="宋体" w:eastAsia="宋体" w:cs="宋体"/>
                <w:kern w:val="0"/>
                <w:szCs w:val="21"/>
              </w:rPr>
            </w:pPr>
            <w:r>
              <w:rPr>
                <w:rFonts w:hint="eastAsia" w:ascii="宋体" w:hAnsi="宋体" w:eastAsia="宋体" w:cs="宋体"/>
                <w:kern w:val="0"/>
                <w:szCs w:val="21"/>
              </w:rPr>
              <w:t>②是否通过清晰、可衡量的指标值予以体现。</w:t>
            </w:r>
          </w:p>
          <w:p>
            <w:pPr>
              <w:widowControl/>
              <w:snapToGrid w:val="0"/>
              <w:rPr>
                <w:rFonts w:ascii="宋体" w:hAnsi="宋体" w:eastAsia="宋体" w:cs="宋体"/>
                <w:spacing w:val="8"/>
                <w:szCs w:val="21"/>
              </w:rPr>
            </w:pPr>
            <w:r>
              <w:rPr>
                <w:rFonts w:hint="eastAsia" w:ascii="宋体" w:hAnsi="宋体" w:eastAsia="宋体" w:cs="宋体"/>
                <w:kern w:val="0"/>
                <w:szCs w:val="21"/>
              </w:rPr>
              <w:t>以上两项分别评分，各单项符合得1分，基本符合得0.5分，不符合得0分。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资金投入（6分）</w:t>
            </w:r>
          </w:p>
        </w:tc>
        <w:tc>
          <w:tcPr>
            <w:tcW w:w="1269" w:type="dxa"/>
            <w:vAlign w:val="center"/>
          </w:tcPr>
          <w:p>
            <w:pPr>
              <w:jc w:val="center"/>
              <w:rPr>
                <w:rFonts w:ascii="宋体" w:hAnsi="宋体" w:cs="宋体"/>
                <w:kern w:val="0"/>
                <w:szCs w:val="21"/>
              </w:rPr>
            </w:pPr>
            <w:r>
              <w:rPr>
                <w:rFonts w:hint="eastAsia" w:ascii="宋体" w:hAnsi="宋体" w:cs="宋体"/>
                <w:kern w:val="0"/>
                <w:szCs w:val="21"/>
              </w:rPr>
              <w:t>预算编制</w:t>
            </w:r>
          </w:p>
          <w:p>
            <w:pPr>
              <w:jc w:val="center"/>
              <w:rPr>
                <w:rFonts w:ascii="宋体" w:hAnsi="宋体" w:cs="宋体"/>
                <w:kern w:val="0"/>
                <w:szCs w:val="21"/>
              </w:rPr>
            </w:pPr>
            <w:r>
              <w:rPr>
                <w:rFonts w:hint="eastAsia" w:ascii="宋体" w:hAnsi="宋体" w:cs="宋体"/>
                <w:kern w:val="0"/>
                <w:szCs w:val="21"/>
              </w:rPr>
              <w:t>科学性</w:t>
            </w:r>
          </w:p>
          <w:p>
            <w:pPr>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415" w:type="dxa"/>
            <w:vAlign w:val="center"/>
          </w:tcPr>
          <w:p>
            <w:pPr>
              <w:jc w:val="left"/>
              <w:rPr>
                <w:rFonts w:ascii="宋体" w:hAnsi="宋体" w:cs="宋体"/>
                <w:kern w:val="0"/>
                <w:szCs w:val="21"/>
              </w:rPr>
            </w:pPr>
            <w:r>
              <w:rPr>
                <w:rFonts w:hint="eastAsia" w:ascii="宋体" w:hAnsi="宋体" w:cs="宋体"/>
                <w:kern w:val="0"/>
                <w:szCs w:val="21"/>
              </w:rPr>
              <w:t>①预算内容与项目内容是否匹配；</w:t>
            </w:r>
          </w:p>
          <w:p>
            <w:pPr>
              <w:jc w:val="left"/>
              <w:rPr>
                <w:rFonts w:ascii="宋体" w:hAnsi="宋体" w:cs="宋体"/>
                <w:kern w:val="0"/>
                <w:szCs w:val="21"/>
              </w:rPr>
            </w:pPr>
            <w:r>
              <w:rPr>
                <w:rFonts w:hint="eastAsia" w:ascii="宋体" w:hAnsi="宋体" w:cs="宋体"/>
                <w:kern w:val="0"/>
                <w:szCs w:val="21"/>
              </w:rPr>
              <w:t>②预算确定的项目投资额或资金量是否与工作任务相匹配</w:t>
            </w:r>
          </w:p>
          <w:p>
            <w:pPr>
              <w:jc w:val="left"/>
              <w:rPr>
                <w:rFonts w:ascii="宋体" w:hAnsi="宋体" w:eastAsia="宋体" w:cs="宋体"/>
                <w:spacing w:val="8"/>
                <w:szCs w:val="21"/>
              </w:rPr>
            </w:pPr>
            <w:r>
              <w:rPr>
                <w:rFonts w:hint="eastAsia" w:ascii="宋体" w:hAnsi="宋体"/>
                <w:kern w:val="0"/>
                <w:sz w:val="20"/>
                <w:szCs w:val="20"/>
              </w:rPr>
              <w:t>一项不符合扣一分，扣完为止。</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jc w:val="center"/>
              <w:rPr>
                <w:rFonts w:ascii="宋体" w:hAnsi="宋体" w:cs="宋体"/>
                <w:kern w:val="0"/>
                <w:szCs w:val="21"/>
              </w:rPr>
            </w:pPr>
            <w:r>
              <w:rPr>
                <w:rFonts w:hint="eastAsia" w:ascii="宋体" w:hAnsi="宋体" w:cs="宋体"/>
                <w:kern w:val="0"/>
                <w:szCs w:val="21"/>
              </w:rPr>
              <w:t>资金分配</w:t>
            </w:r>
          </w:p>
          <w:p>
            <w:pPr>
              <w:widowControl/>
              <w:jc w:val="center"/>
              <w:rPr>
                <w:rFonts w:ascii="宋体" w:hAnsi="宋体" w:cs="宋体"/>
                <w:kern w:val="0"/>
                <w:szCs w:val="21"/>
              </w:rPr>
            </w:pPr>
            <w:r>
              <w:rPr>
                <w:rFonts w:hint="eastAsia" w:ascii="宋体" w:hAnsi="宋体" w:cs="宋体"/>
                <w:kern w:val="0"/>
                <w:szCs w:val="21"/>
              </w:rPr>
              <w:t>合理性</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（4分）</w:t>
            </w:r>
          </w:p>
        </w:tc>
        <w:tc>
          <w:tcPr>
            <w:tcW w:w="5415" w:type="dxa"/>
            <w:vAlign w:val="center"/>
          </w:tcPr>
          <w:p>
            <w:pPr>
              <w:widowControl/>
              <w:jc w:val="left"/>
              <w:rPr>
                <w:rFonts w:ascii="宋体" w:hAnsi="宋体" w:cs="宋体"/>
                <w:kern w:val="0"/>
                <w:szCs w:val="21"/>
              </w:rPr>
            </w:pPr>
            <w:r>
              <w:rPr>
                <w:rFonts w:hint="eastAsia" w:ascii="宋体" w:hAnsi="宋体" w:cs="宋体"/>
                <w:kern w:val="0"/>
                <w:szCs w:val="21"/>
              </w:rPr>
              <w:t>①预算资金分配依据是否充分</w:t>
            </w:r>
          </w:p>
          <w:p>
            <w:pPr>
              <w:widowControl/>
              <w:jc w:val="left"/>
              <w:rPr>
                <w:rFonts w:ascii="宋体" w:hAnsi="宋体" w:cs="宋体"/>
                <w:kern w:val="0"/>
                <w:szCs w:val="21"/>
              </w:rPr>
            </w:pPr>
            <w:r>
              <w:rPr>
                <w:rFonts w:hint="eastAsia" w:ascii="宋体" w:hAnsi="宋体" w:cs="宋体"/>
                <w:kern w:val="0"/>
                <w:szCs w:val="21"/>
              </w:rPr>
              <w:t>②资金分配额度是否合理，与项目单位或地方实际是否相适应。</w:t>
            </w:r>
          </w:p>
          <w:p>
            <w:pPr>
              <w:widowControl/>
              <w:jc w:val="left"/>
              <w:rPr>
                <w:rFonts w:ascii="宋体" w:hAnsi="宋体" w:eastAsia="宋体" w:cs="宋体"/>
                <w:spacing w:val="8"/>
                <w:szCs w:val="21"/>
              </w:rPr>
            </w:pPr>
            <w:r>
              <w:rPr>
                <w:rFonts w:hint="eastAsia" w:ascii="宋体" w:hAnsi="宋体" w:eastAsia="宋体" w:cs="宋体"/>
                <w:color w:val="000000"/>
                <w:kern w:val="0"/>
                <w:szCs w:val="21"/>
              </w:rPr>
              <w:t>以上两项分别评分，各单项符合得2分，</w:t>
            </w:r>
            <w:r>
              <w:rPr>
                <w:rFonts w:hint="eastAsia" w:ascii="宋体" w:hAnsi="宋体" w:eastAsia="宋体" w:cs="宋体"/>
                <w:kern w:val="0"/>
                <w:szCs w:val="21"/>
              </w:rPr>
              <w:t>基本符合得1分，</w:t>
            </w:r>
            <w:r>
              <w:rPr>
                <w:rFonts w:hint="eastAsia" w:ascii="宋体" w:hAnsi="宋体" w:eastAsia="宋体" w:cs="宋体"/>
                <w:color w:val="000000"/>
                <w:kern w:val="0"/>
                <w:szCs w:val="21"/>
              </w:rPr>
              <w:t>不符合得0分。</w:t>
            </w:r>
          </w:p>
        </w:tc>
        <w:tc>
          <w:tcPr>
            <w:tcW w:w="817" w:type="dxa"/>
            <w:vAlign w:val="center"/>
          </w:tcPr>
          <w:p>
            <w:pPr>
              <w:pStyle w:val="11"/>
              <w:widowControl/>
              <w:wordWrap w:val="0"/>
              <w:spacing w:beforeAutospacing="0" w:afterAutospacing="0"/>
              <w:jc w:val="center"/>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过程</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（14分）</w:t>
            </w:r>
          </w:p>
        </w:tc>
        <w:tc>
          <w:tcPr>
            <w:tcW w:w="804"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资金管理（</w:t>
            </w:r>
            <w:r>
              <w:rPr>
                <w:rFonts w:hint="eastAsia" w:ascii="宋体" w:hAnsi="宋体" w:cs="宋体"/>
                <w:kern w:val="0"/>
                <w:szCs w:val="21"/>
              </w:rPr>
              <w:t>9</w:t>
            </w:r>
            <w:r>
              <w:rPr>
                <w:rFonts w:hint="eastAsia" w:ascii="宋体" w:hAnsi="宋体" w:eastAsia="宋体" w:cs="宋体"/>
                <w:kern w:val="0"/>
                <w:szCs w:val="21"/>
              </w:rPr>
              <w:t>分）</w:t>
            </w:r>
          </w:p>
        </w:tc>
        <w:tc>
          <w:tcPr>
            <w:tcW w:w="1269" w:type="dxa"/>
            <w:vAlign w:val="center"/>
          </w:tcPr>
          <w:p>
            <w:pPr>
              <w:widowControl/>
              <w:jc w:val="center"/>
              <w:rPr>
                <w:rFonts w:ascii="宋体" w:hAnsi="宋体" w:cs="宋体"/>
                <w:kern w:val="0"/>
                <w:szCs w:val="21"/>
              </w:rPr>
            </w:pPr>
            <w:r>
              <w:rPr>
                <w:rFonts w:hint="eastAsia" w:ascii="宋体" w:hAnsi="宋体" w:cs="宋体"/>
                <w:kern w:val="0"/>
                <w:szCs w:val="21"/>
              </w:rPr>
              <w:t>资金</w:t>
            </w:r>
          </w:p>
          <w:p>
            <w:pPr>
              <w:widowControl/>
              <w:jc w:val="center"/>
              <w:rPr>
                <w:rFonts w:ascii="宋体" w:hAnsi="宋体" w:cs="宋体"/>
                <w:kern w:val="0"/>
                <w:szCs w:val="21"/>
              </w:rPr>
            </w:pPr>
            <w:r>
              <w:rPr>
                <w:rFonts w:hint="eastAsia" w:ascii="宋体" w:hAnsi="宋体" w:cs="宋体"/>
                <w:kern w:val="0"/>
                <w:szCs w:val="21"/>
              </w:rPr>
              <w:t>到位率</w:t>
            </w:r>
          </w:p>
          <w:p>
            <w:pPr>
              <w:widowControl/>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415" w:type="dxa"/>
            <w:vAlign w:val="center"/>
          </w:tcPr>
          <w:p>
            <w:pPr>
              <w:widowControl/>
              <w:jc w:val="left"/>
              <w:rPr>
                <w:rFonts w:ascii="宋体" w:hAnsi="宋体" w:cs="宋体"/>
                <w:kern w:val="0"/>
                <w:szCs w:val="21"/>
              </w:rPr>
            </w:pPr>
            <w:r>
              <w:rPr>
                <w:rFonts w:hint="eastAsia" w:ascii="宋体" w:hAnsi="宋体" w:cs="宋体"/>
                <w:kern w:val="0"/>
                <w:szCs w:val="21"/>
              </w:rPr>
              <w:t>资金到位率=(实际到位资金/预算资金)×100%</w:t>
            </w:r>
          </w:p>
          <w:p>
            <w:pPr>
              <w:widowControl/>
              <w:jc w:val="left"/>
              <w:rPr>
                <w:rFonts w:ascii="宋体" w:hAnsi="宋体" w:cs="宋体"/>
                <w:kern w:val="0"/>
                <w:szCs w:val="21"/>
              </w:rPr>
            </w:pPr>
            <w:r>
              <w:rPr>
                <w:rFonts w:hint="eastAsia" w:ascii="宋体" w:hAnsi="宋体" w:cs="宋体"/>
                <w:kern w:val="0"/>
                <w:szCs w:val="21"/>
              </w:rPr>
              <w:t>实际到位资金：一定时期(本年度或项目期)内落实到具体项目的资金</w:t>
            </w:r>
          </w:p>
          <w:p>
            <w:pPr>
              <w:widowControl/>
              <w:jc w:val="left"/>
              <w:rPr>
                <w:rFonts w:ascii="宋体" w:hAnsi="宋体" w:eastAsia="宋体" w:cs="宋体"/>
                <w:spacing w:val="8"/>
                <w:szCs w:val="21"/>
              </w:rPr>
            </w:pPr>
            <w:r>
              <w:rPr>
                <w:rFonts w:hint="eastAsia" w:ascii="宋体" w:hAnsi="宋体" w:cs="宋体"/>
                <w:kern w:val="0"/>
                <w:szCs w:val="21"/>
              </w:rPr>
              <w:t>预算资金：一定时期(本年度或项目期)内预算安排到具体项目的资金</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jc w:val="center"/>
              <w:rPr>
                <w:rFonts w:ascii="宋体" w:hAnsi="宋体" w:cs="宋体"/>
                <w:kern w:val="0"/>
                <w:szCs w:val="21"/>
              </w:rPr>
            </w:pPr>
            <w:r>
              <w:rPr>
                <w:rFonts w:hint="eastAsia" w:ascii="宋体" w:hAnsi="宋体" w:cs="宋体"/>
                <w:kern w:val="0"/>
                <w:szCs w:val="21"/>
              </w:rPr>
              <w:t>预算</w:t>
            </w:r>
          </w:p>
          <w:p>
            <w:pPr>
              <w:widowControl/>
              <w:jc w:val="center"/>
              <w:rPr>
                <w:rFonts w:ascii="宋体" w:hAnsi="宋体" w:cs="宋体"/>
                <w:kern w:val="0"/>
                <w:szCs w:val="21"/>
              </w:rPr>
            </w:pPr>
            <w:r>
              <w:rPr>
                <w:rFonts w:hint="eastAsia" w:ascii="宋体" w:hAnsi="宋体" w:cs="宋体"/>
                <w:kern w:val="0"/>
                <w:szCs w:val="21"/>
              </w:rPr>
              <w:t>执行率</w:t>
            </w:r>
          </w:p>
          <w:p>
            <w:pPr>
              <w:widowControl/>
              <w:jc w:val="center"/>
              <w:rPr>
                <w:rFonts w:ascii="宋体" w:hAnsi="宋体" w:eastAsia="宋体" w:cs="宋体"/>
                <w:spacing w:val="8"/>
                <w:szCs w:val="21"/>
                <w:shd w:val="clear" w:color="auto" w:fill="FFFFFF"/>
              </w:rPr>
            </w:pPr>
            <w:r>
              <w:rPr>
                <w:rFonts w:hint="eastAsia" w:ascii="宋体" w:hAnsi="宋体" w:eastAsia="宋体" w:cs="宋体"/>
                <w:kern w:val="0"/>
                <w:szCs w:val="21"/>
              </w:rPr>
              <w:t>（</w:t>
            </w:r>
            <w:r>
              <w:rPr>
                <w:rFonts w:hint="eastAsia" w:ascii="宋体" w:hAnsi="宋体" w:cs="宋体"/>
                <w:kern w:val="0"/>
                <w:szCs w:val="21"/>
              </w:rPr>
              <w:t>3</w:t>
            </w:r>
            <w:r>
              <w:rPr>
                <w:rFonts w:hint="eastAsia" w:ascii="宋体" w:hAnsi="宋体" w:eastAsia="宋体" w:cs="宋体"/>
                <w:kern w:val="0"/>
                <w:szCs w:val="21"/>
              </w:rPr>
              <w:t>分）</w:t>
            </w:r>
          </w:p>
        </w:tc>
        <w:tc>
          <w:tcPr>
            <w:tcW w:w="5415" w:type="dxa"/>
            <w:vAlign w:val="center"/>
          </w:tcPr>
          <w:p>
            <w:pPr>
              <w:widowControl/>
              <w:jc w:val="left"/>
              <w:rPr>
                <w:rFonts w:ascii="宋体" w:hAnsi="宋体" w:cs="宋体"/>
                <w:kern w:val="0"/>
                <w:szCs w:val="21"/>
              </w:rPr>
            </w:pPr>
            <w:r>
              <w:rPr>
                <w:rFonts w:hint="eastAsia" w:ascii="宋体" w:hAnsi="宋体" w:cs="宋体"/>
                <w:kern w:val="0"/>
                <w:szCs w:val="21"/>
              </w:rPr>
              <w:t>预算执行率=(实际支出资金/预算资金)×100%</w:t>
            </w:r>
          </w:p>
          <w:p>
            <w:pPr>
              <w:widowControl/>
              <w:jc w:val="left"/>
              <w:rPr>
                <w:rFonts w:ascii="宋体" w:hAnsi="宋体" w:cs="宋体"/>
                <w:kern w:val="0"/>
                <w:szCs w:val="21"/>
              </w:rPr>
            </w:pPr>
            <w:r>
              <w:rPr>
                <w:rFonts w:hint="eastAsia" w:ascii="宋体" w:hAnsi="宋体" w:cs="宋体"/>
                <w:kern w:val="0"/>
                <w:szCs w:val="21"/>
              </w:rPr>
              <w:t>实际支出资金：一定时期(本年度或项目期)内项目实际拨付的资金。</w:t>
            </w:r>
          </w:p>
          <w:p>
            <w:pPr>
              <w:widowControl/>
              <w:jc w:val="left"/>
              <w:rPr>
                <w:rFonts w:ascii="宋体" w:hAnsi="宋体" w:eastAsia="宋体" w:cs="宋体"/>
                <w:spacing w:val="8"/>
                <w:szCs w:val="21"/>
              </w:rPr>
            </w:pPr>
            <w:r>
              <w:rPr>
                <w:rFonts w:hint="eastAsia" w:ascii="宋体" w:hAnsi="宋体" w:eastAsia="宋体" w:cs="宋体"/>
                <w:kern w:val="0"/>
                <w:szCs w:val="21"/>
              </w:rPr>
              <w:t>预算执行率100%，得满分；每降低5个百分点，扣1分，扣完为止。</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资金使用</w:t>
            </w:r>
          </w:p>
          <w:p>
            <w:pPr>
              <w:widowControl/>
              <w:snapToGrid w:val="0"/>
              <w:jc w:val="center"/>
              <w:rPr>
                <w:rFonts w:ascii="宋体" w:hAnsi="宋体" w:eastAsia="宋体" w:cs="宋体"/>
                <w:kern w:val="0"/>
                <w:szCs w:val="21"/>
              </w:rPr>
            </w:pPr>
            <w:r>
              <w:rPr>
                <w:rFonts w:hint="eastAsia" w:ascii="宋体" w:hAnsi="宋体" w:eastAsia="宋体" w:cs="宋体"/>
                <w:kern w:val="0"/>
                <w:szCs w:val="21"/>
              </w:rPr>
              <w:t>合规性</w:t>
            </w:r>
          </w:p>
          <w:p>
            <w:pPr>
              <w:widowControl/>
              <w:snapToGrid w:val="0"/>
              <w:jc w:val="center"/>
              <w:rPr>
                <w:rFonts w:ascii="宋体" w:hAnsi="宋体" w:eastAsia="宋体" w:cs="宋体"/>
                <w:kern w:val="0"/>
                <w:szCs w:val="21"/>
              </w:rPr>
            </w:pPr>
            <w:r>
              <w:rPr>
                <w:rFonts w:hint="eastAsia" w:ascii="宋体" w:hAnsi="宋体" w:eastAsia="宋体" w:cs="宋体"/>
                <w:kern w:val="0"/>
                <w:szCs w:val="21"/>
              </w:rPr>
              <w:t>（4分）</w:t>
            </w:r>
          </w:p>
          <w:p>
            <w:pPr>
              <w:widowControl/>
              <w:snapToGrid w:val="0"/>
              <w:jc w:val="center"/>
              <w:rPr>
                <w:rFonts w:ascii="宋体" w:hAnsi="宋体" w:eastAsia="宋体" w:cs="宋体"/>
                <w:spacing w:val="8"/>
                <w:szCs w:val="21"/>
                <w:shd w:val="clear" w:color="auto" w:fill="FFFFFF"/>
              </w:rPr>
            </w:pPr>
          </w:p>
        </w:tc>
        <w:tc>
          <w:tcPr>
            <w:tcW w:w="5415" w:type="dxa"/>
            <w:vAlign w:val="center"/>
          </w:tcPr>
          <w:p>
            <w:pPr>
              <w:widowControl/>
              <w:snapToGrid w:val="0"/>
              <w:rPr>
                <w:rFonts w:ascii="宋体" w:hAnsi="宋体" w:eastAsia="宋体" w:cs="宋体"/>
                <w:kern w:val="0"/>
                <w:szCs w:val="21"/>
              </w:rPr>
            </w:pPr>
            <w:r>
              <w:rPr>
                <w:rFonts w:hint="eastAsia" w:ascii="宋体" w:hAnsi="宋体" w:eastAsia="宋体" w:cs="宋体"/>
                <w:kern w:val="0"/>
                <w:szCs w:val="21"/>
              </w:rPr>
              <w:t>①符合国家财经法规和财务管理制度规定以及有关部门资金管理办法的规定；</w:t>
            </w:r>
          </w:p>
          <w:p>
            <w:pPr>
              <w:widowControl/>
              <w:snapToGrid w:val="0"/>
              <w:rPr>
                <w:rFonts w:ascii="宋体" w:hAnsi="宋体" w:eastAsia="宋体" w:cs="宋体"/>
                <w:kern w:val="0"/>
                <w:szCs w:val="21"/>
              </w:rPr>
            </w:pPr>
            <w:r>
              <w:rPr>
                <w:rFonts w:hint="eastAsia" w:ascii="宋体" w:hAnsi="宋体" w:eastAsia="宋体" w:cs="宋体"/>
                <w:kern w:val="0"/>
                <w:szCs w:val="21"/>
              </w:rPr>
              <w:t>②资金拨付有完整的审批程序和手续；</w:t>
            </w:r>
          </w:p>
          <w:p>
            <w:pPr>
              <w:widowControl/>
              <w:snapToGrid w:val="0"/>
              <w:rPr>
                <w:rFonts w:ascii="宋体" w:hAnsi="宋体" w:eastAsia="宋体" w:cs="宋体"/>
                <w:kern w:val="0"/>
                <w:szCs w:val="21"/>
              </w:rPr>
            </w:pPr>
            <w:r>
              <w:rPr>
                <w:rFonts w:hint="eastAsia" w:ascii="宋体" w:hAnsi="宋体" w:eastAsia="宋体" w:cs="宋体"/>
                <w:kern w:val="0"/>
                <w:szCs w:val="21"/>
              </w:rPr>
              <w:t>③支出符合部门预算批复的用途；</w:t>
            </w:r>
          </w:p>
          <w:p>
            <w:pPr>
              <w:widowControl/>
              <w:snapToGrid w:val="0"/>
              <w:rPr>
                <w:rFonts w:ascii="宋体" w:hAnsi="宋体" w:eastAsia="宋体" w:cs="宋体"/>
                <w:kern w:val="0"/>
                <w:szCs w:val="21"/>
              </w:rPr>
            </w:pPr>
            <w:r>
              <w:rPr>
                <w:rFonts w:hint="eastAsia" w:ascii="宋体" w:hAnsi="宋体" w:eastAsia="宋体" w:cs="宋体"/>
                <w:kern w:val="0"/>
                <w:szCs w:val="21"/>
              </w:rPr>
              <w:t>④资金使用无截留、挤占、挪用、虚列支出等情况。</w:t>
            </w:r>
          </w:p>
          <w:p>
            <w:pPr>
              <w:widowControl/>
              <w:snapToGrid w:val="0"/>
              <w:rPr>
                <w:rFonts w:ascii="宋体" w:hAnsi="宋体" w:eastAsia="宋体" w:cs="宋体"/>
                <w:spacing w:val="8"/>
                <w:szCs w:val="21"/>
              </w:rPr>
            </w:pPr>
            <w:r>
              <w:rPr>
                <w:rFonts w:hint="eastAsia" w:ascii="宋体" w:hAnsi="宋体" w:eastAsia="宋体" w:cs="宋体"/>
                <w:kern w:val="0"/>
                <w:szCs w:val="21"/>
              </w:rPr>
              <w:t>以上四项都符合得满分；一项不符合扣1分。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组织实施（5分）</w:t>
            </w:r>
          </w:p>
        </w:tc>
        <w:tc>
          <w:tcPr>
            <w:tcW w:w="126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管理制度</w:t>
            </w:r>
          </w:p>
          <w:p>
            <w:pPr>
              <w:widowControl/>
              <w:snapToGrid w:val="0"/>
              <w:jc w:val="center"/>
              <w:rPr>
                <w:rFonts w:ascii="宋体" w:hAnsi="宋体" w:eastAsia="宋体" w:cs="宋体"/>
                <w:kern w:val="0"/>
                <w:szCs w:val="21"/>
              </w:rPr>
            </w:pPr>
            <w:r>
              <w:rPr>
                <w:rFonts w:hint="eastAsia" w:ascii="宋体" w:hAnsi="宋体" w:eastAsia="宋体" w:cs="宋体"/>
                <w:kern w:val="0"/>
                <w:szCs w:val="21"/>
              </w:rPr>
              <w:t>健全性</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（2分）</w:t>
            </w:r>
          </w:p>
        </w:tc>
        <w:tc>
          <w:tcPr>
            <w:tcW w:w="5415" w:type="dxa"/>
            <w:vAlign w:val="center"/>
          </w:tcPr>
          <w:p>
            <w:pPr>
              <w:widowControl/>
              <w:snapToGrid w:val="0"/>
              <w:rPr>
                <w:rFonts w:ascii="宋体" w:hAnsi="宋体" w:eastAsia="宋体" w:cs="宋体"/>
                <w:kern w:val="0"/>
                <w:szCs w:val="21"/>
              </w:rPr>
            </w:pPr>
            <w:r>
              <w:rPr>
                <w:rFonts w:hint="eastAsia" w:ascii="宋体" w:hAnsi="宋体" w:eastAsia="宋体" w:cs="宋体"/>
                <w:kern w:val="0"/>
                <w:szCs w:val="21"/>
              </w:rPr>
              <w:t>①是否已制定完善的预算资金管理办法、内部财务管理制度、会计核算制度等管理制度；</w:t>
            </w:r>
          </w:p>
          <w:p>
            <w:pPr>
              <w:widowControl/>
              <w:snapToGrid w:val="0"/>
              <w:rPr>
                <w:rFonts w:ascii="宋体" w:hAnsi="宋体" w:eastAsia="宋体" w:cs="宋体"/>
                <w:kern w:val="0"/>
                <w:szCs w:val="21"/>
              </w:rPr>
            </w:pPr>
            <w:r>
              <w:rPr>
                <w:rFonts w:hint="eastAsia" w:ascii="宋体" w:hAnsi="宋体" w:eastAsia="宋体" w:cs="宋体"/>
                <w:kern w:val="0"/>
                <w:szCs w:val="21"/>
              </w:rPr>
              <w:t>②相关管理制度是否得到有效执行。</w:t>
            </w:r>
          </w:p>
          <w:p>
            <w:pPr>
              <w:widowControl/>
              <w:snapToGrid w:val="0"/>
              <w:rPr>
                <w:rFonts w:ascii="宋体" w:hAnsi="宋体" w:eastAsia="宋体" w:cs="宋体"/>
                <w:spacing w:val="8"/>
                <w:szCs w:val="21"/>
              </w:rPr>
            </w:pPr>
            <w:r>
              <w:rPr>
                <w:rFonts w:hint="eastAsia" w:ascii="宋体" w:hAnsi="宋体" w:eastAsia="宋体" w:cs="宋体"/>
                <w:kern w:val="0"/>
                <w:szCs w:val="21"/>
              </w:rPr>
              <w:t>以上两项都符合得满分；一项不符合扣1分。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b/>
                <w:bCs/>
                <w:sz w:val="24"/>
                <w:szCs w:val="22"/>
              </w:rPr>
            </w:pPr>
          </w:p>
        </w:tc>
        <w:tc>
          <w:tcPr>
            <w:tcW w:w="1269"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制度执行</w:t>
            </w:r>
          </w:p>
          <w:p>
            <w:pPr>
              <w:widowControl/>
              <w:jc w:val="center"/>
              <w:rPr>
                <w:rFonts w:ascii="宋体" w:hAnsi="宋体" w:eastAsia="宋体" w:cs="宋体"/>
                <w:kern w:val="0"/>
                <w:szCs w:val="21"/>
              </w:rPr>
            </w:pPr>
            <w:r>
              <w:rPr>
                <w:rFonts w:hint="eastAsia" w:ascii="宋体" w:hAnsi="宋体" w:eastAsia="宋体" w:cs="宋体"/>
                <w:kern w:val="0"/>
                <w:szCs w:val="21"/>
              </w:rPr>
              <w:t>有效性</w:t>
            </w:r>
          </w:p>
          <w:p>
            <w:pPr>
              <w:widowControl/>
              <w:jc w:val="center"/>
              <w:rPr>
                <w:rFonts w:ascii="宋体" w:hAnsi="宋体" w:eastAsia="宋体" w:cs="宋体"/>
                <w:spacing w:val="8"/>
                <w:szCs w:val="21"/>
                <w:shd w:val="clear" w:color="auto" w:fill="FFFFFF"/>
              </w:rPr>
            </w:pPr>
            <w:r>
              <w:rPr>
                <w:rFonts w:hint="eastAsia" w:ascii="宋体" w:hAnsi="宋体" w:eastAsia="宋体" w:cs="宋体"/>
                <w:kern w:val="0"/>
                <w:szCs w:val="21"/>
              </w:rPr>
              <w:t>（3分）</w:t>
            </w:r>
          </w:p>
        </w:tc>
        <w:tc>
          <w:tcPr>
            <w:tcW w:w="5415" w:type="dxa"/>
            <w:vAlign w:val="center"/>
          </w:tcPr>
          <w:p>
            <w:pPr>
              <w:rPr>
                <w:rFonts w:ascii="宋体" w:hAnsi="宋体" w:eastAsia="宋体" w:cs="宋体"/>
                <w:kern w:val="0"/>
                <w:szCs w:val="21"/>
              </w:rPr>
            </w:pPr>
            <w:r>
              <w:rPr>
                <w:rFonts w:hint="eastAsia" w:ascii="宋体" w:hAnsi="宋体" w:eastAsia="宋体" w:cs="宋体"/>
                <w:kern w:val="0"/>
                <w:szCs w:val="21"/>
              </w:rPr>
              <w:t>①是否遵守相关法律法规和相关管理规定；</w:t>
            </w:r>
          </w:p>
          <w:p>
            <w:pPr>
              <w:rPr>
                <w:rFonts w:ascii="宋体" w:hAnsi="宋体" w:eastAsia="宋体" w:cs="宋体"/>
                <w:kern w:val="0"/>
                <w:szCs w:val="21"/>
              </w:rPr>
            </w:pPr>
            <w:r>
              <w:rPr>
                <w:rFonts w:hint="eastAsia" w:ascii="宋体" w:hAnsi="宋体" w:eastAsia="宋体" w:cs="宋体"/>
                <w:kern w:val="0"/>
                <w:szCs w:val="21"/>
              </w:rPr>
              <w:t>②项目合同书、验收报告、技术鉴定等资料是否齐全并及时归档；</w:t>
            </w:r>
          </w:p>
          <w:p>
            <w:pPr>
              <w:rPr>
                <w:rFonts w:ascii="宋体" w:hAnsi="宋体" w:eastAsia="宋体" w:cs="宋体"/>
                <w:kern w:val="0"/>
                <w:szCs w:val="21"/>
              </w:rPr>
            </w:pPr>
            <w:r>
              <w:rPr>
                <w:rFonts w:hint="eastAsia" w:ascii="宋体" w:hAnsi="宋体" w:eastAsia="宋体" w:cs="宋体"/>
                <w:kern w:val="0"/>
                <w:szCs w:val="21"/>
              </w:rPr>
              <w:t>③项目实施的人员条件、场地设备、信息支撑等是否落实到位。</w:t>
            </w:r>
          </w:p>
          <w:p>
            <w:pPr>
              <w:widowControl/>
              <w:jc w:val="left"/>
              <w:rPr>
                <w:rFonts w:ascii="宋体" w:hAnsi="宋体" w:eastAsia="宋体" w:cs="宋体"/>
                <w:spacing w:val="8"/>
                <w:szCs w:val="21"/>
              </w:rPr>
            </w:pPr>
            <w:r>
              <w:rPr>
                <w:rFonts w:hint="eastAsia" w:ascii="宋体" w:hAnsi="宋体" w:eastAsia="宋体" w:cs="宋体"/>
                <w:kern w:val="0"/>
                <w:szCs w:val="21"/>
              </w:rPr>
              <w:t>以上</w:t>
            </w:r>
            <w:r>
              <w:rPr>
                <w:rFonts w:hint="eastAsia" w:ascii="宋体" w:hAnsi="宋体" w:cs="宋体"/>
                <w:kern w:val="0"/>
                <w:szCs w:val="21"/>
              </w:rPr>
              <w:t>三</w:t>
            </w:r>
            <w:r>
              <w:rPr>
                <w:rFonts w:hint="eastAsia" w:ascii="宋体" w:hAnsi="宋体" w:eastAsia="宋体" w:cs="宋体"/>
                <w:kern w:val="0"/>
                <w:szCs w:val="21"/>
              </w:rPr>
              <w:t>项都符合得满分一项不符合扣1分。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产出</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（23分）</w:t>
            </w:r>
          </w:p>
        </w:tc>
        <w:tc>
          <w:tcPr>
            <w:tcW w:w="804" w:type="dxa"/>
            <w:vMerge w:val="restart"/>
            <w:vAlign w:val="center"/>
          </w:tcPr>
          <w:p>
            <w:pPr>
              <w:widowControl/>
              <w:snapToGrid w:val="0"/>
              <w:jc w:val="center"/>
              <w:rPr>
                <w:rFonts w:ascii="宋体" w:hAnsi="宋体" w:cs="宋体"/>
                <w:kern w:val="0"/>
                <w:szCs w:val="21"/>
              </w:rPr>
            </w:pPr>
            <w:r>
              <w:rPr>
                <w:rFonts w:hint="eastAsia" w:ascii="宋体" w:hAnsi="宋体"/>
              </w:rPr>
              <w:t>产出数量</w:t>
            </w:r>
          </w:p>
          <w:p>
            <w:pPr>
              <w:widowControl/>
              <w:snapToGrid w:val="0"/>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5</w:t>
            </w:r>
            <w:r>
              <w:rPr>
                <w:rFonts w:hint="eastAsia" w:ascii="宋体" w:hAnsi="宋体" w:eastAsia="宋体" w:cs="宋体"/>
                <w:kern w:val="0"/>
                <w:szCs w:val="21"/>
              </w:rPr>
              <w:t>分）</w:t>
            </w:r>
          </w:p>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禁毒品牌社区数</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（3分）</w:t>
            </w:r>
          </w:p>
        </w:tc>
        <w:tc>
          <w:tcPr>
            <w:tcW w:w="5415" w:type="dxa"/>
            <w:vAlign w:val="center"/>
          </w:tcPr>
          <w:p>
            <w:pPr>
              <w:widowControl/>
              <w:snapToGrid w:val="0"/>
              <w:rPr>
                <w:rFonts w:ascii="宋体" w:hAnsi="宋体" w:eastAsia="宋体" w:cs="宋体"/>
                <w:b/>
                <w:bCs/>
                <w:sz w:val="24"/>
                <w:szCs w:val="22"/>
              </w:rPr>
            </w:pPr>
            <w:r>
              <w:rPr>
                <w:rFonts w:hint="eastAsia" w:ascii="宋体" w:hAnsi="宋体" w:cs="宋体"/>
                <w:kern w:val="0"/>
                <w:szCs w:val="21"/>
              </w:rPr>
              <w:t>禁毒品牌社区数</w:t>
            </w:r>
            <w:r>
              <w:rPr>
                <w:rFonts w:hint="eastAsia" w:ascii="宋体" w:hAnsi="宋体" w:cs="宋体"/>
              </w:rPr>
              <w:t>达到3个得满分，未达到3个，每少1个扣1分。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99" w:type="dxa"/>
            <w:vMerge w:val="continue"/>
            <w:vAlign w:val="center"/>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kern w:val="0"/>
                <w:szCs w:val="21"/>
              </w:rPr>
            </w:pPr>
            <w:r>
              <w:rPr>
                <w:rFonts w:hint="eastAsia" w:ascii="宋体" w:hAnsi="宋体" w:cs="宋体"/>
                <w:kern w:val="0"/>
                <w:szCs w:val="21"/>
              </w:rPr>
              <w:t>禁毒宣教室</w:t>
            </w:r>
            <w:r>
              <w:rPr>
                <w:rFonts w:hint="eastAsia" w:ascii="宋体" w:hAnsi="宋体" w:eastAsia="宋体" w:cs="宋体"/>
                <w:kern w:val="0"/>
                <w:szCs w:val="21"/>
              </w:rPr>
              <w:t>数</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（4分）</w:t>
            </w:r>
          </w:p>
        </w:tc>
        <w:tc>
          <w:tcPr>
            <w:tcW w:w="5415" w:type="dxa"/>
            <w:vAlign w:val="center"/>
          </w:tcPr>
          <w:p>
            <w:pPr>
              <w:widowControl/>
              <w:snapToGrid w:val="0"/>
              <w:rPr>
                <w:rFonts w:ascii="宋体" w:hAnsi="宋体" w:eastAsia="宋体" w:cs="宋体"/>
                <w:b/>
                <w:bCs/>
                <w:sz w:val="24"/>
                <w:szCs w:val="22"/>
              </w:rPr>
            </w:pPr>
            <w:r>
              <w:rPr>
                <w:rFonts w:hint="eastAsia" w:ascii="宋体" w:hAnsi="宋体" w:cs="宋体"/>
                <w:kern w:val="0"/>
                <w:szCs w:val="21"/>
              </w:rPr>
              <w:t>禁毒宣教室数达到10个得满分，</w:t>
            </w:r>
            <w:r>
              <w:rPr>
                <w:rFonts w:hint="eastAsia" w:ascii="宋体" w:hAnsi="宋体" w:cs="宋体"/>
              </w:rPr>
              <w:t>未达到10个，每少1个扣1分，扣完为止。</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99" w:type="dxa"/>
            <w:vMerge w:val="continue"/>
            <w:vAlign w:val="center"/>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rPr>
            </w:pPr>
            <w:r>
              <w:rPr>
                <w:rFonts w:hint="eastAsia" w:ascii="宋体" w:hAnsi="宋体" w:cs="宋体"/>
              </w:rPr>
              <w:t>建成林则徐禁毒教育基地数</w:t>
            </w:r>
          </w:p>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（2分）</w:t>
            </w:r>
          </w:p>
        </w:tc>
        <w:tc>
          <w:tcPr>
            <w:tcW w:w="5415"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kern w:val="0"/>
                <w:szCs w:val="21"/>
              </w:rPr>
              <w:t>建成1个林则徐禁毒教育基地并投入使用得满分，建成未投入使用得1分，未建成不得分。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99" w:type="dxa"/>
            <w:vMerge w:val="continue"/>
            <w:vAlign w:val="center"/>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rPr>
              <w:t>补助社区戒毒康复工作站数</w:t>
            </w:r>
            <w:r>
              <w:rPr>
                <w:rFonts w:hint="eastAsia" w:ascii="宋体" w:hAnsi="宋体" w:cs="宋体"/>
                <w:kern w:val="0"/>
                <w:szCs w:val="21"/>
              </w:rPr>
              <w:t>（3分）</w:t>
            </w:r>
          </w:p>
        </w:tc>
        <w:tc>
          <w:tcPr>
            <w:tcW w:w="5415"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kern w:val="0"/>
                <w:szCs w:val="21"/>
              </w:rPr>
              <w:t>补助社区戒毒康复工作站达到8所得满分，</w:t>
            </w:r>
            <w:r>
              <w:rPr>
                <w:rFonts w:hint="eastAsia" w:ascii="宋体" w:hAnsi="宋体" w:cs="宋体"/>
              </w:rPr>
              <w:t>未达到8个，每少1个扣1分，扣完为止。</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99" w:type="dxa"/>
            <w:vMerge w:val="continue"/>
            <w:vAlign w:val="center"/>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rPr>
            </w:pPr>
            <w:r>
              <w:rPr>
                <w:rFonts w:hint="eastAsia" w:ascii="宋体" w:hAnsi="宋体" w:cs="宋体"/>
              </w:rPr>
              <w:t>设立大型宣传广告牌数</w:t>
            </w:r>
          </w:p>
          <w:p>
            <w:pPr>
              <w:widowControl/>
              <w:snapToGrid w:val="0"/>
              <w:jc w:val="center"/>
              <w:rPr>
                <w:rFonts w:ascii="宋体" w:hAnsi="宋体" w:eastAsia="宋体" w:cs="宋体"/>
                <w:spacing w:val="8"/>
                <w:szCs w:val="21"/>
                <w:shd w:val="clear" w:color="auto" w:fill="FFFFFF"/>
              </w:rPr>
            </w:pPr>
            <w:r>
              <w:rPr>
                <w:rFonts w:hint="eastAsia" w:ascii="宋体" w:hAnsi="宋体" w:cs="宋体"/>
              </w:rPr>
              <w:t>（3分</w:t>
            </w:r>
            <w:r>
              <w:rPr>
                <w:rFonts w:hint="eastAsia" w:ascii="宋体" w:hAnsi="宋体" w:cs="宋体"/>
                <w:kern w:val="0"/>
                <w:szCs w:val="21"/>
              </w:rPr>
              <w:t>）</w:t>
            </w:r>
          </w:p>
        </w:tc>
        <w:tc>
          <w:tcPr>
            <w:tcW w:w="5415" w:type="dxa"/>
            <w:vAlign w:val="center"/>
          </w:tcPr>
          <w:p>
            <w:pPr>
              <w:widowControl/>
              <w:snapToGrid w:val="0"/>
              <w:rPr>
                <w:rFonts w:ascii="宋体" w:hAnsi="宋体" w:eastAsia="宋体" w:cs="宋体"/>
                <w:spacing w:val="8"/>
                <w:szCs w:val="21"/>
                <w:shd w:val="clear" w:color="auto" w:fill="FFFFFF"/>
              </w:rPr>
            </w:pPr>
            <w:r>
              <w:rPr>
                <w:rFonts w:hint="eastAsia" w:ascii="宋体" w:hAnsi="宋体" w:cs="宋体"/>
              </w:rPr>
              <w:t>大型宣传广告牌数设置10处得满分，未达到10个，每少1个扣1分，扣完为止。</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rPr>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widowControl/>
              <w:snapToGrid w:val="0"/>
              <w:jc w:val="center"/>
              <w:rPr>
                <w:rFonts w:ascii="宋体" w:hAnsi="宋体" w:cs="宋体"/>
                <w:kern w:val="0"/>
                <w:szCs w:val="21"/>
              </w:rPr>
            </w:pPr>
            <w:r>
              <w:rPr>
                <w:rFonts w:hint="eastAsia" w:ascii="宋体" w:hAnsi="宋体"/>
              </w:rPr>
              <w:t>产出质量</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（8分）</w:t>
            </w:r>
          </w:p>
        </w:tc>
        <w:tc>
          <w:tcPr>
            <w:tcW w:w="1269"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在册吸毒人员复吸率</w:t>
            </w:r>
            <w:r>
              <w:rPr>
                <w:rFonts w:hint="eastAsia" w:ascii="宋体" w:hAnsi="宋体" w:cs="宋体"/>
              </w:rPr>
              <w:t>（3分</w:t>
            </w:r>
            <w:r>
              <w:rPr>
                <w:rFonts w:hint="eastAsia" w:ascii="宋体" w:hAnsi="宋体" w:cs="宋体"/>
                <w:kern w:val="0"/>
                <w:szCs w:val="21"/>
              </w:rPr>
              <w:t>）</w:t>
            </w:r>
          </w:p>
        </w:tc>
        <w:tc>
          <w:tcPr>
            <w:tcW w:w="5415" w:type="dxa"/>
            <w:vAlign w:val="center"/>
          </w:tcPr>
          <w:p>
            <w:pPr>
              <w:widowControl/>
              <w:snapToGrid w:val="0"/>
              <w:rPr>
                <w:rFonts w:ascii="宋体" w:hAnsi="宋体" w:eastAsia="宋体" w:cs="宋体"/>
                <w:b/>
                <w:bCs/>
                <w:color w:val="000000"/>
                <w:sz w:val="24"/>
                <w:szCs w:val="22"/>
              </w:rPr>
            </w:pPr>
            <w:r>
              <w:rPr>
                <w:rFonts w:hint="eastAsia" w:ascii="宋体" w:hAnsi="宋体" w:cs="宋体"/>
                <w:kern w:val="0"/>
                <w:szCs w:val="21"/>
              </w:rPr>
              <w:t>在册吸毒人员复吸率</w:t>
            </w:r>
            <w:r>
              <w:rPr>
                <w:rFonts w:hint="eastAsia" w:ascii="宋体" w:hAnsi="宋体" w:cs="宋体"/>
                <w:kern w:val="0"/>
                <w:szCs w:val="21"/>
                <w:lang w:val="en-US" w:eastAsia="zh-CN"/>
              </w:rPr>
              <w:t>=查获有吸毒史人数/在册吸毒人员数，</w:t>
            </w:r>
            <w:r>
              <w:rPr>
                <w:rFonts w:hint="eastAsia" w:ascii="宋体" w:hAnsi="宋体" w:cs="宋体"/>
                <w:kern w:val="0"/>
                <w:szCs w:val="21"/>
              </w:rPr>
              <w:t>在册吸毒人员复吸率</w:t>
            </w:r>
            <w:r>
              <w:rPr>
                <w:rFonts w:hint="eastAsia" w:ascii="宋体" w:hAnsi="宋体" w:cs="宋体"/>
                <w:kern w:val="0"/>
                <w:szCs w:val="21"/>
                <w:lang w:val="en-US" w:eastAsia="zh-CN"/>
              </w:rPr>
              <w:t>较上年持平或增加不得分，较上年</w:t>
            </w:r>
            <w:r>
              <w:rPr>
                <w:rFonts w:hint="eastAsia" w:ascii="宋体" w:hAnsi="宋体" w:cs="宋体"/>
                <w:kern w:val="0"/>
                <w:szCs w:val="21"/>
              </w:rPr>
              <w:t>每</w:t>
            </w:r>
            <w:r>
              <w:rPr>
                <w:rFonts w:hint="eastAsia" w:ascii="宋体" w:hAnsi="宋体" w:cs="宋体"/>
                <w:kern w:val="0"/>
                <w:szCs w:val="21"/>
                <w:lang w:val="en-US" w:eastAsia="zh-CN"/>
              </w:rPr>
              <w:t>减少5</w:t>
            </w:r>
            <w:r>
              <w:rPr>
                <w:rFonts w:hint="eastAsia" w:ascii="宋体" w:hAnsi="宋体" w:cs="宋体"/>
                <w:kern w:val="0"/>
                <w:szCs w:val="21"/>
              </w:rPr>
              <w:t>个百分点</w:t>
            </w:r>
            <w:r>
              <w:rPr>
                <w:rFonts w:hint="eastAsia" w:ascii="宋体" w:hAnsi="宋体" w:cs="宋体"/>
                <w:kern w:val="0"/>
                <w:szCs w:val="21"/>
                <w:lang w:val="en-US" w:eastAsia="zh-CN"/>
              </w:rPr>
              <w:t>得</w:t>
            </w:r>
            <w:r>
              <w:rPr>
                <w:rFonts w:hint="eastAsia" w:ascii="宋体" w:hAnsi="宋体" w:cs="宋体"/>
                <w:kern w:val="0"/>
                <w:szCs w:val="21"/>
              </w:rPr>
              <w:t>1分，</w:t>
            </w:r>
            <w:r>
              <w:rPr>
                <w:rFonts w:hint="eastAsia" w:ascii="宋体" w:hAnsi="宋体" w:cs="宋体"/>
                <w:kern w:val="0"/>
                <w:szCs w:val="21"/>
                <w:lang w:val="en-US" w:eastAsia="zh-CN"/>
              </w:rPr>
              <w:t>得分为1分</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lang w:val="en-US" w:eastAsia="zh-CN"/>
              </w:rPr>
              <w:t>减少的百分比/5%</w:t>
            </w:r>
            <w:r>
              <w:rPr>
                <w:rFonts w:hint="eastAsia" w:ascii="宋体" w:hAnsi="宋体" w:cs="宋体"/>
                <w:kern w:val="0"/>
                <w:szCs w:val="21"/>
                <w:lang w:eastAsia="zh-CN"/>
              </w:rPr>
              <w:t>），</w:t>
            </w:r>
            <w:r>
              <w:rPr>
                <w:rFonts w:hint="eastAsia" w:ascii="宋体" w:hAnsi="宋体" w:cs="宋体"/>
                <w:kern w:val="0"/>
                <w:szCs w:val="21"/>
                <w:lang w:val="en-US" w:eastAsia="zh-CN"/>
              </w:rPr>
              <w:t>满分3分</w:t>
            </w:r>
            <w:r>
              <w:rPr>
                <w:rFonts w:hint="eastAsia" w:ascii="宋体" w:hAnsi="宋体" w:cs="宋体"/>
                <w:kern w:val="0"/>
                <w:szCs w:val="21"/>
              </w:rPr>
              <w:t>。</w:t>
            </w:r>
          </w:p>
        </w:tc>
        <w:tc>
          <w:tcPr>
            <w:tcW w:w="817" w:type="dxa"/>
            <w:vAlign w:val="center"/>
          </w:tcPr>
          <w:p>
            <w:pPr>
              <w:jc w:val="center"/>
              <w:rPr>
                <w:rFonts w:hint="default" w:ascii="宋体" w:hAnsi="宋体" w:eastAsia="宋体" w:cs="宋体"/>
                <w:spacing w:val="8"/>
                <w:szCs w:val="21"/>
                <w:shd w:val="clear" w:color="auto" w:fill="FFFFFF"/>
                <w:lang w:val="en-US" w:eastAsia="zh-CN"/>
              </w:rPr>
            </w:pPr>
            <w:r>
              <w:rPr>
                <w:rFonts w:hint="eastAsia" w:ascii="宋体" w:hAnsi="宋体" w:eastAsia="宋体" w:cs="宋体"/>
                <w:spacing w:val="8"/>
                <w:szCs w:val="21"/>
                <w:shd w:val="clear" w:color="auto" w:fill="FFFFFF"/>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eastAsia="宋体" w:cs="宋体"/>
                <w:spacing w:val="8"/>
                <w:szCs w:val="21"/>
                <w:shd w:val="clear" w:color="auto" w:fill="FFFFFF"/>
              </w:rPr>
            </w:pPr>
            <w:r>
              <w:rPr>
                <w:rFonts w:hint="eastAsia" w:ascii="宋体" w:hAnsi="宋体" w:cs="宋体"/>
                <w:kern w:val="0"/>
                <w:szCs w:val="21"/>
              </w:rPr>
              <w:t>禁毒工作制度落实情况</w:t>
            </w:r>
            <w:r>
              <w:rPr>
                <w:rFonts w:hint="eastAsia" w:ascii="宋体" w:hAnsi="宋体" w:cs="宋体"/>
              </w:rPr>
              <w:t>（5分</w:t>
            </w:r>
            <w:r>
              <w:rPr>
                <w:rFonts w:hint="eastAsia" w:ascii="宋体" w:hAnsi="宋体" w:cs="宋体"/>
                <w:kern w:val="0"/>
                <w:szCs w:val="21"/>
              </w:rPr>
              <w:t>）</w:t>
            </w:r>
          </w:p>
        </w:tc>
        <w:tc>
          <w:tcPr>
            <w:tcW w:w="5415" w:type="dxa"/>
            <w:vAlign w:val="center"/>
          </w:tcPr>
          <w:p>
            <w:pPr>
              <w:widowControl/>
              <w:snapToGrid w:val="0"/>
              <w:rPr>
                <w:rFonts w:ascii="宋体" w:hAnsi="宋体" w:eastAsia="宋体" w:cs="宋体"/>
                <w:b/>
                <w:bCs/>
                <w:color w:val="000000"/>
                <w:sz w:val="24"/>
                <w:szCs w:val="22"/>
              </w:rPr>
            </w:pPr>
            <w:r>
              <w:rPr>
                <w:rFonts w:hint="eastAsia" w:ascii="宋体" w:hAnsi="宋体" w:cs="宋体"/>
                <w:kern w:val="0"/>
                <w:szCs w:val="21"/>
              </w:rPr>
              <w:t>1家单位未完成禁毒任务扣0.5分，扣完为止。</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9" w:type="dxa"/>
            <w:vMerge w:val="restart"/>
            <w:vAlign w:val="center"/>
          </w:tcPr>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效益</w:t>
            </w:r>
          </w:p>
          <w:p>
            <w:pPr>
              <w:jc w:val="center"/>
              <w:rPr>
                <w:rFonts w:ascii="宋体" w:hAnsi="宋体" w:eastAsia="宋体" w:cs="宋体"/>
                <w:b/>
                <w:bCs/>
                <w:color w:val="000000"/>
                <w:sz w:val="24"/>
                <w:szCs w:val="22"/>
              </w:rPr>
            </w:pPr>
            <w:r>
              <w:rPr>
                <w:rFonts w:hint="eastAsia" w:ascii="宋体" w:hAnsi="宋体" w:eastAsia="宋体" w:cs="宋体"/>
                <w:b/>
                <w:bCs/>
                <w:color w:val="000000"/>
                <w:sz w:val="24"/>
                <w:szCs w:val="22"/>
              </w:rPr>
              <w:t>（45分）</w:t>
            </w:r>
          </w:p>
        </w:tc>
        <w:tc>
          <w:tcPr>
            <w:tcW w:w="804" w:type="dxa"/>
            <w:vMerge w:val="restart"/>
            <w:vAlign w:val="center"/>
          </w:tcPr>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社会效益</w:t>
            </w:r>
            <w:r>
              <w:rPr>
                <w:rFonts w:hint="eastAsia" w:ascii="宋体" w:hAnsi="宋体" w:cs="宋体"/>
                <w:kern w:val="0"/>
                <w:szCs w:val="21"/>
              </w:rPr>
              <w:t>（18分）</w:t>
            </w: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宣传报道在媒体发布情况</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415" w:type="dxa"/>
            <w:vAlign w:val="center"/>
          </w:tcPr>
          <w:p>
            <w:pPr>
              <w:rPr>
                <w:rFonts w:ascii="宋体" w:hAnsi="宋体" w:eastAsia="宋体" w:cs="宋体"/>
                <w:b/>
                <w:bCs/>
                <w:color w:val="000000"/>
                <w:sz w:val="24"/>
                <w:szCs w:val="22"/>
              </w:rPr>
            </w:pPr>
            <w:r>
              <w:rPr>
                <w:rFonts w:hint="eastAsia" w:ascii="宋体" w:hAnsi="宋体" w:cs="宋体"/>
                <w:kern w:val="0"/>
                <w:szCs w:val="21"/>
              </w:rPr>
              <w:t>宣传报道在省级媒体平台发布1篇0.5分，在国家级媒体平台发布1篇得1分，满分5分。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rPr>
            </w:pPr>
            <w:r>
              <w:rPr>
                <w:rFonts w:hint="eastAsia" w:ascii="宋体" w:hAnsi="宋体" w:cs="宋体"/>
              </w:rPr>
              <w:t>青少年</w:t>
            </w:r>
          </w:p>
          <w:p>
            <w:pPr>
              <w:widowControl/>
              <w:snapToGrid w:val="0"/>
              <w:jc w:val="center"/>
              <w:rPr>
                <w:rFonts w:ascii="宋体" w:hAnsi="宋体" w:cs="宋体"/>
              </w:rPr>
            </w:pPr>
            <w:r>
              <w:rPr>
                <w:rFonts w:hint="eastAsia" w:ascii="宋体" w:hAnsi="宋体" w:cs="宋体"/>
              </w:rPr>
              <w:t>接受禁毒</w:t>
            </w:r>
          </w:p>
          <w:p>
            <w:pPr>
              <w:widowControl/>
              <w:snapToGrid w:val="0"/>
              <w:jc w:val="center"/>
              <w:rPr>
                <w:rFonts w:ascii="宋体" w:hAnsi="宋体" w:cs="宋体"/>
              </w:rPr>
            </w:pPr>
            <w:r>
              <w:rPr>
                <w:rFonts w:hint="eastAsia" w:ascii="宋体" w:hAnsi="宋体" w:cs="宋体"/>
              </w:rPr>
              <w:t>教育课时</w:t>
            </w:r>
          </w:p>
          <w:p>
            <w:pPr>
              <w:widowControl/>
              <w:snapToGrid w:val="0"/>
              <w:jc w:val="center"/>
              <w:rPr>
                <w:rFonts w:ascii="宋体" w:hAnsi="宋体" w:eastAsia="宋体" w:cs="宋体"/>
                <w:spacing w:val="8"/>
                <w:szCs w:val="21"/>
                <w:shd w:val="clear" w:color="auto" w:fill="FFFFFF"/>
              </w:rPr>
            </w:pPr>
            <w:r>
              <w:rPr>
                <w:rFonts w:hint="eastAsia" w:ascii="宋体" w:hAnsi="宋体" w:cs="宋体"/>
              </w:rPr>
              <w:t>（4分</w:t>
            </w:r>
            <w:r>
              <w:rPr>
                <w:rFonts w:hint="eastAsia" w:ascii="宋体" w:hAnsi="宋体" w:cs="宋体"/>
                <w:kern w:val="0"/>
                <w:szCs w:val="21"/>
              </w:rPr>
              <w:t>）</w:t>
            </w:r>
          </w:p>
        </w:tc>
        <w:tc>
          <w:tcPr>
            <w:tcW w:w="5415" w:type="dxa"/>
            <w:vAlign w:val="center"/>
          </w:tcPr>
          <w:p>
            <w:pPr>
              <w:rPr>
                <w:rFonts w:ascii="宋体" w:hAnsi="宋体" w:eastAsia="宋体" w:cs="宋体"/>
                <w:spacing w:val="8"/>
                <w:szCs w:val="21"/>
                <w:shd w:val="clear" w:color="auto" w:fill="FFFFFF"/>
              </w:rPr>
            </w:pPr>
            <w:r>
              <w:rPr>
                <w:rFonts w:hint="eastAsia" w:ascii="宋体" w:hAnsi="宋体" w:cs="宋体"/>
              </w:rPr>
              <w:t>每学年达到2课时得满分，每减少</w:t>
            </w:r>
            <w:r>
              <w:rPr>
                <w:rFonts w:hint="eastAsia" w:ascii="宋体" w:hAnsi="宋体" w:cs="宋体"/>
                <w:kern w:val="0"/>
                <w:szCs w:val="21"/>
              </w:rPr>
              <w:t>1个课时扣2分。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rPr>
            </w:pPr>
            <w:r>
              <w:rPr>
                <w:rFonts w:hint="eastAsia" w:ascii="宋体" w:hAnsi="宋体" w:cs="宋体"/>
              </w:rPr>
              <w:t>宣传形式多样化</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415" w:type="dxa"/>
            <w:vAlign w:val="center"/>
          </w:tcPr>
          <w:p>
            <w:pPr>
              <w:rPr>
                <w:rFonts w:ascii="宋体" w:hAnsi="宋体" w:eastAsia="宋体" w:cs="宋体"/>
                <w:spacing w:val="8"/>
                <w:szCs w:val="21"/>
                <w:shd w:val="clear" w:color="auto" w:fill="FFFFFF"/>
              </w:rPr>
            </w:pPr>
            <w:r>
              <w:rPr>
                <w:rFonts w:hint="eastAsia" w:ascii="宋体" w:hAnsi="宋体" w:cs="宋体"/>
              </w:rPr>
              <w:t>宣传形式达到5种以上得满分，每减少</w:t>
            </w:r>
            <w:r>
              <w:rPr>
                <w:rFonts w:hint="eastAsia" w:ascii="宋体" w:hAnsi="宋体" w:cs="宋体"/>
                <w:kern w:val="0"/>
                <w:szCs w:val="21"/>
              </w:rPr>
              <w:t>1种扣1分。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新四进</w:t>
            </w:r>
          </w:p>
          <w:p>
            <w:pPr>
              <w:widowControl/>
              <w:snapToGrid w:val="0"/>
              <w:jc w:val="center"/>
              <w:rPr>
                <w:rFonts w:ascii="宋体" w:hAnsi="宋体" w:cs="宋体"/>
                <w:kern w:val="0"/>
                <w:szCs w:val="21"/>
              </w:rPr>
            </w:pPr>
            <w:r>
              <w:rPr>
                <w:rFonts w:hint="eastAsia" w:ascii="宋体" w:hAnsi="宋体" w:cs="宋体"/>
                <w:kern w:val="0"/>
                <w:szCs w:val="21"/>
              </w:rPr>
              <w:t>全覆盖</w:t>
            </w:r>
          </w:p>
          <w:p>
            <w:pPr>
              <w:widowControl/>
              <w:snapToGrid w:val="0"/>
              <w:jc w:val="center"/>
              <w:rPr>
                <w:rFonts w:ascii="宋体" w:hAnsi="宋体" w:eastAsia="宋体" w:cs="宋体"/>
                <w:spacing w:val="8"/>
                <w:szCs w:val="21"/>
                <w:shd w:val="clear" w:color="auto" w:fill="FFFFFF"/>
              </w:rPr>
            </w:pPr>
            <w:r>
              <w:rPr>
                <w:rFonts w:hint="eastAsia" w:ascii="宋体" w:hAnsi="宋体" w:cs="宋体"/>
              </w:rPr>
              <w:t>（4分</w:t>
            </w:r>
            <w:r>
              <w:rPr>
                <w:rFonts w:hint="eastAsia" w:ascii="宋体" w:hAnsi="宋体" w:cs="宋体"/>
                <w:kern w:val="0"/>
                <w:szCs w:val="21"/>
              </w:rPr>
              <w:t>）</w:t>
            </w:r>
          </w:p>
        </w:tc>
        <w:tc>
          <w:tcPr>
            <w:tcW w:w="5415" w:type="dxa"/>
            <w:vAlign w:val="center"/>
          </w:tcPr>
          <w:p>
            <w:pPr>
              <w:rPr>
                <w:rFonts w:ascii="宋体" w:hAnsi="宋体" w:eastAsia="宋体" w:cs="宋体"/>
                <w:spacing w:val="8"/>
                <w:szCs w:val="21"/>
                <w:shd w:val="clear" w:color="auto" w:fill="FFFFFF"/>
              </w:rPr>
            </w:pPr>
            <w:r>
              <w:rPr>
                <w:rFonts w:hint="eastAsia" w:ascii="宋体" w:hAnsi="宋体" w:cs="宋体"/>
              </w:rPr>
              <w:t>实现进广场、进景区、进公共文化场所、进高速服务区</w:t>
            </w:r>
            <w:r>
              <w:rPr>
                <w:rFonts w:hint="eastAsia" w:ascii="宋体" w:hAnsi="宋体" w:cs="宋体"/>
                <w:kern w:val="0"/>
                <w:szCs w:val="21"/>
              </w:rPr>
              <w:t>新四进全覆盖得满分，未达到全覆盖，每</w:t>
            </w:r>
            <w:r>
              <w:rPr>
                <w:rFonts w:hint="eastAsia" w:ascii="宋体" w:hAnsi="宋体" w:cs="宋体"/>
              </w:rPr>
              <w:t>少</w:t>
            </w:r>
            <w:r>
              <w:rPr>
                <w:rFonts w:hint="eastAsia" w:ascii="宋体" w:hAnsi="宋体" w:cs="宋体"/>
                <w:kern w:val="0"/>
                <w:szCs w:val="21"/>
              </w:rPr>
              <w:t>1项扣1分。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可持续</w:t>
            </w:r>
          </w:p>
          <w:p>
            <w:pPr>
              <w:widowControl/>
              <w:snapToGrid w:val="0"/>
              <w:jc w:val="center"/>
              <w:rPr>
                <w:rFonts w:ascii="宋体" w:hAnsi="宋体" w:eastAsia="宋体" w:cs="宋体"/>
                <w:kern w:val="0"/>
                <w:szCs w:val="21"/>
              </w:rPr>
            </w:pPr>
            <w:r>
              <w:rPr>
                <w:rFonts w:hint="eastAsia" w:ascii="宋体" w:hAnsi="宋体" w:eastAsia="宋体" w:cs="宋体"/>
                <w:kern w:val="0"/>
                <w:szCs w:val="21"/>
              </w:rPr>
              <w:t>影响</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（15分）</w:t>
            </w: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宣教次数</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415" w:type="dxa"/>
            <w:vAlign w:val="center"/>
          </w:tcPr>
          <w:p>
            <w:pPr>
              <w:rPr>
                <w:rFonts w:ascii="宋体" w:hAnsi="宋体" w:eastAsia="宋体" w:cs="宋体"/>
                <w:spacing w:val="8"/>
                <w:szCs w:val="21"/>
                <w:shd w:val="clear" w:color="auto" w:fill="FFFFFF"/>
              </w:rPr>
            </w:pPr>
            <w:r>
              <w:rPr>
                <w:rFonts w:hint="eastAsia" w:ascii="宋体" w:hAnsi="宋体" w:cs="宋体"/>
                <w:szCs w:val="32"/>
              </w:rPr>
              <w:t>组织宣传教育活动1场</w:t>
            </w:r>
            <w:r>
              <w:rPr>
                <w:rFonts w:hint="eastAsia" w:ascii="宋体" w:hAnsi="宋体" w:cs="宋体"/>
              </w:rPr>
              <w:t>得0.1分，满分5分。</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宣传</w:t>
            </w:r>
          </w:p>
          <w:p>
            <w:pPr>
              <w:widowControl/>
              <w:snapToGrid w:val="0"/>
              <w:jc w:val="center"/>
              <w:rPr>
                <w:rFonts w:ascii="宋体" w:hAnsi="宋体" w:cs="宋体"/>
                <w:kern w:val="0"/>
                <w:szCs w:val="21"/>
              </w:rPr>
            </w:pPr>
            <w:r>
              <w:rPr>
                <w:rFonts w:hint="eastAsia" w:ascii="宋体" w:hAnsi="宋体" w:cs="宋体"/>
                <w:kern w:val="0"/>
                <w:szCs w:val="21"/>
              </w:rPr>
              <w:t>覆盖率</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415" w:type="dxa"/>
            <w:vAlign w:val="center"/>
          </w:tcPr>
          <w:p>
            <w:pPr>
              <w:rPr>
                <w:rFonts w:ascii="宋体" w:hAnsi="宋体" w:eastAsia="宋体" w:cs="宋体"/>
                <w:spacing w:val="8"/>
                <w:szCs w:val="21"/>
                <w:shd w:val="clear" w:color="auto" w:fill="FFFFFF"/>
              </w:rPr>
            </w:pPr>
            <w:r>
              <w:rPr>
                <w:rFonts w:hint="eastAsia" w:ascii="宋体" w:hAnsi="宋体" w:cs="宋体"/>
                <w:szCs w:val="32"/>
              </w:rPr>
              <w:t>根据调查问卷，对于禁毒宣传的群众知晓率≥90%得满分，群众知晓率＜90%每降低1%扣1分，扣完为止。</w:t>
            </w:r>
          </w:p>
        </w:tc>
        <w:tc>
          <w:tcPr>
            <w:tcW w:w="817" w:type="dxa"/>
            <w:vAlign w:val="center"/>
          </w:tcPr>
          <w:p>
            <w:pPr>
              <w:jc w:val="center"/>
              <w:rPr>
                <w:rFonts w:ascii="宋体" w:hAnsi="宋体" w:eastAsia="宋体" w:cs="宋体"/>
                <w:spacing w:val="8"/>
                <w:szCs w:val="21"/>
                <w:shd w:val="clear" w:color="auto" w:fill="FFFFFF"/>
              </w:rPr>
            </w:pPr>
            <w:r>
              <w:rPr>
                <w:rFonts w:hint="eastAsia" w:ascii="宋体" w:hAnsi="宋体" w:eastAsia="宋体" w:cs="宋体"/>
                <w:spacing w:val="8"/>
                <w:szCs w:val="21"/>
                <w:shd w:val="clear" w:color="auto" w:fill="FFFF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社工队伍</w:t>
            </w:r>
          </w:p>
          <w:p>
            <w:pPr>
              <w:widowControl/>
              <w:snapToGrid w:val="0"/>
              <w:jc w:val="center"/>
              <w:rPr>
                <w:rFonts w:ascii="宋体" w:hAnsi="宋体" w:cs="宋体"/>
                <w:kern w:val="0"/>
                <w:szCs w:val="21"/>
              </w:rPr>
            </w:pPr>
            <w:r>
              <w:rPr>
                <w:rFonts w:hint="eastAsia" w:ascii="宋体" w:hAnsi="宋体" w:cs="宋体"/>
                <w:kern w:val="0"/>
                <w:szCs w:val="21"/>
              </w:rPr>
              <w:t>建设</w:t>
            </w:r>
          </w:p>
          <w:p>
            <w:pPr>
              <w:widowControl/>
              <w:snapToGrid w:val="0"/>
              <w:jc w:val="center"/>
              <w:rPr>
                <w:rFonts w:ascii="宋体" w:hAnsi="宋体" w:eastAsia="宋体" w:cs="宋体"/>
                <w:spacing w:val="8"/>
                <w:szCs w:val="21"/>
                <w:shd w:val="clear" w:color="auto" w:fill="FFFFFF"/>
              </w:rPr>
            </w:pPr>
            <w:r>
              <w:rPr>
                <w:rFonts w:hint="eastAsia" w:ascii="宋体" w:hAnsi="宋体" w:cs="宋体"/>
              </w:rPr>
              <w:t>（5分</w:t>
            </w:r>
            <w:r>
              <w:rPr>
                <w:rFonts w:hint="eastAsia" w:ascii="宋体" w:hAnsi="宋体" w:cs="宋体"/>
                <w:kern w:val="0"/>
                <w:szCs w:val="21"/>
              </w:rPr>
              <w:t>）</w:t>
            </w:r>
          </w:p>
        </w:tc>
        <w:tc>
          <w:tcPr>
            <w:tcW w:w="5415" w:type="dxa"/>
            <w:vAlign w:val="center"/>
          </w:tcPr>
          <w:p>
            <w:pPr>
              <w:widowControl/>
              <w:snapToGrid w:val="0"/>
              <w:jc w:val="left"/>
              <w:rPr>
                <w:rFonts w:ascii="宋体" w:hAnsi="宋体" w:eastAsia="宋体" w:cs="宋体"/>
                <w:spacing w:val="8"/>
                <w:szCs w:val="21"/>
                <w:shd w:val="clear" w:color="auto" w:fill="FFFFFF"/>
              </w:rPr>
            </w:pPr>
            <w:r>
              <w:rPr>
                <w:rFonts w:hint="eastAsia" w:ascii="宋体" w:hAnsi="宋体" w:cs="宋体"/>
              </w:rPr>
              <w:t>社工队伍建设达到1</w:t>
            </w:r>
            <w:r>
              <w:rPr>
                <w:rFonts w:hint="eastAsia" w:ascii="宋体" w:hAnsi="宋体" w:cs="宋体"/>
                <w:lang w:val="en-US" w:eastAsia="zh-CN"/>
              </w:rPr>
              <w:t>3</w:t>
            </w:r>
            <w:r>
              <w:rPr>
                <w:rFonts w:hint="eastAsia" w:ascii="宋体" w:hAnsi="宋体" w:cs="宋体"/>
              </w:rPr>
              <w:t>名满分，未达到1</w:t>
            </w:r>
            <w:r>
              <w:rPr>
                <w:rFonts w:hint="eastAsia" w:ascii="宋体" w:hAnsi="宋体" w:cs="宋体"/>
                <w:lang w:val="en-US" w:eastAsia="zh-CN"/>
              </w:rPr>
              <w:t>3</w:t>
            </w:r>
            <w:r>
              <w:rPr>
                <w:rFonts w:hint="eastAsia" w:ascii="宋体" w:hAnsi="宋体" w:cs="宋体"/>
              </w:rPr>
              <w:t>名每少1名扣0.5分，扣完为止。</w:t>
            </w:r>
          </w:p>
        </w:tc>
        <w:tc>
          <w:tcPr>
            <w:tcW w:w="817" w:type="dxa"/>
            <w:vAlign w:val="center"/>
          </w:tcPr>
          <w:p>
            <w:pPr>
              <w:jc w:val="center"/>
              <w:rPr>
                <w:rFonts w:hint="eastAsia" w:ascii="宋体" w:hAnsi="宋体" w:eastAsia="宋体" w:cs="宋体"/>
                <w:spacing w:val="8"/>
                <w:szCs w:val="21"/>
                <w:shd w:val="clear" w:color="auto" w:fill="FFFFFF"/>
                <w:lang w:eastAsia="zh-CN"/>
              </w:rPr>
            </w:pPr>
            <w:r>
              <w:rPr>
                <w:rFonts w:hint="eastAsia" w:ascii="宋体" w:hAnsi="宋体" w:eastAsia="宋体" w:cs="宋体"/>
                <w:spacing w:val="8"/>
                <w:szCs w:val="21"/>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tcPr>
          <w:p>
            <w:pPr>
              <w:jc w:val="center"/>
              <w:rPr>
                <w:rFonts w:ascii="宋体" w:hAnsi="宋体" w:eastAsia="宋体" w:cs="宋体"/>
                <w:b/>
                <w:bCs/>
                <w:color w:val="000000"/>
                <w:sz w:val="24"/>
                <w:szCs w:val="22"/>
              </w:rPr>
            </w:pPr>
          </w:p>
        </w:tc>
        <w:tc>
          <w:tcPr>
            <w:tcW w:w="804" w:type="dxa"/>
            <w:vMerge w:val="restart"/>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满意度</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（12分）</w:t>
            </w:r>
          </w:p>
        </w:tc>
        <w:tc>
          <w:tcPr>
            <w:tcW w:w="1269" w:type="dxa"/>
            <w:vAlign w:val="center"/>
          </w:tcPr>
          <w:p>
            <w:pPr>
              <w:widowControl/>
              <w:snapToGrid w:val="0"/>
              <w:jc w:val="center"/>
              <w:rPr>
                <w:rFonts w:ascii="宋体" w:hAnsi="宋体" w:eastAsia="宋体" w:cs="宋体"/>
                <w:kern w:val="0"/>
                <w:szCs w:val="21"/>
              </w:rPr>
            </w:pPr>
            <w:r>
              <w:rPr>
                <w:rFonts w:hint="eastAsia" w:ascii="宋体" w:hAnsi="宋体" w:eastAsia="宋体" w:cs="宋体"/>
                <w:kern w:val="0"/>
                <w:szCs w:val="21"/>
              </w:rPr>
              <w:t>上级</w:t>
            </w:r>
          </w:p>
          <w:p>
            <w:pPr>
              <w:widowControl/>
              <w:snapToGrid w:val="0"/>
              <w:jc w:val="center"/>
              <w:rPr>
                <w:rFonts w:ascii="宋体" w:hAnsi="宋体" w:eastAsia="宋体" w:cs="宋体"/>
                <w:kern w:val="0"/>
                <w:szCs w:val="21"/>
              </w:rPr>
            </w:pPr>
            <w:r>
              <w:rPr>
                <w:rFonts w:hint="eastAsia" w:ascii="宋体" w:hAnsi="宋体" w:cs="宋体"/>
                <w:kern w:val="0"/>
                <w:szCs w:val="21"/>
              </w:rPr>
              <w:t>主管</w:t>
            </w:r>
            <w:r>
              <w:rPr>
                <w:rFonts w:hint="eastAsia" w:ascii="宋体" w:hAnsi="宋体" w:eastAsia="宋体" w:cs="宋体"/>
                <w:kern w:val="0"/>
                <w:szCs w:val="21"/>
              </w:rPr>
              <w:t>部门</w:t>
            </w:r>
          </w:p>
          <w:p>
            <w:pPr>
              <w:widowControl/>
              <w:snapToGrid w:val="0"/>
              <w:jc w:val="center"/>
              <w:rPr>
                <w:rFonts w:ascii="宋体" w:hAnsi="宋体" w:eastAsia="宋体" w:cs="宋体"/>
                <w:kern w:val="0"/>
                <w:szCs w:val="21"/>
              </w:rPr>
            </w:pPr>
            <w:r>
              <w:rPr>
                <w:rFonts w:hint="eastAsia" w:ascii="宋体" w:hAnsi="宋体" w:eastAsia="宋体" w:cs="宋体"/>
                <w:kern w:val="0"/>
                <w:szCs w:val="21"/>
              </w:rPr>
              <w:t>满意度</w:t>
            </w:r>
          </w:p>
          <w:p>
            <w:pPr>
              <w:widowControl/>
              <w:snapToGrid w:val="0"/>
              <w:jc w:val="center"/>
              <w:rPr>
                <w:rFonts w:ascii="宋体" w:hAnsi="宋体" w:eastAsia="宋体" w:cs="宋体"/>
                <w:spacing w:val="8"/>
                <w:szCs w:val="21"/>
                <w:shd w:val="clear" w:color="auto" w:fill="FFFFFF"/>
              </w:rPr>
            </w:pPr>
            <w:r>
              <w:t>（</w:t>
            </w:r>
            <w:r>
              <w:rPr>
                <w:rFonts w:hint="eastAsia" w:ascii="宋体" w:hAnsi="宋体" w:eastAsia="宋体" w:cs="宋体"/>
                <w:kern w:val="0"/>
                <w:szCs w:val="21"/>
              </w:rPr>
              <w:t>6分）</w:t>
            </w:r>
          </w:p>
        </w:tc>
        <w:tc>
          <w:tcPr>
            <w:tcW w:w="5415" w:type="dxa"/>
            <w:vAlign w:val="center"/>
          </w:tcPr>
          <w:p>
            <w:pPr>
              <w:widowControl/>
              <w:snapToGrid w:val="0"/>
              <w:jc w:val="left"/>
              <w:rPr>
                <w:rFonts w:ascii="宋体" w:hAnsi="宋体" w:eastAsia="宋体" w:cs="宋体"/>
                <w:spacing w:val="8"/>
                <w:szCs w:val="21"/>
              </w:rPr>
            </w:pPr>
            <w:r>
              <w:rPr>
                <w:rFonts w:hint="eastAsia" w:ascii="宋体" w:hAnsi="宋体"/>
                <w:kern w:val="0"/>
                <w:sz w:val="20"/>
                <w:szCs w:val="20"/>
              </w:rPr>
              <w:t>摘掉“禁毒重点关注地区”帽子得6分，未摘帽但获得市级（含）以上领导表扬得3分。</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tcPr>
          <w:p>
            <w:pPr>
              <w:jc w:val="center"/>
              <w:rPr>
                <w:rFonts w:ascii="宋体" w:hAnsi="宋体" w:eastAsia="宋体" w:cs="宋体"/>
                <w:b/>
                <w:bCs/>
                <w:color w:val="000000"/>
                <w:sz w:val="24"/>
                <w:szCs w:val="22"/>
              </w:rPr>
            </w:pPr>
          </w:p>
        </w:tc>
        <w:tc>
          <w:tcPr>
            <w:tcW w:w="804" w:type="dxa"/>
            <w:vMerge w:val="continue"/>
            <w:vAlign w:val="center"/>
          </w:tcPr>
          <w:p>
            <w:pPr>
              <w:widowControl/>
              <w:snapToGrid w:val="0"/>
              <w:jc w:val="center"/>
              <w:rPr>
                <w:rFonts w:ascii="宋体" w:hAnsi="宋体" w:eastAsia="宋体" w:cs="宋体"/>
                <w:spacing w:val="8"/>
                <w:szCs w:val="21"/>
                <w:shd w:val="clear" w:color="auto" w:fill="FFFFFF"/>
              </w:rPr>
            </w:pPr>
          </w:p>
        </w:tc>
        <w:tc>
          <w:tcPr>
            <w:tcW w:w="1269" w:type="dxa"/>
            <w:vAlign w:val="center"/>
          </w:tcPr>
          <w:p>
            <w:pPr>
              <w:widowControl/>
              <w:snapToGrid w:val="0"/>
              <w:jc w:val="center"/>
              <w:rPr>
                <w:rFonts w:ascii="宋体" w:hAnsi="宋体" w:cs="宋体"/>
                <w:kern w:val="0"/>
                <w:szCs w:val="21"/>
              </w:rPr>
            </w:pPr>
            <w:r>
              <w:rPr>
                <w:rFonts w:hint="eastAsia" w:ascii="宋体" w:hAnsi="宋体" w:cs="宋体"/>
                <w:kern w:val="0"/>
                <w:szCs w:val="21"/>
              </w:rPr>
              <w:t>群众</w:t>
            </w:r>
          </w:p>
          <w:p>
            <w:pPr>
              <w:widowControl/>
              <w:snapToGrid w:val="0"/>
              <w:jc w:val="center"/>
              <w:rPr>
                <w:rFonts w:ascii="宋体" w:hAnsi="宋体" w:eastAsia="宋体" w:cs="宋体"/>
                <w:kern w:val="0"/>
                <w:szCs w:val="21"/>
              </w:rPr>
            </w:pPr>
            <w:r>
              <w:rPr>
                <w:rFonts w:hint="eastAsia" w:ascii="宋体" w:hAnsi="宋体" w:eastAsia="宋体" w:cs="宋体"/>
                <w:kern w:val="0"/>
                <w:szCs w:val="21"/>
              </w:rPr>
              <w:t>满意度</w:t>
            </w:r>
          </w:p>
          <w:p>
            <w:pPr>
              <w:widowControl/>
              <w:snapToGrid w:val="0"/>
              <w:jc w:val="center"/>
              <w:rPr>
                <w:rFonts w:ascii="宋体" w:hAnsi="宋体" w:eastAsia="宋体" w:cs="宋体"/>
                <w:spacing w:val="8"/>
                <w:szCs w:val="21"/>
                <w:shd w:val="clear" w:color="auto" w:fill="FFFFFF"/>
              </w:rPr>
            </w:pPr>
            <w:r>
              <w:rPr>
                <w:rFonts w:hint="eastAsia" w:ascii="宋体" w:hAnsi="宋体" w:eastAsia="宋体" w:cs="宋体"/>
                <w:kern w:val="0"/>
                <w:szCs w:val="21"/>
              </w:rPr>
              <w:t>（6分）</w:t>
            </w:r>
          </w:p>
        </w:tc>
        <w:tc>
          <w:tcPr>
            <w:tcW w:w="5415" w:type="dxa"/>
            <w:vAlign w:val="center"/>
          </w:tcPr>
          <w:p>
            <w:pPr>
              <w:widowControl/>
              <w:snapToGrid w:val="0"/>
              <w:rPr>
                <w:rFonts w:ascii="宋体" w:hAnsi="宋体" w:eastAsia="宋体" w:cs="宋体"/>
                <w:spacing w:val="8"/>
                <w:szCs w:val="21"/>
              </w:rPr>
            </w:pPr>
            <w:r>
              <w:rPr>
                <w:rFonts w:hint="eastAsia" w:ascii="宋体" w:hAnsi="宋体" w:eastAsia="宋体" w:cs="宋体"/>
                <w:kern w:val="0"/>
                <w:szCs w:val="21"/>
              </w:rPr>
              <w:t>根据问卷调查数据打分，</w:t>
            </w:r>
            <w:r>
              <w:rPr>
                <w:rFonts w:hint="eastAsia" w:asciiTheme="minorEastAsia" w:hAnsiTheme="minorEastAsia" w:cstheme="minorEastAsia"/>
                <w:kern w:val="0"/>
                <w:szCs w:val="21"/>
              </w:rPr>
              <w:t>群众对禁毒宣传方式和力度</w:t>
            </w:r>
            <w:r>
              <w:rPr>
                <w:rFonts w:hint="eastAsia" w:asciiTheme="minorEastAsia" w:hAnsiTheme="minorEastAsia" w:cstheme="minorEastAsia"/>
                <w:kern w:val="0"/>
                <w:szCs w:val="21"/>
                <w:lang w:val="en-US" w:eastAsia="zh-CN"/>
              </w:rPr>
              <w:t>的</w:t>
            </w:r>
            <w:r>
              <w:rPr>
                <w:rFonts w:hint="eastAsia" w:ascii="宋体" w:hAnsi="宋体" w:eastAsia="宋体" w:cs="宋体"/>
                <w:kern w:val="0"/>
                <w:szCs w:val="21"/>
              </w:rPr>
              <w:t>满意度≥90%得满分，</w:t>
            </w:r>
            <w:r>
              <w:rPr>
                <w:rFonts w:hint="eastAsia" w:asciiTheme="minorEastAsia" w:hAnsiTheme="minorEastAsia" w:cstheme="minorEastAsia"/>
                <w:color w:val="auto"/>
                <w:kern w:val="0"/>
                <w:szCs w:val="21"/>
                <w:lang w:val="en-US" w:eastAsia="zh-CN"/>
              </w:rPr>
              <w:t>群众</w:t>
            </w:r>
            <w:r>
              <w:rPr>
                <w:rFonts w:hint="eastAsia" w:ascii="宋体" w:hAnsi="宋体" w:eastAsia="宋体" w:cs="宋体"/>
                <w:kern w:val="0"/>
                <w:szCs w:val="21"/>
              </w:rPr>
              <w:t>满意度＜90%，每降低2%扣1分，扣完为止。</w:t>
            </w:r>
          </w:p>
        </w:tc>
        <w:tc>
          <w:tcPr>
            <w:tcW w:w="817" w:type="dxa"/>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spacing w:val="8"/>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87" w:type="dxa"/>
            <w:gridSpan w:val="4"/>
            <w:vAlign w:val="center"/>
          </w:tcPr>
          <w:p>
            <w:pPr>
              <w:pStyle w:val="11"/>
              <w:widowControl/>
              <w:wordWrap w:val="0"/>
              <w:spacing w:beforeAutospacing="0" w:afterAutospacing="0"/>
              <w:jc w:val="center"/>
              <w:rPr>
                <w:rFonts w:ascii="宋体" w:hAnsi="宋体" w:eastAsia="宋体" w:cs="宋体"/>
                <w:spacing w:val="8"/>
                <w:sz w:val="21"/>
                <w:szCs w:val="21"/>
              </w:rPr>
            </w:pPr>
            <w:r>
              <w:rPr>
                <w:rFonts w:hint="eastAsia" w:ascii="宋体" w:hAnsi="宋体" w:eastAsia="宋体" w:cs="宋体"/>
                <w:b/>
                <w:bCs/>
                <w:color w:val="000000"/>
                <w:kern w:val="2"/>
                <w:szCs w:val="22"/>
              </w:rPr>
              <w:t>总分</w:t>
            </w:r>
          </w:p>
        </w:tc>
        <w:tc>
          <w:tcPr>
            <w:tcW w:w="817" w:type="dxa"/>
            <w:vAlign w:val="center"/>
          </w:tcPr>
          <w:p>
            <w:pPr>
              <w:pStyle w:val="11"/>
              <w:widowControl/>
              <w:wordWrap w:val="0"/>
              <w:spacing w:beforeAutospacing="0" w:afterAutospacing="0"/>
              <w:jc w:val="center"/>
              <w:rPr>
                <w:rFonts w:hint="default" w:ascii="宋体" w:hAnsi="宋体" w:eastAsia="宋体" w:cs="宋体"/>
                <w:spacing w:val="8"/>
                <w:sz w:val="21"/>
                <w:szCs w:val="21"/>
                <w:lang w:val="en-US" w:eastAsia="zh-CN"/>
              </w:rPr>
            </w:pPr>
            <w:r>
              <w:rPr>
                <w:rFonts w:hint="eastAsia" w:ascii="宋体" w:hAnsi="宋体" w:eastAsia="宋体" w:cs="宋体"/>
                <w:spacing w:val="8"/>
                <w:sz w:val="21"/>
                <w:szCs w:val="21"/>
              </w:rPr>
              <w:t>9</w:t>
            </w:r>
            <w:r>
              <w:rPr>
                <w:rFonts w:hint="eastAsia" w:ascii="宋体" w:hAnsi="宋体" w:eastAsia="宋体" w:cs="宋体"/>
                <w:spacing w:val="8"/>
                <w:sz w:val="21"/>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498" w:type="dxa"/>
            <w:gridSpan w:val="2"/>
            <w:vAlign w:val="center"/>
          </w:tcPr>
          <w:p>
            <w:pPr>
              <w:widowControl/>
              <w:snapToGrid w:val="0"/>
              <w:jc w:val="center"/>
              <w:rPr>
                <w:rFonts w:ascii="宋体" w:hAnsi="宋体" w:eastAsia="宋体" w:cs="宋体"/>
                <w:b/>
                <w:bCs/>
                <w:color w:val="000000"/>
                <w:szCs w:val="22"/>
              </w:rPr>
            </w:pPr>
            <w:r>
              <w:rPr>
                <w:rFonts w:hint="eastAsia" w:asciiTheme="minorEastAsia" w:hAnsiTheme="minorEastAsia" w:cstheme="minorEastAsia"/>
                <w:b/>
                <w:bCs/>
                <w:kern w:val="0"/>
                <w:szCs w:val="21"/>
              </w:rPr>
              <w:t>评价等级</w:t>
            </w:r>
          </w:p>
        </w:tc>
        <w:tc>
          <w:tcPr>
            <w:tcW w:w="7506" w:type="dxa"/>
            <w:gridSpan w:val="3"/>
            <w:vAlign w:val="center"/>
          </w:tcPr>
          <w:p>
            <w:pPr>
              <w:widowControl/>
              <w:snapToGrid w:val="0"/>
              <w:spacing w:line="360" w:lineRule="auto"/>
              <w:jc w:val="center"/>
              <w:rPr>
                <w:rFonts w:asciiTheme="minorEastAsia" w:hAnsiTheme="minorEastAsia" w:cstheme="minorEastAsia"/>
                <w:b/>
                <w:bCs/>
                <w:kern w:val="0"/>
                <w:szCs w:val="21"/>
              </w:rPr>
            </w:pPr>
            <w:r>
              <w:rPr>
                <w:rFonts w:hint="eastAsia" w:asciiTheme="minorEastAsia" w:hAnsiTheme="minorEastAsia" w:cstheme="minorEastAsia"/>
                <w:b/>
                <w:bCs/>
                <w:kern w:val="0"/>
                <w:szCs w:val="21"/>
              </w:rPr>
              <w:sym w:font="Wingdings 2" w:char="0052"/>
            </w:r>
            <w:r>
              <w:rPr>
                <w:rFonts w:hint="eastAsia" w:asciiTheme="minorEastAsia" w:hAnsiTheme="minorEastAsia" w:cstheme="minorEastAsia"/>
                <w:b/>
                <w:bCs/>
                <w:kern w:val="0"/>
                <w:szCs w:val="21"/>
              </w:rPr>
              <w:t xml:space="preserve">优秀（S≥90）     </w:t>
            </w:r>
            <w:r>
              <w:rPr>
                <w:rFonts w:hint="eastAsia" w:asciiTheme="minorEastAsia" w:hAnsiTheme="minorEastAsia" w:cstheme="minorEastAsia"/>
                <w:b/>
                <w:bCs/>
                <w:kern w:val="0"/>
                <w:szCs w:val="21"/>
              </w:rPr>
              <w:sym w:font="Wingdings 2" w:char="F0A3"/>
            </w:r>
            <w:r>
              <w:rPr>
                <w:rFonts w:hint="eastAsia" w:asciiTheme="minorEastAsia" w:hAnsiTheme="minorEastAsia" w:cstheme="minorEastAsia"/>
                <w:b/>
                <w:bCs/>
                <w:kern w:val="0"/>
                <w:szCs w:val="21"/>
              </w:rPr>
              <w:t>良好（90﹥S≧75）</w:t>
            </w:r>
          </w:p>
          <w:p>
            <w:pPr>
              <w:widowControl/>
              <w:snapToGrid w:val="0"/>
              <w:spacing w:line="360" w:lineRule="auto"/>
              <w:jc w:val="center"/>
              <w:rPr>
                <w:rFonts w:ascii="宋体" w:hAnsi="宋体" w:eastAsia="宋体" w:cs="宋体"/>
                <w:spacing w:val="8"/>
                <w:szCs w:val="21"/>
              </w:rPr>
            </w:pPr>
            <w:r>
              <w:rPr>
                <w:rFonts w:hint="eastAsia" w:asciiTheme="minorEastAsia" w:hAnsiTheme="minorEastAsia" w:cstheme="minorEastAsia"/>
                <w:b/>
                <w:bCs/>
                <w:kern w:val="0"/>
                <w:szCs w:val="21"/>
              </w:rPr>
              <w:sym w:font="Wingdings 2" w:char="00A3"/>
            </w:r>
            <w:r>
              <w:rPr>
                <w:rFonts w:hint="eastAsia" w:asciiTheme="minorEastAsia" w:hAnsiTheme="minorEastAsia" w:cstheme="minorEastAsia"/>
                <w:b/>
                <w:bCs/>
                <w:kern w:val="0"/>
                <w:szCs w:val="21"/>
              </w:rPr>
              <w:t xml:space="preserve">合格（75﹥S≧60）    </w:t>
            </w:r>
            <w:r>
              <w:rPr>
                <w:rFonts w:hint="eastAsia" w:asciiTheme="minorEastAsia" w:hAnsiTheme="minorEastAsia" w:cstheme="minorEastAsia"/>
                <w:b/>
                <w:bCs/>
                <w:kern w:val="0"/>
                <w:szCs w:val="21"/>
              </w:rPr>
              <w:sym w:font="Wingdings 2" w:char="00A3"/>
            </w:r>
            <w:r>
              <w:rPr>
                <w:rFonts w:hint="eastAsia" w:asciiTheme="minorEastAsia" w:hAnsiTheme="minorEastAsia" w:cstheme="minorEastAsia"/>
                <w:b/>
                <w:bCs/>
                <w:kern w:val="0"/>
                <w:szCs w:val="21"/>
              </w:rPr>
              <w:t>不合格（60&lt;S）</w:t>
            </w:r>
          </w:p>
        </w:tc>
      </w:tr>
    </w:tbl>
    <w:p>
      <w:pPr>
        <w:rPr>
          <w:rStyle w:val="20"/>
          <w:rFonts w:ascii="黑体" w:hAnsi="黑体" w:eastAsia="黑体" w:cs="黑体"/>
          <w:b w:val="0"/>
          <w:bCs/>
        </w:rPr>
      </w:pPr>
    </w:p>
    <w:p>
      <w:pPr>
        <w:rPr>
          <w:rStyle w:val="20"/>
          <w:rFonts w:ascii="黑体" w:hAnsi="黑体" w:eastAsia="黑体" w:cs="黑体"/>
          <w:b w:val="0"/>
          <w:bCs/>
          <w:szCs w:val="22"/>
        </w:rPr>
      </w:pPr>
      <w:bookmarkStart w:id="27" w:name="_Toc4285"/>
      <w:r>
        <w:rPr>
          <w:rStyle w:val="20"/>
          <w:rFonts w:hint="eastAsia" w:ascii="黑体" w:hAnsi="黑体" w:eastAsia="黑体" w:cs="黑体"/>
          <w:b w:val="0"/>
          <w:bCs/>
          <w:szCs w:val="22"/>
        </w:rPr>
        <w:br w:type="page"/>
      </w:r>
    </w:p>
    <w:p>
      <w:pPr>
        <w:jc w:val="center"/>
        <w:outlineLvl w:val="0"/>
        <w:rPr>
          <w:rStyle w:val="20"/>
          <w:rFonts w:ascii="黑体" w:hAnsi="黑体" w:eastAsia="黑体" w:cs="黑体"/>
          <w:b w:val="0"/>
          <w:bCs/>
          <w:szCs w:val="22"/>
        </w:rPr>
      </w:pPr>
      <w:bookmarkStart w:id="28" w:name="_Toc1075"/>
      <w:r>
        <w:rPr>
          <w:rStyle w:val="20"/>
          <w:rFonts w:hint="eastAsia" w:ascii="黑体" w:hAnsi="黑体" w:eastAsia="黑体" w:cs="黑体"/>
          <w:b w:val="0"/>
          <w:bCs/>
          <w:szCs w:val="22"/>
        </w:rPr>
        <w:t>附件2  绩效评价资料清单</w:t>
      </w:r>
      <w:bookmarkEnd w:id="27"/>
      <w:bookmarkEnd w:id="28"/>
    </w:p>
    <w:p>
      <w:pPr>
        <w:spacing w:line="360" w:lineRule="auto"/>
        <w:ind w:left="-263" w:leftChars="-125"/>
        <w:rPr>
          <w:rFonts w:ascii="宋体" w:hAnsi="宋体" w:cs="宋体"/>
          <w:sz w:val="24"/>
        </w:rPr>
      </w:pPr>
    </w:p>
    <w:p>
      <w:pPr>
        <w:numPr>
          <w:ilvl w:val="0"/>
          <w:numId w:val="1"/>
        </w:numPr>
        <w:spacing w:line="360" w:lineRule="auto"/>
        <w:ind w:left="300" w:hanging="300" w:hangingChars="125"/>
        <w:rPr>
          <w:rFonts w:ascii="宋体" w:hAnsi="宋体" w:cs="宋体"/>
          <w:sz w:val="24"/>
        </w:rPr>
      </w:pPr>
      <w:r>
        <w:rPr>
          <w:rFonts w:hint="eastAsia" w:ascii="宋体" w:hAnsi="宋体" w:cs="宋体"/>
          <w:sz w:val="24"/>
        </w:rPr>
        <w:t>2019年度禁毒工作专项经费预算说明、批复文件；</w:t>
      </w:r>
    </w:p>
    <w:p>
      <w:pPr>
        <w:numPr>
          <w:ilvl w:val="0"/>
          <w:numId w:val="1"/>
        </w:numPr>
        <w:spacing w:line="360" w:lineRule="auto"/>
        <w:ind w:left="300" w:hanging="300" w:hangingChars="125"/>
        <w:rPr>
          <w:rFonts w:ascii="宋体" w:hAnsi="宋体" w:cs="宋体"/>
          <w:sz w:val="24"/>
        </w:rPr>
      </w:pPr>
      <w:r>
        <w:rPr>
          <w:rFonts w:hint="eastAsia" w:hAnsi="宋体" w:cs="宋体"/>
          <w:sz w:val="24"/>
        </w:rPr>
        <w:t>《</w:t>
      </w:r>
      <w:r>
        <w:rPr>
          <w:rFonts w:hint="eastAsia" w:ascii="宋体" w:hAnsi="宋体" w:cs="宋体"/>
          <w:sz w:val="24"/>
        </w:rPr>
        <w:t>泉州市丰泽区禁毒委员会关于印发&lt;丰泽区2019年禁毒重点整治攻坚行动实施方案&gt;的通知》（泉丰禁委〔2019〕2号）；</w:t>
      </w:r>
    </w:p>
    <w:p>
      <w:pPr>
        <w:numPr>
          <w:ilvl w:val="0"/>
          <w:numId w:val="1"/>
        </w:numPr>
        <w:spacing w:line="360" w:lineRule="auto"/>
        <w:ind w:left="300" w:hanging="300" w:hangingChars="125"/>
        <w:rPr>
          <w:rFonts w:hint="eastAsia" w:ascii="宋体" w:hAnsi="宋体" w:cs="宋体"/>
          <w:sz w:val="24"/>
        </w:rPr>
      </w:pPr>
      <w:r>
        <w:rPr>
          <w:rFonts w:hint="eastAsia" w:ascii="宋体" w:hAnsi="宋体" w:cs="宋体"/>
          <w:sz w:val="24"/>
        </w:rPr>
        <w:t>《丰泽区区委常委第102次会议纪要》（中共泉州市丰泽区第五届委员会会议纪要〔2019〕4号）</w:t>
      </w:r>
      <w:r>
        <w:rPr>
          <w:rFonts w:hint="eastAsia" w:ascii="宋体" w:hAnsi="宋体" w:cs="宋体"/>
          <w:sz w:val="24"/>
          <w:lang w:eastAsia="zh-CN"/>
        </w:rPr>
        <w:t>；</w:t>
      </w:r>
    </w:p>
    <w:p>
      <w:pPr>
        <w:numPr>
          <w:ilvl w:val="0"/>
          <w:numId w:val="1"/>
        </w:numPr>
        <w:spacing w:line="360" w:lineRule="auto"/>
        <w:ind w:left="300" w:hanging="300" w:hangingChars="125"/>
        <w:rPr>
          <w:rFonts w:hint="eastAsia" w:ascii="宋体" w:hAnsi="宋体" w:cs="宋体"/>
          <w:sz w:val="24"/>
        </w:rPr>
      </w:pPr>
      <w:r>
        <w:rPr>
          <w:rFonts w:hint="eastAsia" w:ascii="宋体" w:hAnsi="宋体" w:cs="宋体"/>
          <w:sz w:val="24"/>
          <w:lang w:val="en-US" w:eastAsia="zh-CN"/>
        </w:rPr>
        <w:t>《丰泽区机关、事业单位工作人员调配领导小组二〇一九年第四次会议纪要》（〔2019〕4号）；</w:t>
      </w:r>
    </w:p>
    <w:p>
      <w:pPr>
        <w:numPr>
          <w:ilvl w:val="0"/>
          <w:numId w:val="1"/>
        </w:numPr>
        <w:spacing w:line="360" w:lineRule="auto"/>
        <w:ind w:left="300" w:hanging="300" w:hangingChars="125"/>
        <w:rPr>
          <w:rFonts w:ascii="宋体" w:hAnsi="宋体" w:cs="宋体"/>
          <w:sz w:val="24"/>
        </w:rPr>
      </w:pPr>
      <w:r>
        <w:rPr>
          <w:rFonts w:hint="eastAsia" w:ascii="宋体" w:hAnsi="宋体" w:cs="宋体"/>
          <w:sz w:val="24"/>
        </w:rPr>
        <w:t>各街道社区资金使用明细账等资料；</w:t>
      </w:r>
    </w:p>
    <w:p>
      <w:pPr>
        <w:numPr>
          <w:ilvl w:val="0"/>
          <w:numId w:val="1"/>
        </w:numPr>
        <w:spacing w:line="360" w:lineRule="auto"/>
        <w:ind w:left="300" w:hanging="300" w:hangingChars="125"/>
        <w:rPr>
          <w:rFonts w:ascii="宋体" w:hAnsi="宋体" w:cs="宋体"/>
          <w:sz w:val="24"/>
        </w:rPr>
      </w:pPr>
      <w:r>
        <w:rPr>
          <w:rFonts w:hint="eastAsia" w:ascii="宋体" w:hAnsi="宋体" w:cs="宋体"/>
          <w:sz w:val="24"/>
        </w:rPr>
        <w:t>区禁毒办编制的2019年度禁毒工作专项经费绩效目标表、自评表、自评报告等；</w:t>
      </w:r>
    </w:p>
    <w:p>
      <w:pPr>
        <w:numPr>
          <w:ilvl w:val="0"/>
          <w:numId w:val="1"/>
        </w:numPr>
        <w:spacing w:line="360" w:lineRule="auto"/>
        <w:ind w:left="300" w:hanging="300" w:hangingChars="125"/>
        <w:rPr>
          <w:rFonts w:ascii="宋体" w:hAnsi="宋体" w:cs="宋体"/>
          <w:sz w:val="24"/>
        </w:rPr>
      </w:pPr>
      <w:r>
        <w:rPr>
          <w:rFonts w:hint="eastAsia" w:ascii="宋体" w:hAnsi="宋体" w:cs="宋体"/>
          <w:sz w:val="24"/>
        </w:rPr>
        <w:t>其他相关数据资料。</w:t>
      </w:r>
    </w:p>
    <w:p>
      <w:pPr>
        <w:shd w:val="clear" w:color="auto" w:fill="FFFFFF"/>
        <w:spacing w:line="360" w:lineRule="auto"/>
        <w:ind w:left="240" w:hanging="240" w:hangingChars="100"/>
        <w:outlineLvl w:val="2"/>
        <w:rPr>
          <w:rFonts w:ascii="宋体" w:hAnsi="宋体" w:cs="宋体"/>
          <w:sz w:val="24"/>
        </w:rPr>
      </w:pPr>
    </w:p>
    <w:p>
      <w:pPr>
        <w:rPr>
          <w:rFonts w:ascii="宋体" w:hAnsi="宋体" w:cs="宋体"/>
          <w:sz w:val="24"/>
        </w:rPr>
      </w:pPr>
      <w:r>
        <w:rPr>
          <w:rFonts w:hint="eastAsia" w:ascii="宋体" w:hAnsi="宋体" w:cs="宋体"/>
          <w:sz w:val="24"/>
        </w:rPr>
        <w:br w:type="page"/>
      </w:r>
    </w:p>
    <w:p>
      <w:pPr>
        <w:jc w:val="center"/>
        <w:outlineLvl w:val="0"/>
        <w:rPr>
          <w:rStyle w:val="20"/>
          <w:rFonts w:ascii="黑体" w:hAnsi="黑体" w:eastAsia="黑体" w:cs="黑体"/>
          <w:b w:val="0"/>
          <w:bCs/>
          <w:szCs w:val="22"/>
        </w:rPr>
      </w:pPr>
      <w:bookmarkStart w:id="29" w:name="_Toc32288"/>
      <w:bookmarkStart w:id="30" w:name="_Toc3314"/>
      <w:r>
        <w:rPr>
          <w:rStyle w:val="20"/>
          <w:rFonts w:hint="eastAsia" w:ascii="黑体" w:hAnsi="黑体" w:eastAsia="黑体" w:cs="黑体"/>
          <w:b w:val="0"/>
          <w:bCs/>
          <w:szCs w:val="22"/>
        </w:rPr>
        <w:t>附件3  满意度调查问卷</w:t>
      </w:r>
      <w:bookmarkEnd w:id="29"/>
      <w:r>
        <w:rPr>
          <w:rStyle w:val="20"/>
          <w:rFonts w:hint="eastAsia" w:ascii="黑体" w:hAnsi="黑体" w:eastAsia="黑体" w:cs="黑体"/>
          <w:b w:val="0"/>
          <w:bCs/>
          <w:szCs w:val="22"/>
        </w:rPr>
        <w:t>分析</w:t>
      </w:r>
      <w:bookmarkEnd w:id="30"/>
    </w:p>
    <w:p/>
    <w:p>
      <w:pPr>
        <w:spacing w:after="400"/>
        <w:ind w:firstLine="160"/>
        <w:jc w:val="center"/>
      </w:pPr>
      <w:r>
        <w:rPr>
          <w:b/>
          <w:sz w:val="24"/>
        </w:rPr>
        <w:t>泉州市丰泽区禁毒工作的</w:t>
      </w:r>
      <w:r>
        <w:rPr>
          <w:rFonts w:hint="eastAsia"/>
          <w:b/>
          <w:sz w:val="24"/>
        </w:rPr>
        <w:t>宣传</w:t>
      </w:r>
      <w:r>
        <w:rPr>
          <w:b/>
          <w:sz w:val="24"/>
        </w:rPr>
        <w:t>满意度调查问卷</w:t>
      </w:r>
    </w:p>
    <w:p>
      <w:pPr>
        <w:rPr>
          <w:b/>
          <w:sz w:val="32"/>
        </w:rPr>
      </w:pPr>
      <w:r>
        <w:rPr>
          <w:color w:val="000000"/>
          <w:sz w:val="24"/>
        </w:rPr>
        <w:t xml:space="preserve">1.您是否看到过禁毒宣传?   </w:t>
      </w:r>
      <w:r>
        <w:rPr>
          <w:color w:val="0066FF"/>
          <w:sz w:val="24"/>
        </w:rPr>
        <w:t>[单选题]</w:t>
      </w:r>
    </w:p>
    <w:p>
      <w:pPr>
        <w:rPr>
          <w:color w:val="0066FF"/>
          <w:sz w:val="24"/>
        </w:rPr>
      </w:pPr>
    </w:p>
    <w:tbl>
      <w:tblPr>
        <w:tblStyle w:val="1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83"/>
        <w:gridCol w:w="1034"/>
        <w:gridCol w:w="48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是</w:t>
            </w:r>
          </w:p>
        </w:tc>
        <w:tc>
          <w:tcPr>
            <w:tcW w:w="0" w:type="auto"/>
            <w:shd w:val="clear" w:color="auto" w:fill="FFFFFF"/>
            <w:vAlign w:val="center"/>
          </w:tcPr>
          <w:p>
            <w:pPr>
              <w:jc w:val="center"/>
            </w:pPr>
            <w:r>
              <w:t>313</w:t>
            </w:r>
          </w:p>
        </w:tc>
        <w:tc>
          <w:tcPr>
            <w:tcW w:w="0" w:type="auto"/>
            <w:shd w:val="clear" w:color="auto" w:fill="FFFFFF"/>
            <w:vAlign w:val="center"/>
          </w:tcPr>
          <w:p>
            <w:pPr>
              <w:jc w:val="left"/>
            </w:pPr>
            <w:r>
              <w:drawing>
                <wp:inline distT="0" distB="0" distL="114300" distR="114300">
                  <wp:extent cx="1343025" cy="114300"/>
                  <wp:effectExtent l="0" t="0" r="13335" b="762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7"/>
                          <a:stretch>
                            <a:fillRect/>
                          </a:stretch>
                        </pic:blipFill>
                        <pic:spPr>
                          <a:xfrm>
                            <a:off x="0" y="0"/>
                            <a:ext cx="1343025" cy="114300"/>
                          </a:xfrm>
                          <a:prstGeom prst="rect">
                            <a:avLst/>
                          </a:prstGeom>
                          <a:noFill/>
                          <a:ln>
                            <a:noFill/>
                          </a:ln>
                        </pic:spPr>
                      </pic:pic>
                    </a:graphicData>
                  </a:graphic>
                </wp:inline>
              </w:drawing>
            </w:r>
            <w:r>
              <w:drawing>
                <wp:inline distT="0" distB="0" distL="114300" distR="114300">
                  <wp:extent cx="9525" cy="114300"/>
                  <wp:effectExtent l="0" t="0" r="5715" b="6985"/>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6"/>
                          <a:stretch>
                            <a:fillRect/>
                          </a:stretch>
                        </pic:blipFill>
                        <pic:spPr>
                          <a:xfrm>
                            <a:off x="0" y="0"/>
                            <a:ext cx="9525" cy="114300"/>
                          </a:xfrm>
                          <a:prstGeom prst="rect">
                            <a:avLst/>
                          </a:prstGeom>
                          <a:noFill/>
                          <a:ln>
                            <a:noFill/>
                          </a:ln>
                        </pic:spPr>
                      </pic:pic>
                    </a:graphicData>
                  </a:graphic>
                </wp:inline>
              </w:drawing>
            </w:r>
            <w:r>
              <w:t>99.68%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否</w:t>
            </w:r>
          </w:p>
        </w:tc>
        <w:tc>
          <w:tcPr>
            <w:tcW w:w="0" w:type="auto"/>
            <w:shd w:val="clear" w:color="auto" w:fill="F9F9F9"/>
            <w:vAlign w:val="center"/>
          </w:tcPr>
          <w:p>
            <w:pPr>
              <w:jc w:val="center"/>
            </w:pPr>
            <w:r>
              <w:t>1</w:t>
            </w:r>
          </w:p>
        </w:tc>
        <w:tc>
          <w:tcPr>
            <w:tcW w:w="0" w:type="auto"/>
            <w:shd w:val="clear" w:color="auto" w:fill="F9F9F9"/>
            <w:vAlign w:val="center"/>
          </w:tcPr>
          <w:p>
            <w:pPr>
              <w:jc w:val="left"/>
            </w:pPr>
            <w:r>
              <w:drawing>
                <wp:inline distT="0" distB="0" distL="114300" distR="114300">
                  <wp:extent cx="1352550" cy="114300"/>
                  <wp:effectExtent l="0" t="0" r="3810" b="7620"/>
                  <wp:docPr id="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pic:cNvPicPr>
                            <a:picLocks noChangeAspect="1"/>
                          </pic:cNvPicPr>
                        </pic:nvPicPr>
                        <pic:blipFill>
                          <a:blip r:embed="rId8"/>
                          <a:stretch>
                            <a:fillRect/>
                          </a:stretch>
                        </pic:blipFill>
                        <pic:spPr>
                          <a:xfrm>
                            <a:off x="0" y="0"/>
                            <a:ext cx="1352550" cy="114300"/>
                          </a:xfrm>
                          <a:prstGeom prst="rect">
                            <a:avLst/>
                          </a:prstGeom>
                          <a:noFill/>
                          <a:ln>
                            <a:noFill/>
                          </a:ln>
                        </pic:spPr>
                      </pic:pic>
                    </a:graphicData>
                  </a:graphic>
                </wp:inline>
              </w:drawing>
            </w:r>
            <w:r>
              <w:t>0.32%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left"/>
            </w:pPr>
            <w:r>
              <w:t>本题有效填写人次</w:t>
            </w:r>
          </w:p>
        </w:tc>
        <w:tc>
          <w:tcPr>
            <w:tcW w:w="0" w:type="auto"/>
            <w:shd w:val="clear" w:color="auto" w:fill="E0E0E0"/>
            <w:vAlign w:val="center"/>
          </w:tcPr>
          <w:p>
            <w:pPr>
              <w:jc w:val="center"/>
            </w:pPr>
            <w:r>
              <w:t>314</w:t>
            </w:r>
          </w:p>
        </w:tc>
        <w:tc>
          <w:tcPr>
            <w:tcW w:w="0" w:type="auto"/>
            <w:shd w:val="clear" w:color="auto" w:fill="E0E0E0"/>
            <w:vAlign w:val="center"/>
          </w:tcPr>
          <w:p>
            <w:pPr>
              <w:jc w:val="left"/>
            </w:pPr>
          </w:p>
        </w:tc>
      </w:tr>
    </w:tbl>
    <w:p/>
    <w:p/>
    <w:p>
      <w:r>
        <w:rPr>
          <w:color w:val="000000"/>
          <w:sz w:val="24"/>
        </w:rPr>
        <w:t xml:space="preserve">2.您通过哪些途径看到禁毒宣传?（备注:第一题回答否的不用回答）   </w:t>
      </w:r>
      <w:r>
        <w:rPr>
          <w:color w:val="0066FF"/>
          <w:sz w:val="24"/>
        </w:rPr>
        <w:t>[多选题]</w:t>
      </w:r>
    </w:p>
    <w:p>
      <w:pPr>
        <w:rPr>
          <w:color w:val="0066FF"/>
          <w:sz w:val="24"/>
        </w:rPr>
      </w:pPr>
    </w:p>
    <w:tbl>
      <w:tblPr>
        <w:tblStyle w:val="1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305"/>
        <w:gridCol w:w="995"/>
        <w:gridCol w:w="4704"/>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宣传材料</w:t>
            </w:r>
          </w:p>
        </w:tc>
        <w:tc>
          <w:tcPr>
            <w:tcW w:w="0" w:type="auto"/>
            <w:shd w:val="clear" w:color="auto" w:fill="FFFFFF"/>
            <w:vAlign w:val="center"/>
          </w:tcPr>
          <w:p>
            <w:pPr>
              <w:jc w:val="center"/>
            </w:pPr>
            <w:r>
              <w:t>296</w:t>
            </w:r>
          </w:p>
        </w:tc>
        <w:tc>
          <w:tcPr>
            <w:tcW w:w="0" w:type="auto"/>
            <w:shd w:val="clear" w:color="auto" w:fill="FFFFFF"/>
            <w:vAlign w:val="center"/>
          </w:tcPr>
          <w:p>
            <w:pPr>
              <w:jc w:val="left"/>
            </w:pPr>
            <w:r>
              <w:drawing>
                <wp:inline distT="0" distB="0" distL="114300" distR="114300">
                  <wp:extent cx="1266825" cy="114300"/>
                  <wp:effectExtent l="0" t="0" r="13335" b="762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9"/>
                          <a:stretch>
                            <a:fillRect/>
                          </a:stretch>
                        </pic:blipFill>
                        <pic:spPr>
                          <a:xfrm>
                            <a:off x="0" y="0"/>
                            <a:ext cx="1266825" cy="114300"/>
                          </a:xfrm>
                          <a:prstGeom prst="rect">
                            <a:avLst/>
                          </a:prstGeom>
                          <a:noFill/>
                          <a:ln>
                            <a:noFill/>
                          </a:ln>
                        </pic:spPr>
                      </pic:pic>
                    </a:graphicData>
                  </a:graphic>
                </wp:inline>
              </w:drawing>
            </w:r>
            <w:r>
              <w:drawing>
                <wp:inline distT="0" distB="0" distL="114300" distR="114300">
                  <wp:extent cx="85725" cy="114300"/>
                  <wp:effectExtent l="0" t="0" r="5715" b="7620"/>
                  <wp:docPr id="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pic:cNvPicPr>
                            <a:picLocks noChangeAspect="1"/>
                          </pic:cNvPicPr>
                        </pic:nvPicPr>
                        <pic:blipFill>
                          <a:blip r:embed="rId10"/>
                          <a:stretch>
                            <a:fillRect/>
                          </a:stretch>
                        </pic:blipFill>
                        <pic:spPr>
                          <a:xfrm>
                            <a:off x="0" y="0"/>
                            <a:ext cx="85725" cy="114300"/>
                          </a:xfrm>
                          <a:prstGeom prst="rect">
                            <a:avLst/>
                          </a:prstGeom>
                          <a:noFill/>
                          <a:ln>
                            <a:noFill/>
                          </a:ln>
                        </pic:spPr>
                      </pic:pic>
                    </a:graphicData>
                  </a:graphic>
                </wp:inline>
              </w:drawing>
            </w:r>
            <w:r>
              <w:t>94.27%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宣传报道</w:t>
            </w:r>
          </w:p>
        </w:tc>
        <w:tc>
          <w:tcPr>
            <w:tcW w:w="0" w:type="auto"/>
            <w:shd w:val="clear" w:color="auto" w:fill="F9F9F9"/>
            <w:vAlign w:val="center"/>
          </w:tcPr>
          <w:p>
            <w:pPr>
              <w:jc w:val="center"/>
            </w:pPr>
            <w:r>
              <w:t>262</w:t>
            </w:r>
          </w:p>
        </w:tc>
        <w:tc>
          <w:tcPr>
            <w:tcW w:w="0" w:type="auto"/>
            <w:shd w:val="clear" w:color="auto" w:fill="F9F9F9"/>
            <w:vAlign w:val="center"/>
          </w:tcPr>
          <w:p>
            <w:pPr>
              <w:jc w:val="left"/>
            </w:pPr>
            <w:r>
              <w:drawing>
                <wp:inline distT="0" distB="0" distL="114300" distR="114300">
                  <wp:extent cx="1123950" cy="114300"/>
                  <wp:effectExtent l="0" t="0" r="3810" b="762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1"/>
                          <a:stretch>
                            <a:fillRect/>
                          </a:stretch>
                        </pic:blipFill>
                        <pic:spPr>
                          <a:xfrm>
                            <a:off x="0" y="0"/>
                            <a:ext cx="1123950" cy="114300"/>
                          </a:xfrm>
                          <a:prstGeom prst="rect">
                            <a:avLst/>
                          </a:prstGeom>
                          <a:noFill/>
                          <a:ln>
                            <a:noFill/>
                          </a:ln>
                        </pic:spPr>
                      </pic:pic>
                    </a:graphicData>
                  </a:graphic>
                </wp:inline>
              </w:drawing>
            </w:r>
            <w:r>
              <w:drawing>
                <wp:inline distT="0" distB="0" distL="114300" distR="114300">
                  <wp:extent cx="228600" cy="114300"/>
                  <wp:effectExtent l="0" t="0" r="0" b="7620"/>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12"/>
                          <a:stretch>
                            <a:fillRect/>
                          </a:stretch>
                        </pic:blipFill>
                        <pic:spPr>
                          <a:xfrm>
                            <a:off x="0" y="0"/>
                            <a:ext cx="228600" cy="114300"/>
                          </a:xfrm>
                          <a:prstGeom prst="rect">
                            <a:avLst/>
                          </a:prstGeom>
                          <a:noFill/>
                          <a:ln>
                            <a:noFill/>
                          </a:ln>
                        </pic:spPr>
                      </pic:pic>
                    </a:graphicData>
                  </a:graphic>
                </wp:inline>
              </w:drawing>
            </w:r>
            <w:r>
              <w:t>83.44%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禁毒讲座</w:t>
            </w:r>
          </w:p>
        </w:tc>
        <w:tc>
          <w:tcPr>
            <w:tcW w:w="0" w:type="auto"/>
            <w:shd w:val="clear" w:color="auto" w:fill="FFFFFF"/>
            <w:vAlign w:val="center"/>
          </w:tcPr>
          <w:p>
            <w:pPr>
              <w:jc w:val="center"/>
            </w:pPr>
            <w:r>
              <w:t>210</w:t>
            </w:r>
          </w:p>
        </w:tc>
        <w:tc>
          <w:tcPr>
            <w:tcW w:w="0" w:type="auto"/>
            <w:shd w:val="clear" w:color="auto" w:fill="FFFFFF"/>
            <w:vAlign w:val="center"/>
          </w:tcPr>
          <w:p>
            <w:pPr>
              <w:jc w:val="left"/>
            </w:pPr>
            <w:r>
              <w:drawing>
                <wp:inline distT="0" distB="0" distL="114300" distR="114300">
                  <wp:extent cx="895350" cy="114300"/>
                  <wp:effectExtent l="0" t="0" r="3810" b="7620"/>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13"/>
                          <a:stretch>
                            <a:fillRect/>
                          </a:stretch>
                        </pic:blipFill>
                        <pic:spPr>
                          <a:xfrm>
                            <a:off x="0" y="0"/>
                            <a:ext cx="895350" cy="114300"/>
                          </a:xfrm>
                          <a:prstGeom prst="rect">
                            <a:avLst/>
                          </a:prstGeom>
                          <a:noFill/>
                          <a:ln>
                            <a:noFill/>
                          </a:ln>
                        </pic:spPr>
                      </pic:pic>
                    </a:graphicData>
                  </a:graphic>
                </wp:inline>
              </w:drawing>
            </w:r>
            <w:r>
              <w:drawing>
                <wp:inline distT="0" distB="0" distL="114300" distR="114300">
                  <wp:extent cx="457200" cy="114300"/>
                  <wp:effectExtent l="0" t="0" r="0" b="762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4"/>
                          <a:stretch>
                            <a:fillRect/>
                          </a:stretch>
                        </pic:blipFill>
                        <pic:spPr>
                          <a:xfrm>
                            <a:off x="0" y="0"/>
                            <a:ext cx="457200" cy="114300"/>
                          </a:xfrm>
                          <a:prstGeom prst="rect">
                            <a:avLst/>
                          </a:prstGeom>
                          <a:noFill/>
                          <a:ln>
                            <a:noFill/>
                          </a:ln>
                        </pic:spPr>
                      </pic:pic>
                    </a:graphicData>
                  </a:graphic>
                </wp:inline>
              </w:drawing>
            </w:r>
            <w:r>
              <w:t>66.88%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禁毒期刊</w:t>
            </w:r>
          </w:p>
        </w:tc>
        <w:tc>
          <w:tcPr>
            <w:tcW w:w="0" w:type="auto"/>
            <w:shd w:val="clear" w:color="auto" w:fill="F9F9F9"/>
            <w:vAlign w:val="center"/>
          </w:tcPr>
          <w:p>
            <w:pPr>
              <w:jc w:val="center"/>
            </w:pPr>
            <w:r>
              <w:t>171</w:t>
            </w:r>
          </w:p>
        </w:tc>
        <w:tc>
          <w:tcPr>
            <w:tcW w:w="0" w:type="auto"/>
            <w:shd w:val="clear" w:color="auto" w:fill="F9F9F9"/>
            <w:vAlign w:val="center"/>
          </w:tcPr>
          <w:p>
            <w:pPr>
              <w:jc w:val="left"/>
            </w:pPr>
            <w:r>
              <w:drawing>
                <wp:inline distT="0" distB="0" distL="114300" distR="114300">
                  <wp:extent cx="733425" cy="114300"/>
                  <wp:effectExtent l="0" t="0" r="13335" b="7620"/>
                  <wp:docPr id="3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
                          <pic:cNvPicPr>
                            <a:picLocks noChangeAspect="1"/>
                          </pic:cNvPicPr>
                        </pic:nvPicPr>
                        <pic:blipFill>
                          <a:blip r:embed="rId15"/>
                          <a:stretch>
                            <a:fillRect/>
                          </a:stretch>
                        </pic:blipFill>
                        <pic:spPr>
                          <a:xfrm>
                            <a:off x="0" y="0"/>
                            <a:ext cx="733425" cy="114300"/>
                          </a:xfrm>
                          <a:prstGeom prst="rect">
                            <a:avLst/>
                          </a:prstGeom>
                          <a:noFill/>
                          <a:ln>
                            <a:noFill/>
                          </a:ln>
                        </pic:spPr>
                      </pic:pic>
                    </a:graphicData>
                  </a:graphic>
                </wp:inline>
              </w:drawing>
            </w:r>
            <w:r>
              <w:drawing>
                <wp:inline distT="0" distB="0" distL="114300" distR="114300">
                  <wp:extent cx="619125" cy="114300"/>
                  <wp:effectExtent l="0" t="0" r="5715" b="7620"/>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
                          <pic:cNvPicPr>
                            <a:picLocks noChangeAspect="1"/>
                          </pic:cNvPicPr>
                        </pic:nvPicPr>
                        <pic:blipFill>
                          <a:blip r:embed="rId16"/>
                          <a:stretch>
                            <a:fillRect/>
                          </a:stretch>
                        </pic:blipFill>
                        <pic:spPr>
                          <a:xfrm>
                            <a:off x="0" y="0"/>
                            <a:ext cx="619125" cy="114300"/>
                          </a:xfrm>
                          <a:prstGeom prst="rect">
                            <a:avLst/>
                          </a:prstGeom>
                          <a:noFill/>
                          <a:ln>
                            <a:noFill/>
                          </a:ln>
                        </pic:spPr>
                      </pic:pic>
                    </a:graphicData>
                  </a:graphic>
                </wp:inline>
              </w:drawing>
            </w:r>
            <w:r>
              <w:t>54.46%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禁毒广告</w:t>
            </w:r>
          </w:p>
        </w:tc>
        <w:tc>
          <w:tcPr>
            <w:tcW w:w="0" w:type="auto"/>
            <w:shd w:val="clear" w:color="auto" w:fill="FFFFFF"/>
            <w:vAlign w:val="center"/>
          </w:tcPr>
          <w:p>
            <w:pPr>
              <w:jc w:val="center"/>
            </w:pPr>
            <w:r>
              <w:t>244</w:t>
            </w:r>
          </w:p>
        </w:tc>
        <w:tc>
          <w:tcPr>
            <w:tcW w:w="0" w:type="auto"/>
            <w:shd w:val="clear" w:color="auto" w:fill="FFFFFF"/>
            <w:vAlign w:val="center"/>
          </w:tcPr>
          <w:p>
            <w:pPr>
              <w:jc w:val="left"/>
            </w:pPr>
            <w:r>
              <w:drawing>
                <wp:inline distT="0" distB="0" distL="114300" distR="114300">
                  <wp:extent cx="1047750" cy="114300"/>
                  <wp:effectExtent l="0" t="0" r="3810" b="7620"/>
                  <wp:docPr id="3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2"/>
                          <pic:cNvPicPr>
                            <a:picLocks noChangeAspect="1"/>
                          </pic:cNvPicPr>
                        </pic:nvPicPr>
                        <pic:blipFill>
                          <a:blip r:embed="rId17"/>
                          <a:stretch>
                            <a:fillRect/>
                          </a:stretch>
                        </pic:blipFill>
                        <pic:spPr>
                          <a:xfrm>
                            <a:off x="0" y="0"/>
                            <a:ext cx="1047750" cy="114300"/>
                          </a:xfrm>
                          <a:prstGeom prst="rect">
                            <a:avLst/>
                          </a:prstGeom>
                          <a:noFill/>
                          <a:ln>
                            <a:noFill/>
                          </a:ln>
                        </pic:spPr>
                      </pic:pic>
                    </a:graphicData>
                  </a:graphic>
                </wp:inline>
              </w:drawing>
            </w:r>
            <w:r>
              <w:drawing>
                <wp:inline distT="0" distB="0" distL="114300" distR="114300">
                  <wp:extent cx="304800" cy="114300"/>
                  <wp:effectExtent l="0" t="0" r="0" b="7620"/>
                  <wp:docPr id="3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
                          <pic:cNvPicPr>
                            <a:picLocks noChangeAspect="1"/>
                          </pic:cNvPicPr>
                        </pic:nvPicPr>
                        <pic:blipFill>
                          <a:blip r:embed="rId18"/>
                          <a:stretch>
                            <a:fillRect/>
                          </a:stretch>
                        </pic:blipFill>
                        <pic:spPr>
                          <a:xfrm>
                            <a:off x="0" y="0"/>
                            <a:ext cx="304800" cy="114300"/>
                          </a:xfrm>
                          <a:prstGeom prst="rect">
                            <a:avLst/>
                          </a:prstGeom>
                          <a:noFill/>
                          <a:ln>
                            <a:noFill/>
                          </a:ln>
                        </pic:spPr>
                      </pic:pic>
                    </a:graphicData>
                  </a:graphic>
                </wp:inline>
              </w:drawing>
            </w:r>
            <w:r>
              <w:t>77.71%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标语和LED电子屏幕</w:t>
            </w:r>
          </w:p>
        </w:tc>
        <w:tc>
          <w:tcPr>
            <w:tcW w:w="0" w:type="auto"/>
            <w:shd w:val="clear" w:color="auto" w:fill="F9F9F9"/>
            <w:vAlign w:val="center"/>
          </w:tcPr>
          <w:p>
            <w:pPr>
              <w:jc w:val="center"/>
            </w:pPr>
            <w:r>
              <w:t>263</w:t>
            </w:r>
          </w:p>
        </w:tc>
        <w:tc>
          <w:tcPr>
            <w:tcW w:w="0" w:type="auto"/>
            <w:shd w:val="clear" w:color="auto" w:fill="F9F9F9"/>
            <w:vAlign w:val="center"/>
          </w:tcPr>
          <w:p>
            <w:pPr>
              <w:jc w:val="left"/>
            </w:pPr>
            <w:r>
              <w:drawing>
                <wp:inline distT="0" distB="0" distL="114300" distR="114300">
                  <wp:extent cx="1123950" cy="114300"/>
                  <wp:effectExtent l="0" t="0" r="3810" b="762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11"/>
                          <a:stretch>
                            <a:fillRect/>
                          </a:stretch>
                        </pic:blipFill>
                        <pic:spPr>
                          <a:xfrm>
                            <a:off x="0" y="0"/>
                            <a:ext cx="1123950" cy="114300"/>
                          </a:xfrm>
                          <a:prstGeom prst="rect">
                            <a:avLst/>
                          </a:prstGeom>
                          <a:noFill/>
                          <a:ln>
                            <a:noFill/>
                          </a:ln>
                        </pic:spPr>
                      </pic:pic>
                    </a:graphicData>
                  </a:graphic>
                </wp:inline>
              </w:drawing>
            </w:r>
            <w:r>
              <w:drawing>
                <wp:inline distT="0" distB="0" distL="114300" distR="114300">
                  <wp:extent cx="228600" cy="114300"/>
                  <wp:effectExtent l="0" t="0" r="0" b="762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12"/>
                          <a:stretch>
                            <a:fillRect/>
                          </a:stretch>
                        </pic:blipFill>
                        <pic:spPr>
                          <a:xfrm>
                            <a:off x="0" y="0"/>
                            <a:ext cx="228600" cy="114300"/>
                          </a:xfrm>
                          <a:prstGeom prst="rect">
                            <a:avLst/>
                          </a:prstGeom>
                          <a:noFill/>
                          <a:ln>
                            <a:noFill/>
                          </a:ln>
                        </pic:spPr>
                      </pic:pic>
                    </a:graphicData>
                  </a:graphic>
                </wp:inline>
              </w:drawing>
            </w:r>
            <w:r>
              <w:t>83.76%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专项培训</w:t>
            </w:r>
          </w:p>
        </w:tc>
        <w:tc>
          <w:tcPr>
            <w:tcW w:w="0" w:type="auto"/>
            <w:shd w:val="clear" w:color="auto" w:fill="FFFFFF"/>
            <w:vAlign w:val="center"/>
          </w:tcPr>
          <w:p>
            <w:pPr>
              <w:jc w:val="center"/>
            </w:pPr>
            <w:r>
              <w:t>108</w:t>
            </w:r>
          </w:p>
        </w:tc>
        <w:tc>
          <w:tcPr>
            <w:tcW w:w="0" w:type="auto"/>
            <w:shd w:val="clear" w:color="auto" w:fill="FFFFFF"/>
            <w:vAlign w:val="center"/>
          </w:tcPr>
          <w:p>
            <w:pPr>
              <w:jc w:val="left"/>
            </w:pPr>
            <w:r>
              <w:drawing>
                <wp:inline distT="0" distB="0" distL="114300" distR="114300">
                  <wp:extent cx="457200" cy="114300"/>
                  <wp:effectExtent l="0" t="0" r="0" b="762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9"/>
                          <a:stretch>
                            <a:fillRect/>
                          </a:stretch>
                        </pic:blipFill>
                        <pic:spPr>
                          <a:xfrm>
                            <a:off x="0" y="0"/>
                            <a:ext cx="457200" cy="114300"/>
                          </a:xfrm>
                          <a:prstGeom prst="rect">
                            <a:avLst/>
                          </a:prstGeom>
                          <a:noFill/>
                          <a:ln>
                            <a:noFill/>
                          </a:ln>
                        </pic:spPr>
                      </pic:pic>
                    </a:graphicData>
                  </a:graphic>
                </wp:inline>
              </w:drawing>
            </w:r>
            <w:r>
              <w:drawing>
                <wp:inline distT="0" distB="0" distL="114300" distR="114300">
                  <wp:extent cx="895350" cy="114300"/>
                  <wp:effectExtent l="0" t="0" r="3810" b="762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20"/>
                          <a:stretch>
                            <a:fillRect/>
                          </a:stretch>
                        </pic:blipFill>
                        <pic:spPr>
                          <a:xfrm>
                            <a:off x="0" y="0"/>
                            <a:ext cx="895350" cy="114300"/>
                          </a:xfrm>
                          <a:prstGeom prst="rect">
                            <a:avLst/>
                          </a:prstGeom>
                          <a:noFill/>
                          <a:ln>
                            <a:noFill/>
                          </a:ln>
                        </pic:spPr>
                      </pic:pic>
                    </a:graphicData>
                  </a:graphic>
                </wp:inline>
              </w:drawing>
            </w:r>
            <w:r>
              <w:t>34.39%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宣传教育基地</w:t>
            </w:r>
          </w:p>
        </w:tc>
        <w:tc>
          <w:tcPr>
            <w:tcW w:w="0" w:type="auto"/>
            <w:shd w:val="clear" w:color="auto" w:fill="F9F9F9"/>
            <w:vAlign w:val="center"/>
          </w:tcPr>
          <w:p>
            <w:pPr>
              <w:jc w:val="center"/>
            </w:pPr>
            <w:r>
              <w:t>164</w:t>
            </w:r>
          </w:p>
        </w:tc>
        <w:tc>
          <w:tcPr>
            <w:tcW w:w="0" w:type="auto"/>
            <w:shd w:val="clear" w:color="auto" w:fill="F9F9F9"/>
            <w:vAlign w:val="center"/>
          </w:tcPr>
          <w:p>
            <w:pPr>
              <w:jc w:val="left"/>
            </w:pPr>
            <w:r>
              <w:drawing>
                <wp:inline distT="0" distB="0" distL="114300" distR="114300">
                  <wp:extent cx="704850" cy="114300"/>
                  <wp:effectExtent l="0" t="0" r="11430" b="762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21"/>
                          <a:stretch>
                            <a:fillRect/>
                          </a:stretch>
                        </pic:blipFill>
                        <pic:spPr>
                          <a:xfrm>
                            <a:off x="0" y="0"/>
                            <a:ext cx="704850" cy="114300"/>
                          </a:xfrm>
                          <a:prstGeom prst="rect">
                            <a:avLst/>
                          </a:prstGeom>
                          <a:noFill/>
                          <a:ln>
                            <a:noFill/>
                          </a:ln>
                        </pic:spPr>
                      </pic:pic>
                    </a:graphicData>
                  </a:graphic>
                </wp:inline>
              </w:drawing>
            </w:r>
            <w:r>
              <w:drawing>
                <wp:inline distT="0" distB="0" distL="114300" distR="114300">
                  <wp:extent cx="647700" cy="114300"/>
                  <wp:effectExtent l="0" t="0" r="7620" b="7620"/>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pic:cNvPicPr>
                        </pic:nvPicPr>
                        <pic:blipFill>
                          <a:blip r:embed="rId22"/>
                          <a:stretch>
                            <a:fillRect/>
                          </a:stretch>
                        </pic:blipFill>
                        <pic:spPr>
                          <a:xfrm>
                            <a:off x="0" y="0"/>
                            <a:ext cx="647700" cy="114300"/>
                          </a:xfrm>
                          <a:prstGeom prst="rect">
                            <a:avLst/>
                          </a:prstGeom>
                          <a:noFill/>
                          <a:ln>
                            <a:noFill/>
                          </a:ln>
                        </pic:spPr>
                      </pic:pic>
                    </a:graphicData>
                  </a:graphic>
                </wp:inline>
              </w:drawing>
            </w:r>
            <w:r>
              <w:t>52.23%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left"/>
            </w:pPr>
            <w:r>
              <w:t>本题有效填写人次</w:t>
            </w:r>
          </w:p>
        </w:tc>
        <w:tc>
          <w:tcPr>
            <w:tcW w:w="0" w:type="auto"/>
            <w:shd w:val="clear" w:color="auto" w:fill="E0E0E0"/>
            <w:vAlign w:val="center"/>
          </w:tcPr>
          <w:p>
            <w:pPr>
              <w:jc w:val="center"/>
            </w:pPr>
            <w:r>
              <w:t>314</w:t>
            </w:r>
          </w:p>
        </w:tc>
        <w:tc>
          <w:tcPr>
            <w:tcW w:w="0" w:type="auto"/>
            <w:shd w:val="clear" w:color="auto" w:fill="E0E0E0"/>
            <w:vAlign w:val="center"/>
          </w:tcPr>
          <w:p>
            <w:pPr>
              <w:jc w:val="left"/>
            </w:pPr>
          </w:p>
        </w:tc>
      </w:tr>
    </w:tbl>
    <w:p/>
    <w:p/>
    <w:p>
      <w:r>
        <w:rPr>
          <w:color w:val="000000"/>
          <w:sz w:val="24"/>
        </w:rPr>
        <w:t xml:space="preserve">3.您对该区域禁毒宣传的方式是否满意?5分表示最满意，1分表示最不满意，您打几分?    </w:t>
      </w:r>
      <w:r>
        <w:rPr>
          <w:color w:val="0066FF"/>
          <w:sz w:val="24"/>
        </w:rPr>
        <w:t>[单选题]</w:t>
      </w:r>
    </w:p>
    <w:p>
      <w:pPr>
        <w:rPr>
          <w:color w:val="0066FF"/>
          <w:sz w:val="24"/>
        </w:rPr>
      </w:pPr>
    </w:p>
    <w:tbl>
      <w:tblPr>
        <w:tblStyle w:val="1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83"/>
        <w:gridCol w:w="1034"/>
        <w:gridCol w:w="48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00" w:hRule="atLeast"/>
        </w:trPr>
        <w:tc>
          <w:tcPr>
            <w:tcW w:w="0" w:type="auto"/>
            <w:shd w:val="clear" w:color="auto" w:fill="FFFFFF"/>
            <w:vAlign w:val="center"/>
          </w:tcPr>
          <w:p>
            <w:pPr>
              <w:jc w:val="left"/>
            </w:pPr>
            <w:r>
              <w:t>5分</w:t>
            </w:r>
          </w:p>
        </w:tc>
        <w:tc>
          <w:tcPr>
            <w:tcW w:w="0" w:type="auto"/>
            <w:shd w:val="clear" w:color="auto" w:fill="FFFFFF"/>
            <w:vAlign w:val="center"/>
          </w:tcPr>
          <w:p>
            <w:pPr>
              <w:jc w:val="center"/>
            </w:pPr>
            <w:r>
              <w:t>293</w:t>
            </w:r>
          </w:p>
        </w:tc>
        <w:tc>
          <w:tcPr>
            <w:tcW w:w="0" w:type="auto"/>
            <w:shd w:val="clear" w:color="auto" w:fill="FFFFFF"/>
            <w:vAlign w:val="center"/>
          </w:tcPr>
          <w:p>
            <w:pPr>
              <w:jc w:val="left"/>
            </w:pPr>
            <w:r>
              <w:drawing>
                <wp:inline distT="0" distB="0" distL="114300" distR="114300">
                  <wp:extent cx="1257300" cy="114300"/>
                  <wp:effectExtent l="0" t="0" r="7620" b="762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pic:cNvPicPr>
                        </pic:nvPicPr>
                        <pic:blipFill>
                          <a:blip r:embed="rId23"/>
                          <a:stretch>
                            <a:fillRect/>
                          </a:stretch>
                        </pic:blipFill>
                        <pic:spPr>
                          <a:xfrm>
                            <a:off x="0" y="0"/>
                            <a:ext cx="1257300" cy="114300"/>
                          </a:xfrm>
                          <a:prstGeom prst="rect">
                            <a:avLst/>
                          </a:prstGeom>
                          <a:noFill/>
                          <a:ln>
                            <a:noFill/>
                          </a:ln>
                        </pic:spPr>
                      </pic:pic>
                    </a:graphicData>
                  </a:graphic>
                </wp:inline>
              </w:drawing>
            </w:r>
            <w:r>
              <w:drawing>
                <wp:inline distT="0" distB="0" distL="114300" distR="114300">
                  <wp:extent cx="95250" cy="114300"/>
                  <wp:effectExtent l="0" t="0" r="11430" b="762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24"/>
                          <a:stretch>
                            <a:fillRect/>
                          </a:stretch>
                        </pic:blipFill>
                        <pic:spPr>
                          <a:xfrm>
                            <a:off x="0" y="0"/>
                            <a:ext cx="95250" cy="114300"/>
                          </a:xfrm>
                          <a:prstGeom prst="rect">
                            <a:avLst/>
                          </a:prstGeom>
                          <a:noFill/>
                          <a:ln>
                            <a:noFill/>
                          </a:ln>
                        </pic:spPr>
                      </pic:pic>
                    </a:graphicData>
                  </a:graphic>
                </wp:inline>
              </w:drawing>
            </w:r>
            <w:r>
              <w:t>93.31%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PrEx>
        <w:trPr>
          <w:trHeight w:val="500" w:hRule="atLeast"/>
        </w:trPr>
        <w:tc>
          <w:tcPr>
            <w:tcW w:w="0" w:type="auto"/>
            <w:shd w:val="clear" w:color="auto" w:fill="F9F9F9"/>
            <w:vAlign w:val="center"/>
          </w:tcPr>
          <w:p>
            <w:pPr>
              <w:jc w:val="left"/>
            </w:pPr>
            <w:r>
              <w:t>4分</w:t>
            </w:r>
          </w:p>
        </w:tc>
        <w:tc>
          <w:tcPr>
            <w:tcW w:w="0" w:type="auto"/>
            <w:shd w:val="clear" w:color="auto" w:fill="F9F9F9"/>
            <w:vAlign w:val="center"/>
          </w:tcPr>
          <w:p>
            <w:pPr>
              <w:jc w:val="center"/>
            </w:pPr>
            <w:r>
              <w:t>15</w:t>
            </w:r>
          </w:p>
        </w:tc>
        <w:tc>
          <w:tcPr>
            <w:tcW w:w="0" w:type="auto"/>
            <w:shd w:val="clear" w:color="auto" w:fill="F9F9F9"/>
            <w:vAlign w:val="center"/>
          </w:tcPr>
          <w:p>
            <w:pPr>
              <w:jc w:val="left"/>
            </w:pPr>
            <w:r>
              <w:drawing>
                <wp:inline distT="0" distB="0" distL="114300" distR="114300">
                  <wp:extent cx="57150" cy="114300"/>
                  <wp:effectExtent l="0" t="0" r="3810" b="762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25"/>
                          <a:stretch>
                            <a:fillRect/>
                          </a:stretch>
                        </pic:blipFill>
                        <pic:spPr>
                          <a:xfrm>
                            <a:off x="0" y="0"/>
                            <a:ext cx="57150" cy="114300"/>
                          </a:xfrm>
                          <a:prstGeom prst="rect">
                            <a:avLst/>
                          </a:prstGeom>
                          <a:noFill/>
                          <a:ln>
                            <a:noFill/>
                          </a:ln>
                        </pic:spPr>
                      </pic:pic>
                    </a:graphicData>
                  </a:graphic>
                </wp:inline>
              </w:drawing>
            </w:r>
            <w:r>
              <w:drawing>
                <wp:inline distT="0" distB="0" distL="114300" distR="114300">
                  <wp:extent cx="1295400" cy="114300"/>
                  <wp:effectExtent l="0" t="0" r="0" b="7620"/>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6"/>
                          <a:stretch>
                            <a:fillRect/>
                          </a:stretch>
                        </pic:blipFill>
                        <pic:spPr>
                          <a:xfrm>
                            <a:off x="0" y="0"/>
                            <a:ext cx="1295400" cy="114300"/>
                          </a:xfrm>
                          <a:prstGeom prst="rect">
                            <a:avLst/>
                          </a:prstGeom>
                          <a:noFill/>
                          <a:ln>
                            <a:noFill/>
                          </a:ln>
                        </pic:spPr>
                      </pic:pic>
                    </a:graphicData>
                  </a:graphic>
                </wp:inline>
              </w:drawing>
            </w:r>
            <w:r>
              <w:t>4.78%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3分</w:t>
            </w:r>
          </w:p>
        </w:tc>
        <w:tc>
          <w:tcPr>
            <w:tcW w:w="0" w:type="auto"/>
            <w:shd w:val="clear" w:color="auto" w:fill="FFFFFF"/>
            <w:vAlign w:val="center"/>
          </w:tcPr>
          <w:p>
            <w:pPr>
              <w:jc w:val="center"/>
            </w:pPr>
            <w:r>
              <w:t>5</w:t>
            </w:r>
          </w:p>
        </w:tc>
        <w:tc>
          <w:tcPr>
            <w:tcW w:w="0" w:type="auto"/>
            <w:shd w:val="clear" w:color="auto" w:fill="FFFFFF"/>
            <w:vAlign w:val="center"/>
          </w:tcPr>
          <w:p>
            <w:pPr>
              <w:jc w:val="left"/>
            </w:pPr>
            <w:r>
              <w:drawing>
                <wp:inline distT="0" distB="0" distL="114300" distR="114300">
                  <wp:extent cx="19050" cy="114300"/>
                  <wp:effectExtent l="0" t="0" r="11430" b="7620"/>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pic:cNvPicPr>
                            <a:picLocks noChangeAspect="1"/>
                          </pic:cNvPicPr>
                        </pic:nvPicPr>
                        <pic:blipFill>
                          <a:blip r:embed="rId27"/>
                          <a:stretch>
                            <a:fillRect/>
                          </a:stretch>
                        </pic:blipFill>
                        <pic:spPr>
                          <a:xfrm>
                            <a:off x="0" y="0"/>
                            <a:ext cx="19050" cy="114300"/>
                          </a:xfrm>
                          <a:prstGeom prst="rect">
                            <a:avLst/>
                          </a:prstGeom>
                          <a:noFill/>
                          <a:ln>
                            <a:noFill/>
                          </a:ln>
                        </pic:spPr>
                      </pic:pic>
                    </a:graphicData>
                  </a:graphic>
                </wp:inline>
              </w:drawing>
            </w:r>
            <w:r>
              <w:drawing>
                <wp:inline distT="0" distB="0" distL="114300" distR="114300">
                  <wp:extent cx="1333500" cy="114300"/>
                  <wp:effectExtent l="0" t="0" r="7620" b="7620"/>
                  <wp:docPr id="1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5"/>
                          <pic:cNvPicPr>
                            <a:picLocks noChangeAspect="1"/>
                          </pic:cNvPicPr>
                        </pic:nvPicPr>
                        <pic:blipFill>
                          <a:blip r:embed="rId28"/>
                          <a:stretch>
                            <a:fillRect/>
                          </a:stretch>
                        </pic:blipFill>
                        <pic:spPr>
                          <a:xfrm>
                            <a:off x="0" y="0"/>
                            <a:ext cx="1333500" cy="114300"/>
                          </a:xfrm>
                          <a:prstGeom prst="rect">
                            <a:avLst/>
                          </a:prstGeom>
                          <a:noFill/>
                          <a:ln>
                            <a:noFill/>
                          </a:ln>
                        </pic:spPr>
                      </pic:pic>
                    </a:graphicData>
                  </a:graphic>
                </wp:inline>
              </w:drawing>
            </w:r>
            <w:r>
              <w:t>1.59%</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2分</w:t>
            </w:r>
          </w:p>
        </w:tc>
        <w:tc>
          <w:tcPr>
            <w:tcW w:w="0" w:type="auto"/>
            <w:shd w:val="clear" w:color="auto" w:fill="F9F9F9"/>
            <w:vAlign w:val="center"/>
          </w:tcPr>
          <w:p>
            <w:pPr>
              <w:jc w:val="center"/>
            </w:pPr>
            <w:r>
              <w:t>0</w:t>
            </w:r>
          </w:p>
        </w:tc>
        <w:tc>
          <w:tcPr>
            <w:tcW w:w="0" w:type="auto"/>
            <w:shd w:val="clear" w:color="auto" w:fill="F9F9F9"/>
            <w:vAlign w:val="center"/>
          </w:tcPr>
          <w:p>
            <w:pPr>
              <w:jc w:val="left"/>
            </w:pPr>
            <w:r>
              <w:drawing>
                <wp:inline distT="0" distB="0" distL="114300" distR="114300">
                  <wp:extent cx="1352550" cy="114300"/>
                  <wp:effectExtent l="0" t="0" r="3810" b="7620"/>
                  <wp:docPr id="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pic:cNvPicPr>
                            <a:picLocks noChangeAspect="1"/>
                          </pic:cNvPicPr>
                        </pic:nvPicPr>
                        <pic:blipFill>
                          <a:blip r:embed="rId8"/>
                          <a:stretch>
                            <a:fillRect/>
                          </a:stretch>
                        </pic:blipFill>
                        <pic:spPr>
                          <a:xfrm>
                            <a:off x="0" y="0"/>
                            <a:ext cx="1352550" cy="114300"/>
                          </a:xfrm>
                          <a:prstGeom prst="rect">
                            <a:avLst/>
                          </a:prstGeom>
                          <a:noFill/>
                          <a:ln>
                            <a:noFill/>
                          </a:ln>
                        </pic:spPr>
                      </pic:pic>
                    </a:graphicData>
                  </a:graphic>
                </wp:inline>
              </w:drawing>
            </w:r>
            <w:r>
              <w:t>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1分</w:t>
            </w:r>
          </w:p>
        </w:tc>
        <w:tc>
          <w:tcPr>
            <w:tcW w:w="0" w:type="auto"/>
            <w:shd w:val="clear" w:color="auto" w:fill="FFFFFF"/>
            <w:vAlign w:val="center"/>
          </w:tcPr>
          <w:p>
            <w:pPr>
              <w:jc w:val="center"/>
            </w:pPr>
            <w:r>
              <w:t>1</w:t>
            </w:r>
          </w:p>
        </w:tc>
        <w:tc>
          <w:tcPr>
            <w:tcW w:w="0" w:type="auto"/>
            <w:shd w:val="clear" w:color="auto" w:fill="FFFFFF"/>
            <w:vAlign w:val="center"/>
          </w:tcPr>
          <w:p>
            <w:pPr>
              <w:jc w:val="left"/>
            </w:pPr>
            <w:r>
              <w:drawing>
                <wp:inline distT="0" distB="0" distL="114300" distR="114300">
                  <wp:extent cx="1352550" cy="114300"/>
                  <wp:effectExtent l="0" t="0" r="3810" b="7620"/>
                  <wp:docPr id="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7"/>
                          <pic:cNvPicPr>
                            <a:picLocks noChangeAspect="1"/>
                          </pic:cNvPicPr>
                        </pic:nvPicPr>
                        <pic:blipFill>
                          <a:blip r:embed="rId8"/>
                          <a:stretch>
                            <a:fillRect/>
                          </a:stretch>
                        </pic:blipFill>
                        <pic:spPr>
                          <a:xfrm>
                            <a:off x="0" y="0"/>
                            <a:ext cx="1352550" cy="114300"/>
                          </a:xfrm>
                          <a:prstGeom prst="rect">
                            <a:avLst/>
                          </a:prstGeom>
                          <a:noFill/>
                          <a:ln>
                            <a:noFill/>
                          </a:ln>
                        </pic:spPr>
                      </pic:pic>
                    </a:graphicData>
                  </a:graphic>
                </wp:inline>
              </w:drawing>
            </w:r>
            <w:r>
              <w:t>0.32%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left"/>
            </w:pPr>
            <w:r>
              <w:t>本题有效填写人次</w:t>
            </w:r>
          </w:p>
        </w:tc>
        <w:tc>
          <w:tcPr>
            <w:tcW w:w="0" w:type="auto"/>
            <w:shd w:val="clear" w:color="auto" w:fill="E0E0E0"/>
            <w:vAlign w:val="center"/>
          </w:tcPr>
          <w:p>
            <w:pPr>
              <w:jc w:val="center"/>
            </w:pPr>
            <w:r>
              <w:t>314</w:t>
            </w:r>
          </w:p>
        </w:tc>
        <w:tc>
          <w:tcPr>
            <w:tcW w:w="0" w:type="auto"/>
            <w:shd w:val="clear" w:color="auto" w:fill="E0E0E0"/>
            <w:vAlign w:val="center"/>
          </w:tcPr>
          <w:p>
            <w:pPr>
              <w:jc w:val="left"/>
            </w:pPr>
          </w:p>
        </w:tc>
      </w:tr>
    </w:tbl>
    <w:p/>
    <w:p/>
    <w:p>
      <w:r>
        <w:rPr>
          <w:color w:val="000000"/>
          <w:sz w:val="24"/>
        </w:rPr>
        <w:t xml:space="preserve">4.您对该区域禁毒宣传的力度是否满意?5分表示最满意，1分表示最不满意，您打几分?    </w:t>
      </w:r>
      <w:r>
        <w:rPr>
          <w:color w:val="0066FF"/>
          <w:sz w:val="24"/>
        </w:rPr>
        <w:t>[单选题]</w:t>
      </w:r>
    </w:p>
    <w:p>
      <w:pPr>
        <w:rPr>
          <w:color w:val="0066FF"/>
          <w:sz w:val="24"/>
        </w:rPr>
      </w:pPr>
    </w:p>
    <w:tbl>
      <w:tblPr>
        <w:tblStyle w:val="1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3083"/>
        <w:gridCol w:w="1034"/>
        <w:gridCol w:w="4887"/>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5分</w:t>
            </w:r>
          </w:p>
        </w:tc>
        <w:tc>
          <w:tcPr>
            <w:tcW w:w="0" w:type="auto"/>
            <w:shd w:val="clear" w:color="auto" w:fill="FFFFFF"/>
            <w:vAlign w:val="center"/>
          </w:tcPr>
          <w:p>
            <w:pPr>
              <w:jc w:val="center"/>
            </w:pPr>
            <w:r>
              <w:t>288</w:t>
            </w:r>
          </w:p>
        </w:tc>
        <w:tc>
          <w:tcPr>
            <w:tcW w:w="0" w:type="auto"/>
            <w:shd w:val="clear" w:color="auto" w:fill="FFFFFF"/>
            <w:vAlign w:val="center"/>
          </w:tcPr>
          <w:p>
            <w:pPr>
              <w:jc w:val="left"/>
            </w:pPr>
            <w:r>
              <w:drawing>
                <wp:inline distT="0" distB="0" distL="114300" distR="114300">
                  <wp:extent cx="1238250" cy="114300"/>
                  <wp:effectExtent l="0" t="0" r="11430" b="7620"/>
                  <wp:docPr id="1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8"/>
                          <pic:cNvPicPr>
                            <a:picLocks noChangeAspect="1"/>
                          </pic:cNvPicPr>
                        </pic:nvPicPr>
                        <pic:blipFill>
                          <a:blip r:embed="rId29"/>
                          <a:stretch>
                            <a:fillRect/>
                          </a:stretch>
                        </pic:blipFill>
                        <pic:spPr>
                          <a:xfrm>
                            <a:off x="0" y="0"/>
                            <a:ext cx="1238250" cy="114300"/>
                          </a:xfrm>
                          <a:prstGeom prst="rect">
                            <a:avLst/>
                          </a:prstGeom>
                          <a:noFill/>
                          <a:ln>
                            <a:noFill/>
                          </a:ln>
                        </pic:spPr>
                      </pic:pic>
                    </a:graphicData>
                  </a:graphic>
                </wp:inline>
              </w:drawing>
            </w:r>
            <w:r>
              <w:drawing>
                <wp:inline distT="0" distB="0" distL="114300" distR="114300">
                  <wp:extent cx="114300" cy="114300"/>
                  <wp:effectExtent l="0" t="0" r="7620" b="7620"/>
                  <wp:docPr id="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9"/>
                          <pic:cNvPicPr>
                            <a:picLocks noChangeAspect="1"/>
                          </pic:cNvPicPr>
                        </pic:nvPicPr>
                        <pic:blipFill>
                          <a:blip r:embed="rId30"/>
                          <a:stretch>
                            <a:fillRect/>
                          </a:stretch>
                        </pic:blipFill>
                        <pic:spPr>
                          <a:xfrm>
                            <a:off x="0" y="0"/>
                            <a:ext cx="114300" cy="114300"/>
                          </a:xfrm>
                          <a:prstGeom prst="rect">
                            <a:avLst/>
                          </a:prstGeom>
                          <a:noFill/>
                          <a:ln>
                            <a:noFill/>
                          </a:ln>
                        </pic:spPr>
                      </pic:pic>
                    </a:graphicData>
                  </a:graphic>
                </wp:inline>
              </w:drawing>
            </w:r>
            <w:r>
              <w:t>91.72%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4分</w:t>
            </w:r>
          </w:p>
        </w:tc>
        <w:tc>
          <w:tcPr>
            <w:tcW w:w="0" w:type="auto"/>
            <w:shd w:val="clear" w:color="auto" w:fill="F9F9F9"/>
            <w:vAlign w:val="center"/>
          </w:tcPr>
          <w:p>
            <w:pPr>
              <w:jc w:val="center"/>
            </w:pPr>
            <w:r>
              <w:t>19</w:t>
            </w:r>
          </w:p>
        </w:tc>
        <w:tc>
          <w:tcPr>
            <w:tcW w:w="0" w:type="auto"/>
            <w:shd w:val="clear" w:color="auto" w:fill="F9F9F9"/>
            <w:vAlign w:val="center"/>
          </w:tcPr>
          <w:p>
            <w:pPr>
              <w:jc w:val="left"/>
            </w:pPr>
            <w:r>
              <w:drawing>
                <wp:inline distT="0" distB="0" distL="114300" distR="114300">
                  <wp:extent cx="76200" cy="114300"/>
                  <wp:effectExtent l="0" t="0" r="0" b="7620"/>
                  <wp:docPr id="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pic:cNvPicPr>
                            <a:picLocks noChangeAspect="1"/>
                          </pic:cNvPicPr>
                        </pic:nvPicPr>
                        <pic:blipFill>
                          <a:blip r:embed="rId31"/>
                          <a:stretch>
                            <a:fillRect/>
                          </a:stretch>
                        </pic:blipFill>
                        <pic:spPr>
                          <a:xfrm>
                            <a:off x="0" y="0"/>
                            <a:ext cx="76200" cy="114300"/>
                          </a:xfrm>
                          <a:prstGeom prst="rect">
                            <a:avLst/>
                          </a:prstGeom>
                          <a:noFill/>
                          <a:ln>
                            <a:noFill/>
                          </a:ln>
                        </pic:spPr>
                      </pic:pic>
                    </a:graphicData>
                  </a:graphic>
                </wp:inline>
              </w:drawing>
            </w:r>
            <w:r>
              <w:drawing>
                <wp:inline distT="0" distB="0" distL="114300" distR="114300">
                  <wp:extent cx="1276350" cy="114300"/>
                  <wp:effectExtent l="0" t="0" r="3810" b="7620"/>
                  <wp:docPr id="1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pic:cNvPicPr>
                            <a:picLocks noChangeAspect="1"/>
                          </pic:cNvPicPr>
                        </pic:nvPicPr>
                        <pic:blipFill>
                          <a:blip r:embed="rId32"/>
                          <a:stretch>
                            <a:fillRect/>
                          </a:stretch>
                        </pic:blipFill>
                        <pic:spPr>
                          <a:xfrm>
                            <a:off x="0" y="0"/>
                            <a:ext cx="1276350" cy="114300"/>
                          </a:xfrm>
                          <a:prstGeom prst="rect">
                            <a:avLst/>
                          </a:prstGeom>
                          <a:noFill/>
                          <a:ln>
                            <a:noFill/>
                          </a:ln>
                        </pic:spPr>
                      </pic:pic>
                    </a:graphicData>
                  </a:graphic>
                </wp:inline>
              </w:drawing>
            </w:r>
            <w:r>
              <w:t>6.05%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3分</w:t>
            </w:r>
          </w:p>
        </w:tc>
        <w:tc>
          <w:tcPr>
            <w:tcW w:w="0" w:type="auto"/>
            <w:shd w:val="clear" w:color="auto" w:fill="FFFFFF"/>
            <w:vAlign w:val="center"/>
          </w:tcPr>
          <w:p>
            <w:pPr>
              <w:jc w:val="center"/>
            </w:pPr>
            <w:r>
              <w:t>6</w:t>
            </w:r>
          </w:p>
        </w:tc>
        <w:tc>
          <w:tcPr>
            <w:tcW w:w="0" w:type="auto"/>
            <w:shd w:val="clear" w:color="auto" w:fill="FFFFFF"/>
            <w:vAlign w:val="center"/>
          </w:tcPr>
          <w:p>
            <w:pPr>
              <w:jc w:val="left"/>
            </w:pPr>
            <w:r>
              <w:drawing>
                <wp:inline distT="0" distB="0" distL="114300" distR="114300">
                  <wp:extent cx="19050" cy="114300"/>
                  <wp:effectExtent l="0" t="0" r="11430" b="7620"/>
                  <wp:docPr id="2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2"/>
                          <pic:cNvPicPr>
                            <a:picLocks noChangeAspect="1"/>
                          </pic:cNvPicPr>
                        </pic:nvPicPr>
                        <pic:blipFill>
                          <a:blip r:embed="rId27"/>
                          <a:stretch>
                            <a:fillRect/>
                          </a:stretch>
                        </pic:blipFill>
                        <pic:spPr>
                          <a:xfrm>
                            <a:off x="0" y="0"/>
                            <a:ext cx="19050" cy="114300"/>
                          </a:xfrm>
                          <a:prstGeom prst="rect">
                            <a:avLst/>
                          </a:prstGeom>
                          <a:noFill/>
                          <a:ln>
                            <a:noFill/>
                          </a:ln>
                        </pic:spPr>
                      </pic:pic>
                    </a:graphicData>
                  </a:graphic>
                </wp:inline>
              </w:drawing>
            </w:r>
            <w:r>
              <w:drawing>
                <wp:inline distT="0" distB="0" distL="114300" distR="114300">
                  <wp:extent cx="1333500" cy="114300"/>
                  <wp:effectExtent l="0" t="0" r="7620" b="7620"/>
                  <wp:docPr id="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
                          <pic:cNvPicPr>
                            <a:picLocks noChangeAspect="1"/>
                          </pic:cNvPicPr>
                        </pic:nvPicPr>
                        <pic:blipFill>
                          <a:blip r:embed="rId28"/>
                          <a:stretch>
                            <a:fillRect/>
                          </a:stretch>
                        </pic:blipFill>
                        <pic:spPr>
                          <a:xfrm>
                            <a:off x="0" y="0"/>
                            <a:ext cx="1333500" cy="114300"/>
                          </a:xfrm>
                          <a:prstGeom prst="rect">
                            <a:avLst/>
                          </a:prstGeom>
                          <a:noFill/>
                          <a:ln>
                            <a:noFill/>
                          </a:ln>
                        </pic:spPr>
                      </pic:pic>
                    </a:graphicData>
                  </a:graphic>
                </wp:inline>
              </w:drawing>
            </w:r>
            <w:r>
              <w:t>1.91%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9F9F9"/>
            <w:vAlign w:val="center"/>
          </w:tcPr>
          <w:p>
            <w:pPr>
              <w:jc w:val="left"/>
            </w:pPr>
            <w:r>
              <w:t>2分</w:t>
            </w:r>
          </w:p>
        </w:tc>
        <w:tc>
          <w:tcPr>
            <w:tcW w:w="0" w:type="auto"/>
            <w:shd w:val="clear" w:color="auto" w:fill="F9F9F9"/>
            <w:vAlign w:val="center"/>
          </w:tcPr>
          <w:p>
            <w:pPr>
              <w:jc w:val="center"/>
            </w:pPr>
            <w:r>
              <w:t>0</w:t>
            </w:r>
          </w:p>
        </w:tc>
        <w:tc>
          <w:tcPr>
            <w:tcW w:w="0" w:type="auto"/>
            <w:shd w:val="clear" w:color="auto" w:fill="F9F9F9"/>
            <w:vAlign w:val="center"/>
          </w:tcPr>
          <w:p>
            <w:pPr>
              <w:jc w:val="left"/>
            </w:pPr>
            <w:r>
              <w:drawing>
                <wp:inline distT="0" distB="0" distL="114300" distR="114300">
                  <wp:extent cx="1352550" cy="114300"/>
                  <wp:effectExtent l="0" t="0" r="3810" b="7620"/>
                  <wp:docPr id="1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4"/>
                          <pic:cNvPicPr>
                            <a:picLocks noChangeAspect="1"/>
                          </pic:cNvPicPr>
                        </pic:nvPicPr>
                        <pic:blipFill>
                          <a:blip r:embed="rId8"/>
                          <a:stretch>
                            <a:fillRect/>
                          </a:stretch>
                        </pic:blipFill>
                        <pic:spPr>
                          <a:xfrm>
                            <a:off x="0" y="0"/>
                            <a:ext cx="1352550" cy="114300"/>
                          </a:xfrm>
                          <a:prstGeom prst="rect">
                            <a:avLst/>
                          </a:prstGeom>
                          <a:noFill/>
                          <a:ln>
                            <a:noFill/>
                          </a:ln>
                        </pic:spPr>
                      </pic:pic>
                    </a:graphicData>
                  </a:graphic>
                </wp:inline>
              </w:drawing>
            </w:r>
            <w:r>
              <w:t>0%</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FFFFFF"/>
            <w:vAlign w:val="center"/>
          </w:tcPr>
          <w:p>
            <w:pPr>
              <w:jc w:val="left"/>
            </w:pPr>
            <w:r>
              <w:t>1分</w:t>
            </w:r>
          </w:p>
        </w:tc>
        <w:tc>
          <w:tcPr>
            <w:tcW w:w="0" w:type="auto"/>
            <w:shd w:val="clear" w:color="auto" w:fill="FFFFFF"/>
            <w:vAlign w:val="center"/>
          </w:tcPr>
          <w:p>
            <w:pPr>
              <w:jc w:val="center"/>
            </w:pPr>
            <w:r>
              <w:t>1</w:t>
            </w:r>
          </w:p>
        </w:tc>
        <w:tc>
          <w:tcPr>
            <w:tcW w:w="0" w:type="auto"/>
            <w:shd w:val="clear" w:color="auto" w:fill="FFFFFF"/>
            <w:vAlign w:val="center"/>
          </w:tcPr>
          <w:p>
            <w:pPr>
              <w:jc w:val="left"/>
            </w:pPr>
            <w:r>
              <w:drawing>
                <wp:inline distT="0" distB="0" distL="114300" distR="114300">
                  <wp:extent cx="1352550" cy="114300"/>
                  <wp:effectExtent l="0" t="0" r="3810" b="7620"/>
                  <wp:docPr id="2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5"/>
                          <pic:cNvPicPr>
                            <a:picLocks noChangeAspect="1"/>
                          </pic:cNvPicPr>
                        </pic:nvPicPr>
                        <pic:blipFill>
                          <a:blip r:embed="rId8"/>
                          <a:stretch>
                            <a:fillRect/>
                          </a:stretch>
                        </pic:blipFill>
                        <pic:spPr>
                          <a:xfrm>
                            <a:off x="0" y="0"/>
                            <a:ext cx="1352550" cy="114300"/>
                          </a:xfrm>
                          <a:prstGeom prst="rect">
                            <a:avLst/>
                          </a:prstGeom>
                          <a:noFill/>
                          <a:ln>
                            <a:noFill/>
                          </a:ln>
                        </pic:spPr>
                      </pic:pic>
                    </a:graphicData>
                  </a:graphic>
                </wp:inline>
              </w:drawing>
            </w:r>
            <w:r>
              <w:t>0.32%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500" w:hRule="atLeast"/>
        </w:trPr>
        <w:tc>
          <w:tcPr>
            <w:tcW w:w="0" w:type="auto"/>
            <w:shd w:val="clear" w:color="auto" w:fill="E0E0E0"/>
            <w:vAlign w:val="center"/>
          </w:tcPr>
          <w:p>
            <w:pPr>
              <w:jc w:val="left"/>
            </w:pPr>
            <w:r>
              <w:t>本题有效填写人次</w:t>
            </w:r>
          </w:p>
        </w:tc>
        <w:tc>
          <w:tcPr>
            <w:tcW w:w="0" w:type="auto"/>
            <w:shd w:val="clear" w:color="auto" w:fill="E0E0E0"/>
            <w:vAlign w:val="center"/>
          </w:tcPr>
          <w:p>
            <w:pPr>
              <w:jc w:val="center"/>
            </w:pPr>
            <w:r>
              <w:t>314</w:t>
            </w:r>
          </w:p>
        </w:tc>
        <w:tc>
          <w:tcPr>
            <w:tcW w:w="0" w:type="auto"/>
            <w:shd w:val="clear" w:color="auto" w:fill="E0E0E0"/>
            <w:vAlign w:val="center"/>
          </w:tcPr>
          <w:p>
            <w:pPr>
              <w:jc w:val="left"/>
            </w:pPr>
          </w:p>
        </w:tc>
      </w:tr>
    </w:tbl>
    <w:p/>
    <w:p/>
    <w:p/>
    <w:p>
      <w:pPr>
        <w:spacing w:line="360" w:lineRule="auto"/>
        <w:ind w:left="-263" w:leftChars="-125"/>
        <w:rPr>
          <w:rFonts w:ascii="宋体" w:hAnsi="宋体" w:cs="宋体"/>
          <w:sz w:val="24"/>
        </w:rPr>
      </w:pPr>
    </w:p>
    <w:sectPr>
      <w:footerReference r:id="rId4" w:type="default"/>
      <w:footnotePr>
        <w:numFmt w:val="decimalEnclosedCircleChinese"/>
        <w:numRestart w:val="eachPage"/>
      </w:footnotePr>
      <w:pgSz w:w="11906" w:h="16838"/>
      <w:pgMar w:top="1417" w:right="1417" w:bottom="1417"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9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6"/>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17</w:t>
                </w:r>
                <w:r>
                  <w:rPr>
                    <w:rFonts w:hint="eastAsia" w:ascii="宋体" w:hAnsi="宋体" w:eastAsia="宋体" w:cs="宋体"/>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1F23E"/>
    <w:multiLevelType w:val="singleLevel"/>
    <w:tmpl w:val="FCD1F23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8035D"/>
    <w:rsid w:val="00060E95"/>
    <w:rsid w:val="00183D07"/>
    <w:rsid w:val="006023B3"/>
    <w:rsid w:val="007C2EC5"/>
    <w:rsid w:val="00B8035D"/>
    <w:rsid w:val="00CF3F07"/>
    <w:rsid w:val="00D70C86"/>
    <w:rsid w:val="00D81F7D"/>
    <w:rsid w:val="00E253B5"/>
    <w:rsid w:val="01DB06D1"/>
    <w:rsid w:val="071F0099"/>
    <w:rsid w:val="0E733A2F"/>
    <w:rsid w:val="11083F44"/>
    <w:rsid w:val="13673768"/>
    <w:rsid w:val="13791B71"/>
    <w:rsid w:val="14CB5BD7"/>
    <w:rsid w:val="14EA5CB4"/>
    <w:rsid w:val="16964761"/>
    <w:rsid w:val="18C95D37"/>
    <w:rsid w:val="18D02697"/>
    <w:rsid w:val="19030131"/>
    <w:rsid w:val="1A895C60"/>
    <w:rsid w:val="1AA91C3D"/>
    <w:rsid w:val="1B432C2A"/>
    <w:rsid w:val="1B85254B"/>
    <w:rsid w:val="1BC01A6C"/>
    <w:rsid w:val="1D282C70"/>
    <w:rsid w:val="1E962388"/>
    <w:rsid w:val="1F245857"/>
    <w:rsid w:val="214E532C"/>
    <w:rsid w:val="24D24074"/>
    <w:rsid w:val="27786057"/>
    <w:rsid w:val="28C141D0"/>
    <w:rsid w:val="28F87293"/>
    <w:rsid w:val="296D0C60"/>
    <w:rsid w:val="2B642A9C"/>
    <w:rsid w:val="2B9C7BA8"/>
    <w:rsid w:val="2F8D7255"/>
    <w:rsid w:val="323D2D49"/>
    <w:rsid w:val="32775B12"/>
    <w:rsid w:val="32C33595"/>
    <w:rsid w:val="3391694B"/>
    <w:rsid w:val="33F36356"/>
    <w:rsid w:val="34162C4C"/>
    <w:rsid w:val="352C78C9"/>
    <w:rsid w:val="361817FA"/>
    <w:rsid w:val="362F41B3"/>
    <w:rsid w:val="36E235C7"/>
    <w:rsid w:val="3AB12C30"/>
    <w:rsid w:val="3B000D9D"/>
    <w:rsid w:val="3CB4149E"/>
    <w:rsid w:val="3F21218A"/>
    <w:rsid w:val="3FC1382D"/>
    <w:rsid w:val="41F51012"/>
    <w:rsid w:val="430C255B"/>
    <w:rsid w:val="44690966"/>
    <w:rsid w:val="467F5FF3"/>
    <w:rsid w:val="46B00F79"/>
    <w:rsid w:val="490732AE"/>
    <w:rsid w:val="491611C6"/>
    <w:rsid w:val="4A4D5F33"/>
    <w:rsid w:val="4A975B59"/>
    <w:rsid w:val="4C7D3B4E"/>
    <w:rsid w:val="4C90637D"/>
    <w:rsid w:val="4F1A204F"/>
    <w:rsid w:val="5286654C"/>
    <w:rsid w:val="528C6879"/>
    <w:rsid w:val="52A645F7"/>
    <w:rsid w:val="53CD2E7F"/>
    <w:rsid w:val="540B3095"/>
    <w:rsid w:val="58FC6EE7"/>
    <w:rsid w:val="596958A5"/>
    <w:rsid w:val="5CD13A77"/>
    <w:rsid w:val="5DEB7A81"/>
    <w:rsid w:val="5F16109E"/>
    <w:rsid w:val="62B6357A"/>
    <w:rsid w:val="63591624"/>
    <w:rsid w:val="647E68B3"/>
    <w:rsid w:val="652E3EA1"/>
    <w:rsid w:val="68164311"/>
    <w:rsid w:val="689021D0"/>
    <w:rsid w:val="6A5D38AE"/>
    <w:rsid w:val="6B400DE3"/>
    <w:rsid w:val="6C090032"/>
    <w:rsid w:val="6D48245B"/>
    <w:rsid w:val="6E2976D6"/>
    <w:rsid w:val="6ED246D2"/>
    <w:rsid w:val="6F24633A"/>
    <w:rsid w:val="705947DE"/>
    <w:rsid w:val="70BD3DF9"/>
    <w:rsid w:val="729C6F23"/>
    <w:rsid w:val="72DA4883"/>
    <w:rsid w:val="747961B7"/>
    <w:rsid w:val="75A43337"/>
    <w:rsid w:val="772D1155"/>
    <w:rsid w:val="780932AF"/>
    <w:rsid w:val="796C592B"/>
    <w:rsid w:val="79E876D1"/>
    <w:rsid w:val="7C2271E5"/>
    <w:rsid w:val="7C5D1CD7"/>
    <w:rsid w:val="7F9B7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ind w:firstLine="482"/>
      <w:outlineLvl w:val="1"/>
    </w:pPr>
    <w:rPr>
      <w:b/>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Balloon Text"/>
    <w:basedOn w:val="1"/>
    <w:link w:val="2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link w:val="20"/>
    <w:qFormat/>
    <w:uiPriority w:val="0"/>
    <w:pPr>
      <w:jc w:val="center"/>
    </w:pPr>
    <w:rPr>
      <w:rFonts w:eastAsia="宋体"/>
      <w:b/>
      <w:sz w:val="2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0"/>
    <w:pPr>
      <w:ind w:firstLine="420" w:firstLineChars="200"/>
    </w:pPr>
    <w:rPr>
      <w:rFonts w:eastAsia="宋体"/>
      <w:b/>
      <w:sz w:val="2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footnote reference"/>
    <w:basedOn w:val="14"/>
    <w:qFormat/>
    <w:uiPriority w:val="0"/>
    <w:rPr>
      <w:vertAlign w:val="superscript"/>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0">
    <w:name w:val="目录 1 Char"/>
    <w:link w:val="8"/>
    <w:qFormat/>
    <w:uiPriority w:val="0"/>
    <w:rPr>
      <w:rFonts w:eastAsia="宋体" w:asciiTheme="minorHAnsi" w:hAnsiTheme="minorHAnsi"/>
      <w:b/>
      <w:sz w:val="28"/>
    </w:rPr>
  </w:style>
  <w:style w:type="paragraph" w:customStyle="1" w:styleId="21">
    <w:name w:val="正文二"/>
    <w:basedOn w:val="1"/>
    <w:qFormat/>
    <w:uiPriority w:val="0"/>
    <w:rPr>
      <w:rFonts w:eastAsia="仿宋_GB2312" w:asciiTheme="majorEastAsia" w:hAnsiTheme="majorEastAsia"/>
    </w:rPr>
  </w:style>
  <w:style w:type="character" w:customStyle="1" w:styleId="22">
    <w:name w:val="批注框文本 Char"/>
    <w:basedOn w:val="14"/>
    <w:link w:val="5"/>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27</Pages>
  <Words>3091</Words>
  <Characters>17622</Characters>
  <Lines>146</Lines>
  <Paragraphs>41</Paragraphs>
  <TotalTime>2</TotalTime>
  <ScaleCrop>false</ScaleCrop>
  <LinksUpToDate>false</LinksUpToDate>
  <CharactersWithSpaces>20672</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ychen</dc:creator>
  <cp:lastModifiedBy>MOMO</cp:lastModifiedBy>
  <cp:lastPrinted>2020-08-11T09:29:00Z</cp:lastPrinted>
  <dcterms:modified xsi:type="dcterms:W3CDTF">2020-12-27T13:54:13Z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