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20" w:leftChars="200" w:right="0" w:rightChars="0"/>
        <w:jc w:val="center"/>
        <w:textAlignment w:val="auto"/>
        <w:rPr>
          <w:rFonts w:hint="eastAsia" w:ascii="黑体" w:hAnsi="黑体" w:eastAsia="黑体"/>
          <w:b/>
          <w:color w:val="000000"/>
          <w:kern w:val="0"/>
          <w:sz w:val="52"/>
          <w:szCs w:val="52"/>
        </w:rPr>
      </w:pPr>
      <w:r>
        <w:rPr>
          <w:rFonts w:hint="eastAsia" w:ascii="黑体" w:hAnsi="黑体" w:eastAsia="黑体"/>
          <w:b/>
          <w:color w:val="000000"/>
          <w:kern w:val="0"/>
          <w:sz w:val="52"/>
          <w:szCs w:val="52"/>
        </w:rPr>
        <w:t>泉州市丰泽区201</w:t>
      </w:r>
      <w:r>
        <w:rPr>
          <w:rFonts w:hint="eastAsia" w:ascii="黑体" w:hAnsi="黑体" w:eastAsia="黑体"/>
          <w:b/>
          <w:color w:val="000000"/>
          <w:kern w:val="0"/>
          <w:sz w:val="52"/>
          <w:szCs w:val="52"/>
          <w:lang w:val="en-US" w:eastAsia="zh-CN"/>
        </w:rPr>
        <w:t>9</w:t>
      </w:r>
      <w:r>
        <w:rPr>
          <w:rFonts w:hint="eastAsia" w:ascii="黑体" w:hAnsi="黑体" w:eastAsia="黑体"/>
          <w:b/>
          <w:color w:val="000000"/>
          <w:kern w:val="0"/>
          <w:sz w:val="52"/>
          <w:szCs w:val="52"/>
        </w:rPr>
        <w:t>年度扶持企业科技基金及扶持企业发展专项基金</w:t>
      </w:r>
    </w:p>
    <w:p>
      <w:pPr>
        <w:keepNext w:val="0"/>
        <w:keepLines w:val="0"/>
        <w:pageBreakBefore w:val="0"/>
        <w:widowControl w:val="0"/>
        <w:kinsoku/>
        <w:wordWrap/>
        <w:overflowPunct/>
        <w:topLinePunct w:val="0"/>
        <w:autoSpaceDE/>
        <w:autoSpaceDN/>
        <w:bidi w:val="0"/>
        <w:adjustRightInd/>
        <w:snapToGrid/>
        <w:spacing w:line="720" w:lineRule="auto"/>
        <w:ind w:left="420" w:leftChars="200" w:right="0" w:rightChars="0"/>
        <w:jc w:val="center"/>
        <w:textAlignment w:val="auto"/>
        <w:rPr>
          <w:rFonts w:hint="eastAsia" w:ascii="黑体" w:hAnsi="黑体" w:eastAsia="黑体"/>
          <w:b/>
          <w:color w:val="000000"/>
          <w:kern w:val="0"/>
          <w:sz w:val="52"/>
          <w:szCs w:val="52"/>
        </w:rPr>
      </w:pPr>
      <w:r>
        <w:rPr>
          <w:rFonts w:hint="eastAsia" w:ascii="黑体" w:hAnsi="黑体" w:eastAsia="黑体"/>
          <w:b/>
          <w:color w:val="000000"/>
          <w:kern w:val="0"/>
          <w:sz w:val="52"/>
          <w:szCs w:val="52"/>
        </w:rPr>
        <w:t>绩效评价报告</w:t>
      </w:r>
    </w:p>
    <w:p>
      <w:pPr>
        <w:spacing w:line="720" w:lineRule="auto"/>
        <w:rPr>
          <w:rFonts w:ascii="宋体"/>
          <w:color w:val="000000"/>
          <w:sz w:val="24"/>
        </w:rPr>
      </w:pPr>
    </w:p>
    <w:p>
      <w:pPr>
        <w:spacing w:line="360" w:lineRule="auto"/>
        <w:rPr>
          <w:rFonts w:ascii="宋体"/>
          <w:color w:val="000000"/>
          <w:sz w:val="24"/>
        </w:rPr>
      </w:pPr>
    </w:p>
    <w:p>
      <w:pPr>
        <w:spacing w:line="720" w:lineRule="auto"/>
        <w:jc w:val="left"/>
        <w:rPr>
          <w:rFonts w:ascii="宋体"/>
          <w:color w:val="000000"/>
          <w:sz w:val="24"/>
        </w:rPr>
      </w:pPr>
    </w:p>
    <w:p>
      <w:pPr>
        <w:spacing w:line="960" w:lineRule="auto"/>
        <w:jc w:val="left"/>
        <w:rPr>
          <w:rFonts w:hint="default" w:ascii="黑体" w:eastAsia="黑体"/>
          <w:bCs/>
          <w:sz w:val="32"/>
          <w:szCs w:val="32"/>
          <w:u w:val="single"/>
          <w:lang w:val="en-US" w:eastAsia="zh-CN"/>
        </w:rPr>
      </w:pPr>
      <w:r>
        <w:rPr>
          <w:rFonts w:hint="eastAsia" w:ascii="黑体" w:eastAsia="黑体"/>
          <w:bCs/>
          <w:sz w:val="32"/>
          <w:szCs w:val="32"/>
        </w:rPr>
        <w:t>项 目 名 称 ：</w:t>
      </w:r>
      <w:r>
        <w:rPr>
          <w:rFonts w:hint="eastAsia" w:ascii="黑体" w:eastAsia="黑体"/>
          <w:bCs/>
          <w:sz w:val="32"/>
          <w:szCs w:val="32"/>
          <w:u w:val="single"/>
          <w:lang w:val="en-US" w:eastAsia="zh-CN"/>
        </w:rPr>
        <w:t xml:space="preserve"> 扶持企业科技基金及扶持企业发展专项基金 </w:t>
      </w:r>
    </w:p>
    <w:p>
      <w:pPr>
        <w:spacing w:line="960" w:lineRule="auto"/>
        <w:rPr>
          <w:rFonts w:ascii="黑体" w:eastAsia="黑体"/>
          <w:bCs/>
          <w:sz w:val="32"/>
          <w:szCs w:val="32"/>
          <w:u w:val="single"/>
        </w:rPr>
      </w:pPr>
      <w:r>
        <w:rPr>
          <w:rFonts w:hint="eastAsia" w:ascii="黑体" w:eastAsia="黑体"/>
          <w:bCs/>
          <w:sz w:val="32"/>
          <w:szCs w:val="32"/>
        </w:rPr>
        <w:t>项目实施单位：</w:t>
      </w:r>
      <w:r>
        <w:rPr>
          <w:rFonts w:hint="eastAsia" w:ascii="黑体" w:eastAsia="黑体"/>
          <w:bCs/>
          <w:sz w:val="32"/>
          <w:szCs w:val="32"/>
          <w:u w:val="single"/>
        </w:rPr>
        <w:t xml:space="preserve">      </w:t>
      </w:r>
      <w:r>
        <w:rPr>
          <w:rFonts w:hint="eastAsia" w:ascii="黑体" w:eastAsia="黑体"/>
          <w:bCs/>
          <w:sz w:val="32"/>
          <w:szCs w:val="32"/>
          <w:u w:val="single"/>
          <w:lang w:val="en-US" w:eastAsia="zh-CN"/>
        </w:rPr>
        <w:t xml:space="preserve">  </w:t>
      </w:r>
      <w:r>
        <w:rPr>
          <w:rFonts w:hint="eastAsia" w:ascii="黑体" w:eastAsia="黑体"/>
          <w:bCs/>
          <w:sz w:val="32"/>
          <w:szCs w:val="32"/>
          <w:u w:val="single"/>
        </w:rPr>
        <w:t xml:space="preserve">  泉州市丰泽区财政局  </w:t>
      </w:r>
      <w:r>
        <w:rPr>
          <w:rFonts w:hint="eastAsia" w:ascii="黑体" w:eastAsia="黑体"/>
          <w:bCs/>
          <w:sz w:val="32"/>
          <w:szCs w:val="32"/>
          <w:u w:val="single"/>
          <w:lang w:val="en-US" w:eastAsia="zh-CN"/>
        </w:rPr>
        <w:t xml:space="preserve">  </w:t>
      </w:r>
      <w:r>
        <w:rPr>
          <w:rFonts w:hint="eastAsia" w:ascii="黑体" w:eastAsia="黑体"/>
          <w:bCs/>
          <w:sz w:val="32"/>
          <w:szCs w:val="32"/>
          <w:u w:val="single"/>
        </w:rPr>
        <w:t xml:space="preserve">        </w:t>
      </w:r>
    </w:p>
    <w:p>
      <w:pPr>
        <w:spacing w:line="960" w:lineRule="auto"/>
        <w:rPr>
          <w:rFonts w:ascii="黑体" w:eastAsia="黑体"/>
          <w:bCs/>
          <w:sz w:val="32"/>
          <w:szCs w:val="32"/>
        </w:rPr>
      </w:pPr>
      <w:r>
        <w:rPr>
          <w:rFonts w:hint="eastAsia" w:ascii="黑体" w:eastAsia="黑体"/>
          <w:bCs/>
          <w:sz w:val="32"/>
          <w:szCs w:val="32"/>
        </w:rPr>
        <w:t>委 托 单 位 ：</w:t>
      </w:r>
      <w:r>
        <w:rPr>
          <w:rFonts w:hint="eastAsia" w:ascii="黑体" w:eastAsia="黑体"/>
          <w:bCs/>
          <w:sz w:val="32"/>
          <w:szCs w:val="32"/>
          <w:u w:val="single"/>
        </w:rPr>
        <w:t xml:space="preserve">          泉州市丰泽区财政局 </w:t>
      </w:r>
      <w:r>
        <w:rPr>
          <w:rFonts w:hint="eastAsia" w:ascii="黑体" w:eastAsia="黑体"/>
          <w:bCs/>
          <w:sz w:val="32"/>
          <w:szCs w:val="32"/>
          <w:u w:val="single"/>
          <w:lang w:val="en-US" w:eastAsia="zh-CN"/>
        </w:rPr>
        <w:t xml:space="preserve"> </w:t>
      </w:r>
      <w:r>
        <w:rPr>
          <w:rFonts w:hint="eastAsia" w:ascii="黑体" w:eastAsia="黑体"/>
          <w:bCs/>
          <w:sz w:val="32"/>
          <w:szCs w:val="32"/>
          <w:u w:val="single"/>
        </w:rPr>
        <w:t xml:space="preserve">          </w:t>
      </w:r>
    </w:p>
    <w:p>
      <w:pPr>
        <w:spacing w:line="960" w:lineRule="auto"/>
        <w:rPr>
          <w:rFonts w:ascii="黑体" w:eastAsia="黑体"/>
          <w:bCs/>
          <w:sz w:val="32"/>
          <w:szCs w:val="32"/>
        </w:rPr>
      </w:pPr>
      <w:r>
        <w:rPr>
          <w:rFonts w:hint="eastAsia" w:ascii="黑体" w:eastAsia="黑体"/>
          <w:bCs/>
          <w:sz w:val="32"/>
          <w:szCs w:val="32"/>
        </w:rPr>
        <w:t>评 价 机 构 ：</w:t>
      </w:r>
      <w:r>
        <w:rPr>
          <w:rFonts w:hint="eastAsia" w:ascii="黑体" w:eastAsia="黑体"/>
          <w:bCs/>
          <w:sz w:val="32"/>
          <w:szCs w:val="32"/>
          <w:u w:val="single"/>
        </w:rPr>
        <w:t xml:space="preserve">      集美大学地方财政绩效研究中心 </w:t>
      </w:r>
      <w:r>
        <w:rPr>
          <w:rFonts w:hint="eastAsia" w:ascii="黑体" w:eastAsia="黑体"/>
          <w:bCs/>
          <w:sz w:val="32"/>
          <w:szCs w:val="32"/>
          <w:u w:val="single"/>
          <w:lang w:val="en-US" w:eastAsia="zh-CN"/>
        </w:rPr>
        <w:t xml:space="preserve"> </w:t>
      </w:r>
      <w:r>
        <w:rPr>
          <w:rFonts w:hint="eastAsia" w:ascii="黑体" w:eastAsia="黑体"/>
          <w:bCs/>
          <w:sz w:val="32"/>
          <w:szCs w:val="32"/>
          <w:u w:val="single"/>
        </w:rPr>
        <w:t xml:space="preserve">    </w:t>
      </w: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年1</w:t>
      </w:r>
      <w:r>
        <w:rPr>
          <w:rFonts w:hint="eastAsia" w:ascii="宋体" w:hAnsi="宋体"/>
          <w:b/>
          <w:sz w:val="30"/>
          <w:szCs w:val="30"/>
          <w:lang w:val="en-US" w:eastAsia="zh-CN"/>
        </w:rPr>
        <w:t>2</w:t>
      </w:r>
      <w:r>
        <w:rPr>
          <w:rFonts w:hint="eastAsia" w:ascii="宋体" w:hAnsi="宋体"/>
          <w:b/>
          <w:sz w:val="30"/>
          <w:szCs w:val="30"/>
        </w:rPr>
        <w:t>月</w:t>
      </w:r>
      <w:r>
        <w:rPr>
          <w:rFonts w:hint="eastAsia" w:ascii="宋体" w:hAnsi="宋体"/>
          <w:b/>
          <w:sz w:val="30"/>
          <w:szCs w:val="30"/>
          <w:lang w:val="en-US" w:eastAsia="zh-CN"/>
        </w:rPr>
        <w:t>3</w:t>
      </w:r>
      <w:r>
        <w:rPr>
          <w:rFonts w:hint="eastAsia" w:ascii="宋体" w:hAnsi="宋体"/>
          <w:b/>
          <w:sz w:val="30"/>
          <w:szCs w:val="30"/>
        </w:rPr>
        <w:t>日</w:t>
      </w:r>
    </w:p>
    <w:p>
      <w:pPr>
        <w:jc w:val="center"/>
        <w:rPr>
          <w:rFonts w:ascii="宋体" w:hAnsi="宋体"/>
          <w:b/>
          <w:sz w:val="30"/>
          <w:szCs w:val="30"/>
        </w:rPr>
      </w:pPr>
    </w:p>
    <w:p>
      <w:pPr>
        <w:jc w:val="center"/>
        <w:rPr>
          <w:rFonts w:ascii="宋体" w:hAnsi="宋体"/>
          <w:b/>
          <w:sz w:val="30"/>
          <w:szCs w:val="30"/>
        </w:rPr>
      </w:pPr>
    </w:p>
    <w:p>
      <w:pPr>
        <w:spacing w:line="760" w:lineRule="exact"/>
        <w:jc w:val="center"/>
        <w:rPr>
          <w:rFonts w:ascii="黑体" w:eastAsia="黑体"/>
          <w:b/>
          <w:color w:val="000000"/>
          <w:sz w:val="44"/>
          <w:szCs w:val="44"/>
        </w:rPr>
      </w:pPr>
    </w:p>
    <w:p>
      <w:pPr>
        <w:spacing w:line="760" w:lineRule="exact"/>
        <w:jc w:val="center"/>
        <w:rPr>
          <w:rFonts w:ascii="黑体" w:eastAsia="黑体"/>
          <w:b/>
          <w:color w:val="000000"/>
          <w:sz w:val="44"/>
          <w:szCs w:val="44"/>
        </w:rPr>
      </w:pPr>
      <w:r>
        <w:rPr>
          <w:rFonts w:hint="eastAsia" w:ascii="黑体" w:eastAsia="黑体"/>
          <w:b/>
          <w:color w:val="000000"/>
          <w:sz w:val="44"/>
          <w:szCs w:val="44"/>
        </w:rPr>
        <w:t>绩效评价工作组主要成员</w:t>
      </w:r>
    </w:p>
    <w:p>
      <w:pPr>
        <w:jc w:val="center"/>
        <w:rPr>
          <w:rFonts w:ascii="宋体" w:hAnsi="宋体"/>
          <w:b/>
          <w:sz w:val="30"/>
          <w:szCs w:val="30"/>
        </w:rPr>
      </w:pPr>
    </w:p>
    <w:p>
      <w:pPr>
        <w:jc w:val="center"/>
        <w:rPr>
          <w:rFonts w:ascii="宋体" w:hAnsi="宋体"/>
          <w:b/>
          <w:sz w:val="30"/>
          <w:szCs w:val="30"/>
        </w:rPr>
      </w:pPr>
    </w:p>
    <w:p>
      <w:pPr>
        <w:spacing w:line="760" w:lineRule="exact"/>
        <w:jc w:val="center"/>
        <w:rPr>
          <w:rFonts w:ascii="宋体" w:hAnsi="宋体"/>
          <w:sz w:val="32"/>
          <w:szCs w:val="32"/>
        </w:rPr>
      </w:pPr>
      <w:r>
        <w:rPr>
          <w:rFonts w:hint="eastAsia" w:ascii="宋体" w:hAnsi="宋体"/>
          <w:sz w:val="32"/>
          <w:szCs w:val="32"/>
        </w:rPr>
        <w:t>王  平      集美大学财经学院     副教授</w:t>
      </w:r>
    </w:p>
    <w:p>
      <w:pPr>
        <w:spacing w:line="760" w:lineRule="exact"/>
        <w:jc w:val="center"/>
        <w:rPr>
          <w:rFonts w:ascii="宋体" w:hAnsi="宋体"/>
          <w:sz w:val="32"/>
          <w:szCs w:val="32"/>
        </w:rPr>
      </w:pPr>
      <w:r>
        <w:rPr>
          <w:rFonts w:hint="eastAsia" w:ascii="宋体" w:hAnsi="宋体"/>
          <w:sz w:val="32"/>
          <w:szCs w:val="32"/>
          <w:lang w:val="en-US" w:eastAsia="zh-CN"/>
        </w:rPr>
        <w:t>张轶岚</w:t>
      </w:r>
      <w:r>
        <w:rPr>
          <w:rFonts w:hint="eastAsia" w:ascii="宋体" w:hAnsi="宋体"/>
          <w:sz w:val="32"/>
          <w:szCs w:val="32"/>
        </w:rPr>
        <w:t xml:space="preserve">      集美大学财经学院     讲  师</w:t>
      </w:r>
    </w:p>
    <w:p>
      <w:pPr>
        <w:spacing w:line="760" w:lineRule="exact"/>
        <w:jc w:val="center"/>
        <w:rPr>
          <w:rFonts w:ascii="宋体" w:hAnsi="宋体"/>
          <w:sz w:val="32"/>
          <w:szCs w:val="32"/>
        </w:rPr>
      </w:pPr>
      <w:r>
        <w:rPr>
          <w:rFonts w:hint="eastAsia" w:ascii="宋体" w:hAnsi="宋体"/>
          <w:sz w:val="32"/>
          <w:szCs w:val="32"/>
          <w:lang w:val="en-US" w:eastAsia="zh-CN"/>
        </w:rPr>
        <w:t>魏</w:t>
      </w:r>
      <w:r>
        <w:rPr>
          <w:rFonts w:hint="eastAsia" w:ascii="宋体" w:hAnsi="宋体"/>
          <w:sz w:val="32"/>
          <w:szCs w:val="32"/>
        </w:rPr>
        <w:t xml:space="preserve">  </w:t>
      </w:r>
      <w:r>
        <w:rPr>
          <w:rFonts w:hint="eastAsia" w:ascii="宋体" w:hAnsi="宋体"/>
          <w:sz w:val="32"/>
          <w:szCs w:val="32"/>
          <w:lang w:val="en-US" w:eastAsia="zh-CN"/>
        </w:rPr>
        <w:t>洁</w:t>
      </w:r>
      <w:r>
        <w:rPr>
          <w:rFonts w:hint="eastAsia" w:ascii="宋体" w:hAnsi="宋体"/>
          <w:sz w:val="32"/>
          <w:szCs w:val="32"/>
        </w:rPr>
        <w:t xml:space="preserve">      集美大学财经学院     副教授</w:t>
      </w:r>
    </w:p>
    <w:p>
      <w:pPr>
        <w:tabs>
          <w:tab w:val="left" w:pos="6300"/>
        </w:tabs>
        <w:spacing w:line="760" w:lineRule="exact"/>
        <w:jc w:val="center"/>
        <w:rPr>
          <w:rFonts w:ascii="宋体" w:hAnsi="宋体"/>
          <w:sz w:val="32"/>
          <w:szCs w:val="32"/>
        </w:rPr>
      </w:pPr>
      <w:r>
        <w:rPr>
          <w:rFonts w:hint="eastAsia" w:ascii="宋体" w:hAnsi="宋体"/>
          <w:sz w:val="32"/>
          <w:szCs w:val="32"/>
          <w:lang w:val="en-US" w:eastAsia="zh-CN"/>
        </w:rPr>
        <w:t>张美荣</w:t>
      </w:r>
      <w:r>
        <w:rPr>
          <w:rFonts w:hint="eastAsia" w:ascii="宋体" w:hAnsi="宋体"/>
          <w:sz w:val="32"/>
          <w:szCs w:val="32"/>
        </w:rPr>
        <w:t xml:space="preserve">      集美大学财经学院     讲  师</w:t>
      </w:r>
    </w:p>
    <w:p>
      <w:pPr>
        <w:rPr>
          <w:rFonts w:ascii="宋体" w:hAnsi="宋体"/>
          <w:b/>
          <w:sz w:val="32"/>
          <w:szCs w:val="32"/>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黑体" w:eastAsia="黑体"/>
          <w:b/>
          <w:bCs/>
          <w:sz w:val="44"/>
          <w:szCs w:val="44"/>
        </w:rPr>
      </w:pPr>
      <w:r>
        <w:rPr>
          <w:rFonts w:hint="eastAsia" w:ascii="黑体" w:eastAsia="黑体"/>
          <w:b/>
          <w:bCs/>
          <w:sz w:val="44"/>
          <w:szCs w:val="44"/>
        </w:rPr>
        <w:t>目  录</w:t>
      </w:r>
    </w:p>
    <w:p>
      <w:pPr>
        <w:pStyle w:val="10"/>
        <w:keepNext w:val="0"/>
        <w:keepLines w:val="0"/>
        <w:pageBreakBefore w:val="0"/>
        <w:widowControl w:val="0"/>
        <w:tabs>
          <w:tab w:val="right" w:leader="dot" w:pos="9072"/>
          <w:tab w:val="clear" w:pos="8777"/>
        </w:tabs>
        <w:kinsoku/>
        <w:wordWrap/>
        <w:overflowPunct/>
        <w:topLinePunct w:val="0"/>
        <w:autoSpaceDE/>
        <w:autoSpaceDN/>
        <w:bidi w:val="0"/>
        <w:adjustRightInd/>
        <w:snapToGrid/>
        <w:spacing w:line="360" w:lineRule="auto"/>
        <w:textAlignment w:val="auto"/>
        <w:rPr>
          <w:rFonts w:ascii="宋体" w:hAnsi="宋体" w:cs="宋体"/>
          <w:b/>
          <w:sz w:val="24"/>
          <w:szCs w:val="24"/>
        </w:rPr>
      </w:pPr>
    </w:p>
    <w:p>
      <w:pPr>
        <w:pStyle w:val="10"/>
        <w:tabs>
          <w:tab w:val="right" w:leader="dot" w:pos="9072"/>
          <w:tab w:val="clear" w:pos="8777"/>
        </w:tabs>
        <w:rPr>
          <w:sz w:val="24"/>
          <w:szCs w:val="24"/>
        </w:rPr>
      </w:pPr>
      <w:r>
        <w:rPr>
          <w:rFonts w:ascii="宋体" w:hAnsi="宋体" w:cs="宋体"/>
          <w:b/>
          <w:sz w:val="24"/>
          <w:szCs w:val="24"/>
        </w:rPr>
        <w:fldChar w:fldCharType="begin"/>
      </w:r>
      <w:r>
        <w:rPr>
          <w:rFonts w:ascii="宋体" w:hAnsi="宋体" w:cs="宋体"/>
          <w:b/>
          <w:sz w:val="24"/>
          <w:szCs w:val="24"/>
        </w:rPr>
        <w:instrText xml:space="preserve"> </w:instrText>
      </w:r>
      <w:r>
        <w:rPr>
          <w:rFonts w:hint="eastAsia" w:ascii="宋体" w:hAnsi="宋体" w:cs="宋体"/>
          <w:b/>
          <w:sz w:val="24"/>
          <w:szCs w:val="24"/>
        </w:rPr>
        <w:instrText xml:space="preserve">TOC \o "1-3" \h \z \u</w:instrText>
      </w:r>
      <w:r>
        <w:rPr>
          <w:rFonts w:ascii="宋体" w:hAnsi="宋体" w:cs="宋体"/>
          <w:b/>
          <w:sz w:val="24"/>
          <w:szCs w:val="24"/>
        </w:rPr>
        <w:instrText xml:space="preserve"> </w:instrText>
      </w:r>
      <w:r>
        <w:rPr>
          <w:rFonts w:ascii="宋体" w:hAnsi="宋体" w:cs="宋体"/>
          <w:b/>
          <w:sz w:val="24"/>
          <w:szCs w:val="24"/>
        </w:rPr>
        <w:fldChar w:fldCharType="separate"/>
      </w:r>
      <w:r>
        <w:rPr>
          <w:rFonts w:ascii="宋体" w:hAnsi="宋体" w:cs="宋体"/>
          <w:sz w:val="24"/>
          <w:szCs w:val="24"/>
        </w:rPr>
        <w:fldChar w:fldCharType="begin"/>
      </w:r>
      <w:r>
        <w:rPr>
          <w:rFonts w:ascii="宋体" w:hAnsi="宋体" w:cs="宋体"/>
          <w:sz w:val="24"/>
          <w:szCs w:val="24"/>
        </w:rPr>
        <w:instrText xml:space="preserve"> HYPERLINK \l _Toc3844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一</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基本情况</w:t>
      </w:r>
      <w:r>
        <w:rPr>
          <w:sz w:val="24"/>
          <w:szCs w:val="24"/>
        </w:rPr>
        <w:tab/>
      </w:r>
      <w:r>
        <w:rPr>
          <w:sz w:val="24"/>
          <w:szCs w:val="24"/>
        </w:rPr>
        <w:fldChar w:fldCharType="begin"/>
      </w:r>
      <w:r>
        <w:rPr>
          <w:sz w:val="24"/>
          <w:szCs w:val="24"/>
        </w:rPr>
        <w:instrText xml:space="preserve"> PAGEREF _Toc3844 </w:instrText>
      </w:r>
      <w:r>
        <w:rPr>
          <w:sz w:val="24"/>
          <w:szCs w:val="24"/>
        </w:rPr>
        <w:fldChar w:fldCharType="separate"/>
      </w:r>
      <w:r>
        <w:rPr>
          <w:sz w:val="24"/>
          <w:szCs w:val="24"/>
        </w:rPr>
        <w:t>1</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_Toc5774 </w:instrText>
      </w:r>
      <w:r>
        <w:rPr>
          <w:rFonts w:ascii="宋体" w:hAnsi="宋体" w:cs="宋体"/>
          <w:sz w:val="24"/>
          <w:szCs w:val="24"/>
        </w:rPr>
        <w:fldChar w:fldCharType="separate"/>
      </w:r>
      <w:r>
        <w:rPr>
          <w:rFonts w:hint="eastAsia" w:ascii="方正小标宋_GBK" w:hAnsi="仿宋" w:eastAsia="方正小标宋_GBK" w:cs="黑体"/>
          <w:sz w:val="24"/>
          <w:szCs w:val="24"/>
        </w:rPr>
        <w:t>（一）项目</w:t>
      </w:r>
      <w:r>
        <w:rPr>
          <w:rFonts w:hint="eastAsia" w:ascii="方正小标宋_GBK" w:hAnsi="仿宋" w:eastAsia="方正小标宋_GBK" w:cs="黑体"/>
          <w:sz w:val="24"/>
          <w:szCs w:val="24"/>
          <w:lang w:val="en-US" w:eastAsia="zh-CN"/>
        </w:rPr>
        <w:t>概况</w:t>
      </w:r>
      <w:r>
        <w:rPr>
          <w:sz w:val="24"/>
          <w:szCs w:val="24"/>
        </w:rPr>
        <w:tab/>
      </w:r>
      <w:r>
        <w:rPr>
          <w:sz w:val="24"/>
          <w:szCs w:val="24"/>
        </w:rPr>
        <w:fldChar w:fldCharType="begin"/>
      </w:r>
      <w:r>
        <w:rPr>
          <w:sz w:val="24"/>
          <w:szCs w:val="24"/>
        </w:rPr>
        <w:instrText xml:space="preserve"> PAGEREF _Toc5774 </w:instrText>
      </w:r>
      <w:r>
        <w:rPr>
          <w:sz w:val="24"/>
          <w:szCs w:val="24"/>
        </w:rPr>
        <w:fldChar w:fldCharType="separate"/>
      </w:r>
      <w:r>
        <w:rPr>
          <w:sz w:val="24"/>
          <w:szCs w:val="24"/>
        </w:rPr>
        <w:t>1</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_Toc2000 </w:instrText>
      </w:r>
      <w:r>
        <w:rPr>
          <w:rFonts w:ascii="宋体" w:hAnsi="宋体" w:cs="宋体"/>
          <w:sz w:val="24"/>
          <w:szCs w:val="24"/>
        </w:rPr>
        <w:fldChar w:fldCharType="separate"/>
      </w:r>
      <w:r>
        <w:rPr>
          <w:rFonts w:hint="eastAsia" w:ascii="方正小标宋_GBK" w:hAnsi="仿宋" w:eastAsia="方正小标宋_GBK" w:cs="黑体"/>
          <w:sz w:val="24"/>
          <w:szCs w:val="24"/>
        </w:rPr>
        <w:t>（二）项目</w:t>
      </w:r>
      <w:r>
        <w:rPr>
          <w:rFonts w:hint="eastAsia" w:ascii="方正小标宋_GBK" w:hAnsi="仿宋" w:eastAsia="方正小标宋_GBK" w:cs="黑体"/>
          <w:sz w:val="24"/>
          <w:szCs w:val="24"/>
          <w:lang w:val="en-US" w:eastAsia="zh-CN"/>
        </w:rPr>
        <w:t>绩效目标</w:t>
      </w:r>
      <w:r>
        <w:rPr>
          <w:sz w:val="24"/>
          <w:szCs w:val="24"/>
        </w:rPr>
        <w:tab/>
      </w:r>
      <w:r>
        <w:rPr>
          <w:sz w:val="24"/>
          <w:szCs w:val="24"/>
        </w:rPr>
        <w:fldChar w:fldCharType="begin"/>
      </w:r>
      <w:r>
        <w:rPr>
          <w:sz w:val="24"/>
          <w:szCs w:val="24"/>
        </w:rPr>
        <w:instrText xml:space="preserve"> PAGEREF _Toc2000 </w:instrText>
      </w:r>
      <w:r>
        <w:rPr>
          <w:sz w:val="24"/>
          <w:szCs w:val="24"/>
        </w:rPr>
        <w:fldChar w:fldCharType="separate"/>
      </w:r>
      <w:r>
        <w:rPr>
          <w:sz w:val="24"/>
          <w:szCs w:val="24"/>
        </w:rPr>
        <w:t>4</w:t>
      </w:r>
      <w:r>
        <w:rPr>
          <w:sz w:val="24"/>
          <w:szCs w:val="24"/>
        </w:rPr>
        <w:fldChar w:fldCharType="end"/>
      </w:r>
      <w:r>
        <w:rPr>
          <w:rFonts w:ascii="宋体" w:hAnsi="宋体" w:cs="宋体"/>
          <w:sz w:val="24"/>
          <w:szCs w:val="24"/>
        </w:rPr>
        <w:fldChar w:fldCharType="end"/>
      </w:r>
    </w:p>
    <w:p>
      <w:pPr>
        <w:pStyle w:val="10"/>
        <w:tabs>
          <w:tab w:val="right" w:leader="dot" w:pos="9072"/>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_Toc10646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二</w:t>
      </w:r>
      <w:r>
        <w:rPr>
          <w:rFonts w:hint="eastAsia" w:ascii="方正小标宋_GBK" w:hAnsi="仿宋" w:eastAsia="方正小标宋_GBK" w:cs="黑体"/>
          <w:sz w:val="24"/>
          <w:szCs w:val="24"/>
        </w:rPr>
        <w:t>、绩效评价</w:t>
      </w:r>
      <w:r>
        <w:rPr>
          <w:rFonts w:hint="eastAsia" w:ascii="方正小标宋_GBK" w:hAnsi="仿宋" w:eastAsia="方正小标宋_GBK" w:cs="黑体"/>
          <w:sz w:val="24"/>
          <w:szCs w:val="24"/>
          <w:lang w:val="en-US" w:eastAsia="zh-CN"/>
        </w:rPr>
        <w:t>工作</w:t>
      </w:r>
      <w:r>
        <w:rPr>
          <w:rFonts w:hint="eastAsia" w:ascii="方正小标宋_GBK" w:hAnsi="仿宋" w:eastAsia="方正小标宋_GBK" w:cs="黑体"/>
          <w:sz w:val="24"/>
          <w:szCs w:val="24"/>
        </w:rPr>
        <w:t>开展情况</w:t>
      </w:r>
      <w:r>
        <w:rPr>
          <w:sz w:val="24"/>
          <w:szCs w:val="24"/>
        </w:rPr>
        <w:tab/>
      </w:r>
      <w:r>
        <w:rPr>
          <w:sz w:val="24"/>
          <w:szCs w:val="24"/>
        </w:rPr>
        <w:fldChar w:fldCharType="begin"/>
      </w:r>
      <w:r>
        <w:rPr>
          <w:sz w:val="24"/>
          <w:szCs w:val="24"/>
        </w:rPr>
        <w:instrText xml:space="preserve"> PAGEREF _Toc10646 </w:instrText>
      </w:r>
      <w:r>
        <w:rPr>
          <w:sz w:val="24"/>
          <w:szCs w:val="24"/>
        </w:rPr>
        <w:fldChar w:fldCharType="separate"/>
      </w:r>
      <w:r>
        <w:rPr>
          <w:sz w:val="24"/>
          <w:szCs w:val="24"/>
        </w:rPr>
        <w:t>4</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_Toc31762 </w:instrText>
      </w:r>
      <w:r>
        <w:rPr>
          <w:rFonts w:ascii="宋体" w:hAnsi="宋体" w:cs="宋体"/>
          <w:sz w:val="24"/>
          <w:szCs w:val="24"/>
        </w:rPr>
        <w:fldChar w:fldCharType="separate"/>
      </w:r>
      <w:r>
        <w:rPr>
          <w:rFonts w:hint="eastAsia" w:ascii="方正小标宋_GBK" w:hAnsi="仿宋" w:eastAsia="方正小标宋_GBK" w:cs="黑体"/>
          <w:sz w:val="24"/>
          <w:szCs w:val="24"/>
        </w:rPr>
        <w:t>（一）绩效评价</w:t>
      </w:r>
      <w:r>
        <w:rPr>
          <w:rFonts w:hint="eastAsia" w:ascii="方正小标宋_GBK" w:hAnsi="仿宋" w:eastAsia="方正小标宋_GBK" w:cs="黑体"/>
          <w:sz w:val="24"/>
          <w:szCs w:val="24"/>
          <w:lang w:val="en-US" w:eastAsia="zh-CN"/>
        </w:rPr>
        <w:t>目的、对象和范围</w:t>
      </w:r>
      <w:r>
        <w:rPr>
          <w:sz w:val="24"/>
          <w:szCs w:val="24"/>
        </w:rPr>
        <w:tab/>
      </w:r>
      <w:r>
        <w:rPr>
          <w:sz w:val="24"/>
          <w:szCs w:val="24"/>
        </w:rPr>
        <w:fldChar w:fldCharType="begin"/>
      </w:r>
      <w:r>
        <w:rPr>
          <w:sz w:val="24"/>
          <w:szCs w:val="24"/>
        </w:rPr>
        <w:instrText xml:space="preserve"> PAGEREF _Toc31762 </w:instrText>
      </w:r>
      <w:r>
        <w:rPr>
          <w:sz w:val="24"/>
          <w:szCs w:val="24"/>
        </w:rPr>
        <w:fldChar w:fldCharType="separate"/>
      </w:r>
      <w:r>
        <w:rPr>
          <w:sz w:val="24"/>
          <w:szCs w:val="24"/>
        </w:rPr>
        <w:t>4</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_Toc21476 </w:instrText>
      </w:r>
      <w:r>
        <w:rPr>
          <w:rFonts w:ascii="宋体" w:hAnsi="宋体" w:cs="宋体"/>
          <w:sz w:val="24"/>
          <w:szCs w:val="24"/>
        </w:rPr>
        <w:fldChar w:fldCharType="separate"/>
      </w:r>
      <w:r>
        <w:rPr>
          <w:rFonts w:hint="eastAsia" w:ascii="方正小标宋_GBK" w:hAnsi="仿宋" w:eastAsia="方正小标宋_GBK" w:cs="黑体"/>
          <w:sz w:val="24"/>
          <w:szCs w:val="24"/>
        </w:rPr>
        <w:t>（二）绩效评价原则</w:t>
      </w:r>
      <w:r>
        <w:rPr>
          <w:sz w:val="24"/>
          <w:szCs w:val="24"/>
        </w:rPr>
        <w:tab/>
      </w:r>
      <w:r>
        <w:rPr>
          <w:sz w:val="24"/>
          <w:szCs w:val="24"/>
        </w:rPr>
        <w:fldChar w:fldCharType="begin"/>
      </w:r>
      <w:r>
        <w:rPr>
          <w:sz w:val="24"/>
          <w:szCs w:val="24"/>
        </w:rPr>
        <w:instrText xml:space="preserve"> PAGEREF _Toc21476 </w:instrText>
      </w:r>
      <w:r>
        <w:rPr>
          <w:sz w:val="24"/>
          <w:szCs w:val="24"/>
        </w:rPr>
        <w:fldChar w:fldCharType="separate"/>
      </w:r>
      <w:r>
        <w:rPr>
          <w:sz w:val="24"/>
          <w:szCs w:val="24"/>
        </w:rPr>
        <w:t>5</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_Toc14989 </w:instrText>
      </w:r>
      <w:r>
        <w:rPr>
          <w:rFonts w:ascii="宋体" w:hAnsi="宋体" w:cs="宋体"/>
          <w:sz w:val="24"/>
          <w:szCs w:val="24"/>
        </w:rPr>
        <w:fldChar w:fldCharType="separate"/>
      </w:r>
      <w:r>
        <w:rPr>
          <w:rFonts w:hint="eastAsia" w:ascii="方正小标宋_GBK" w:hAnsi="仿宋" w:eastAsia="方正小标宋_GBK" w:cs="黑体"/>
          <w:sz w:val="24"/>
          <w:szCs w:val="24"/>
        </w:rPr>
        <w:t>（三）绩效评价方法</w:t>
      </w:r>
      <w:r>
        <w:rPr>
          <w:sz w:val="24"/>
          <w:szCs w:val="24"/>
        </w:rPr>
        <w:tab/>
      </w:r>
      <w:r>
        <w:rPr>
          <w:sz w:val="24"/>
          <w:szCs w:val="24"/>
        </w:rPr>
        <w:fldChar w:fldCharType="begin"/>
      </w:r>
      <w:r>
        <w:rPr>
          <w:sz w:val="24"/>
          <w:szCs w:val="24"/>
        </w:rPr>
        <w:instrText xml:space="preserve"> PAGEREF _Toc14989 </w:instrText>
      </w:r>
      <w:r>
        <w:rPr>
          <w:sz w:val="24"/>
          <w:szCs w:val="24"/>
        </w:rPr>
        <w:fldChar w:fldCharType="separate"/>
      </w:r>
      <w:r>
        <w:rPr>
          <w:sz w:val="24"/>
          <w:szCs w:val="24"/>
        </w:rPr>
        <w:t>5</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_Toc26730 </w:instrText>
      </w:r>
      <w:r>
        <w:rPr>
          <w:rFonts w:ascii="宋体" w:hAnsi="宋体" w:cs="宋体"/>
          <w:sz w:val="24"/>
          <w:szCs w:val="24"/>
        </w:rPr>
        <w:fldChar w:fldCharType="separate"/>
      </w:r>
      <w:r>
        <w:rPr>
          <w:rFonts w:hint="eastAsia" w:ascii="方正小标宋_GBK" w:hAnsi="仿宋" w:eastAsia="方正小标宋_GBK" w:cs="黑体"/>
          <w:sz w:val="24"/>
          <w:szCs w:val="24"/>
        </w:rPr>
        <w:t>（四）绩效评价</w:t>
      </w:r>
      <w:r>
        <w:rPr>
          <w:rFonts w:hint="eastAsia" w:ascii="方正小标宋_GBK" w:hAnsi="仿宋" w:eastAsia="方正小标宋_GBK" w:cs="黑体"/>
          <w:sz w:val="24"/>
          <w:szCs w:val="24"/>
          <w:lang w:val="en-US" w:eastAsia="zh-CN"/>
        </w:rPr>
        <w:t>标准</w:t>
      </w:r>
      <w:r>
        <w:rPr>
          <w:sz w:val="24"/>
          <w:szCs w:val="24"/>
        </w:rPr>
        <w:tab/>
      </w:r>
      <w:r>
        <w:rPr>
          <w:sz w:val="24"/>
          <w:szCs w:val="24"/>
        </w:rPr>
        <w:fldChar w:fldCharType="begin"/>
      </w:r>
      <w:r>
        <w:rPr>
          <w:sz w:val="24"/>
          <w:szCs w:val="24"/>
        </w:rPr>
        <w:instrText xml:space="preserve"> PAGEREF _Toc26730 </w:instrText>
      </w:r>
      <w:r>
        <w:rPr>
          <w:sz w:val="24"/>
          <w:szCs w:val="24"/>
        </w:rPr>
        <w:fldChar w:fldCharType="separate"/>
      </w:r>
      <w:r>
        <w:rPr>
          <w:sz w:val="24"/>
          <w:szCs w:val="24"/>
        </w:rPr>
        <w:t>6</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_Toc29882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五</w:t>
      </w:r>
      <w:r>
        <w:rPr>
          <w:rFonts w:hint="eastAsia" w:ascii="方正小标宋_GBK" w:hAnsi="仿宋" w:eastAsia="方正小标宋_GBK" w:cs="黑体"/>
          <w:sz w:val="24"/>
          <w:szCs w:val="24"/>
        </w:rPr>
        <w:t>）绩效评价</w:t>
      </w:r>
      <w:r>
        <w:rPr>
          <w:rFonts w:hint="eastAsia" w:ascii="方正小标宋_GBK" w:hAnsi="仿宋" w:eastAsia="方正小标宋_GBK" w:cs="黑体"/>
          <w:sz w:val="24"/>
          <w:szCs w:val="24"/>
          <w:lang w:val="en-US" w:eastAsia="zh-CN"/>
        </w:rPr>
        <w:t>指标体系及评分标准</w:t>
      </w:r>
      <w:r>
        <w:rPr>
          <w:sz w:val="24"/>
          <w:szCs w:val="24"/>
        </w:rPr>
        <w:tab/>
      </w:r>
      <w:r>
        <w:rPr>
          <w:sz w:val="24"/>
          <w:szCs w:val="24"/>
        </w:rPr>
        <w:fldChar w:fldCharType="begin"/>
      </w:r>
      <w:r>
        <w:rPr>
          <w:sz w:val="24"/>
          <w:szCs w:val="24"/>
        </w:rPr>
        <w:instrText xml:space="preserve"> PAGEREF _Toc29882 </w:instrText>
      </w:r>
      <w:r>
        <w:rPr>
          <w:sz w:val="24"/>
          <w:szCs w:val="24"/>
        </w:rPr>
        <w:fldChar w:fldCharType="separate"/>
      </w:r>
      <w:r>
        <w:rPr>
          <w:sz w:val="24"/>
          <w:szCs w:val="24"/>
        </w:rPr>
        <w:t>6</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_Toc7106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六）</w:t>
      </w:r>
      <w:r>
        <w:rPr>
          <w:rFonts w:hint="eastAsia" w:ascii="方正小标宋_GBK" w:hAnsi="仿宋" w:eastAsia="方正小标宋_GBK" w:cs="黑体"/>
          <w:sz w:val="24"/>
          <w:szCs w:val="24"/>
        </w:rPr>
        <w:t>绩效评价工作</w:t>
      </w:r>
      <w:r>
        <w:rPr>
          <w:rFonts w:hint="eastAsia" w:ascii="方正小标宋_GBK" w:hAnsi="仿宋" w:eastAsia="方正小标宋_GBK" w:cs="黑体"/>
          <w:sz w:val="24"/>
          <w:szCs w:val="24"/>
          <w:lang w:val="en-US" w:eastAsia="zh-CN"/>
        </w:rPr>
        <w:t>过程</w:t>
      </w:r>
      <w:r>
        <w:rPr>
          <w:sz w:val="24"/>
          <w:szCs w:val="24"/>
        </w:rPr>
        <w:tab/>
      </w:r>
      <w:r>
        <w:rPr>
          <w:sz w:val="24"/>
          <w:szCs w:val="24"/>
        </w:rPr>
        <w:fldChar w:fldCharType="begin"/>
      </w:r>
      <w:r>
        <w:rPr>
          <w:sz w:val="24"/>
          <w:szCs w:val="24"/>
        </w:rPr>
        <w:instrText xml:space="preserve"> PAGEREF _Toc7106 </w:instrText>
      </w:r>
      <w:r>
        <w:rPr>
          <w:sz w:val="24"/>
          <w:szCs w:val="24"/>
        </w:rPr>
        <w:fldChar w:fldCharType="separate"/>
      </w:r>
      <w:r>
        <w:rPr>
          <w:sz w:val="24"/>
          <w:szCs w:val="24"/>
        </w:rPr>
        <w:t>9</w:t>
      </w:r>
      <w:r>
        <w:rPr>
          <w:sz w:val="24"/>
          <w:szCs w:val="24"/>
        </w:rPr>
        <w:fldChar w:fldCharType="end"/>
      </w:r>
      <w:r>
        <w:rPr>
          <w:rFonts w:ascii="宋体" w:hAnsi="宋体" w:cs="宋体"/>
          <w:sz w:val="24"/>
          <w:szCs w:val="24"/>
        </w:rPr>
        <w:fldChar w:fldCharType="end"/>
      </w:r>
    </w:p>
    <w:p>
      <w:pPr>
        <w:pStyle w:val="10"/>
        <w:tabs>
          <w:tab w:val="right" w:leader="dot" w:pos="9072"/>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_Toc22959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三</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综合评价情况及评价结论</w:t>
      </w:r>
      <w:r>
        <w:rPr>
          <w:sz w:val="24"/>
          <w:szCs w:val="24"/>
        </w:rPr>
        <w:tab/>
      </w:r>
      <w:r>
        <w:rPr>
          <w:sz w:val="24"/>
          <w:szCs w:val="24"/>
        </w:rPr>
        <w:fldChar w:fldCharType="begin"/>
      </w:r>
      <w:r>
        <w:rPr>
          <w:sz w:val="24"/>
          <w:szCs w:val="24"/>
        </w:rPr>
        <w:instrText xml:space="preserve"> PAGEREF _Toc22959 </w:instrText>
      </w:r>
      <w:r>
        <w:rPr>
          <w:sz w:val="24"/>
          <w:szCs w:val="24"/>
        </w:rPr>
        <w:fldChar w:fldCharType="separate"/>
      </w:r>
      <w:r>
        <w:rPr>
          <w:sz w:val="24"/>
          <w:szCs w:val="24"/>
        </w:rPr>
        <w:t>10</w:t>
      </w:r>
      <w:r>
        <w:rPr>
          <w:sz w:val="24"/>
          <w:szCs w:val="24"/>
        </w:rPr>
        <w:fldChar w:fldCharType="end"/>
      </w:r>
      <w:r>
        <w:rPr>
          <w:rFonts w:ascii="宋体" w:hAnsi="宋体" w:cs="宋体"/>
          <w:sz w:val="24"/>
          <w:szCs w:val="24"/>
        </w:rPr>
        <w:fldChar w:fldCharType="end"/>
      </w:r>
    </w:p>
    <w:p>
      <w:pPr>
        <w:pStyle w:val="10"/>
        <w:tabs>
          <w:tab w:val="right" w:leader="dot" w:pos="9072"/>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_Toc521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四</w:t>
      </w:r>
      <w:r>
        <w:rPr>
          <w:rFonts w:hint="eastAsia" w:ascii="方正小标宋_GBK" w:hAnsi="仿宋" w:eastAsia="方正小标宋_GBK" w:cs="黑体"/>
          <w:sz w:val="24"/>
          <w:szCs w:val="24"/>
        </w:rPr>
        <w:t>、绩效评价</w:t>
      </w:r>
      <w:r>
        <w:rPr>
          <w:rFonts w:hint="eastAsia" w:ascii="方正小标宋_GBK" w:hAnsi="仿宋" w:eastAsia="方正小标宋_GBK" w:cs="黑体"/>
          <w:sz w:val="24"/>
          <w:szCs w:val="24"/>
          <w:lang w:val="en-US" w:eastAsia="zh-CN"/>
        </w:rPr>
        <w:t>指标分析</w:t>
      </w:r>
      <w:r>
        <w:rPr>
          <w:sz w:val="24"/>
          <w:szCs w:val="24"/>
        </w:rPr>
        <w:tab/>
      </w:r>
      <w:r>
        <w:rPr>
          <w:sz w:val="24"/>
          <w:szCs w:val="24"/>
        </w:rPr>
        <w:fldChar w:fldCharType="begin"/>
      </w:r>
      <w:r>
        <w:rPr>
          <w:sz w:val="24"/>
          <w:szCs w:val="24"/>
        </w:rPr>
        <w:instrText xml:space="preserve"> PAGEREF _Toc521 </w:instrText>
      </w:r>
      <w:r>
        <w:rPr>
          <w:sz w:val="24"/>
          <w:szCs w:val="24"/>
        </w:rPr>
        <w:fldChar w:fldCharType="separate"/>
      </w:r>
      <w:r>
        <w:rPr>
          <w:sz w:val="24"/>
          <w:szCs w:val="24"/>
        </w:rPr>
        <w:t>10</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_Toc12553 </w:instrText>
      </w:r>
      <w:r>
        <w:rPr>
          <w:rFonts w:ascii="宋体" w:hAnsi="宋体" w:cs="宋体"/>
          <w:sz w:val="24"/>
          <w:szCs w:val="24"/>
        </w:rPr>
        <w:fldChar w:fldCharType="separate"/>
      </w:r>
      <w:r>
        <w:rPr>
          <w:rFonts w:hint="eastAsia" w:ascii="方正小标宋_GBK" w:hAnsi="仿宋" w:eastAsia="方正小标宋_GBK" w:cs="黑体"/>
          <w:sz w:val="24"/>
          <w:szCs w:val="24"/>
        </w:rPr>
        <w:t>（一）</w:t>
      </w:r>
      <w:r>
        <w:rPr>
          <w:rFonts w:hint="eastAsia" w:ascii="方正小标宋_GBK" w:hAnsi="仿宋" w:eastAsia="方正小标宋_GBK" w:cs="黑体"/>
          <w:sz w:val="24"/>
          <w:szCs w:val="24"/>
          <w:lang w:val="en-US" w:eastAsia="zh-CN"/>
        </w:rPr>
        <w:t>项目决策情况</w:t>
      </w:r>
      <w:r>
        <w:rPr>
          <w:rFonts w:hint="eastAsia" w:ascii="方正小标宋_GBK" w:hAnsi="仿宋" w:eastAsia="方正小标宋_GBK" w:cs="黑体"/>
          <w:sz w:val="24"/>
          <w:szCs w:val="24"/>
        </w:rPr>
        <w:t>得</w:t>
      </w:r>
      <w:r>
        <w:rPr>
          <w:rFonts w:hint="eastAsia" w:ascii="方正小标宋_GBK" w:hAnsi="仿宋" w:eastAsia="方正小标宋_GBK" w:cs="黑体"/>
          <w:sz w:val="24"/>
          <w:szCs w:val="24"/>
          <w:lang w:val="en-US" w:eastAsia="zh-CN"/>
        </w:rPr>
        <w:t>7</w:t>
      </w:r>
      <w:r>
        <w:rPr>
          <w:rFonts w:hint="eastAsia" w:ascii="方正小标宋_GBK" w:hAnsi="仿宋" w:eastAsia="方正小标宋_GBK" w:cs="黑体"/>
          <w:sz w:val="24"/>
          <w:szCs w:val="24"/>
        </w:rPr>
        <w:t>分（共</w:t>
      </w:r>
      <w:r>
        <w:rPr>
          <w:rFonts w:hint="eastAsia" w:ascii="方正小标宋_GBK" w:hAnsi="仿宋" w:eastAsia="方正小标宋_GBK" w:cs="黑体"/>
          <w:sz w:val="24"/>
          <w:szCs w:val="24"/>
          <w:lang w:val="en-US" w:eastAsia="zh-CN"/>
        </w:rPr>
        <w:t>15</w:t>
      </w:r>
      <w:r>
        <w:rPr>
          <w:rFonts w:hint="eastAsia" w:ascii="方正小标宋_GBK" w:hAnsi="仿宋" w:eastAsia="方正小标宋_GBK" w:cs="黑体"/>
          <w:sz w:val="24"/>
          <w:szCs w:val="24"/>
        </w:rPr>
        <w:t>分）</w:t>
      </w:r>
      <w:r>
        <w:rPr>
          <w:sz w:val="24"/>
          <w:szCs w:val="24"/>
        </w:rPr>
        <w:tab/>
      </w:r>
      <w:r>
        <w:rPr>
          <w:sz w:val="24"/>
          <w:szCs w:val="24"/>
        </w:rPr>
        <w:fldChar w:fldCharType="begin"/>
      </w:r>
      <w:r>
        <w:rPr>
          <w:sz w:val="24"/>
          <w:szCs w:val="24"/>
        </w:rPr>
        <w:instrText xml:space="preserve"> PAGEREF _Toc12553 </w:instrText>
      </w:r>
      <w:r>
        <w:rPr>
          <w:sz w:val="24"/>
          <w:szCs w:val="24"/>
        </w:rPr>
        <w:fldChar w:fldCharType="separate"/>
      </w:r>
      <w:r>
        <w:rPr>
          <w:sz w:val="24"/>
          <w:szCs w:val="24"/>
        </w:rPr>
        <w:t>10</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_Toc145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二</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项目过程情况</w:t>
      </w:r>
      <w:r>
        <w:rPr>
          <w:rFonts w:hint="eastAsia" w:ascii="方正小标宋_GBK" w:hAnsi="仿宋" w:eastAsia="方正小标宋_GBK" w:cs="黑体"/>
          <w:sz w:val="24"/>
          <w:szCs w:val="24"/>
        </w:rPr>
        <w:t>得</w:t>
      </w:r>
      <w:r>
        <w:rPr>
          <w:rFonts w:hint="eastAsia" w:ascii="方正小标宋_GBK" w:hAnsi="仿宋" w:eastAsia="方正小标宋_GBK" w:cs="黑体"/>
          <w:sz w:val="24"/>
          <w:szCs w:val="24"/>
          <w:lang w:val="en-US" w:eastAsia="zh-CN"/>
        </w:rPr>
        <w:t>13.38</w:t>
      </w:r>
      <w:r>
        <w:rPr>
          <w:rFonts w:hint="eastAsia" w:ascii="方正小标宋_GBK" w:hAnsi="仿宋" w:eastAsia="方正小标宋_GBK" w:cs="黑体"/>
          <w:sz w:val="24"/>
          <w:szCs w:val="24"/>
        </w:rPr>
        <w:t>分（共</w:t>
      </w:r>
      <w:r>
        <w:rPr>
          <w:rFonts w:hint="eastAsia" w:ascii="方正小标宋_GBK" w:hAnsi="仿宋" w:eastAsia="方正小标宋_GBK" w:cs="黑体"/>
          <w:sz w:val="24"/>
          <w:szCs w:val="24"/>
          <w:lang w:val="en-US" w:eastAsia="zh-CN"/>
        </w:rPr>
        <w:t>15</w:t>
      </w:r>
      <w:r>
        <w:rPr>
          <w:rFonts w:hint="eastAsia" w:ascii="方正小标宋_GBK" w:hAnsi="仿宋" w:eastAsia="方正小标宋_GBK" w:cs="黑体"/>
          <w:sz w:val="24"/>
          <w:szCs w:val="24"/>
        </w:rPr>
        <w:t>分）</w:t>
      </w:r>
      <w:r>
        <w:rPr>
          <w:sz w:val="24"/>
          <w:szCs w:val="24"/>
        </w:rPr>
        <w:tab/>
      </w:r>
      <w:r>
        <w:rPr>
          <w:sz w:val="24"/>
          <w:szCs w:val="24"/>
        </w:rPr>
        <w:fldChar w:fldCharType="begin"/>
      </w:r>
      <w:r>
        <w:rPr>
          <w:sz w:val="24"/>
          <w:szCs w:val="24"/>
        </w:rPr>
        <w:instrText xml:space="preserve"> PAGEREF _Toc145 </w:instrText>
      </w:r>
      <w:r>
        <w:rPr>
          <w:sz w:val="24"/>
          <w:szCs w:val="24"/>
        </w:rPr>
        <w:fldChar w:fldCharType="separate"/>
      </w:r>
      <w:r>
        <w:rPr>
          <w:sz w:val="24"/>
          <w:szCs w:val="24"/>
        </w:rPr>
        <w:t>12</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_Toc15952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三</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项目产出情况</w:t>
      </w:r>
      <w:r>
        <w:rPr>
          <w:rFonts w:hint="eastAsia" w:ascii="方正小标宋_GBK" w:hAnsi="仿宋" w:eastAsia="方正小标宋_GBK" w:cs="黑体"/>
          <w:sz w:val="24"/>
          <w:szCs w:val="24"/>
        </w:rPr>
        <w:t>得</w:t>
      </w:r>
      <w:r>
        <w:rPr>
          <w:rFonts w:hint="eastAsia" w:ascii="方正小标宋_GBK" w:hAnsi="仿宋" w:eastAsia="方正小标宋_GBK" w:cs="黑体"/>
          <w:sz w:val="24"/>
          <w:szCs w:val="24"/>
          <w:lang w:val="en-US" w:eastAsia="zh-CN"/>
        </w:rPr>
        <w:t>36</w:t>
      </w:r>
      <w:r>
        <w:rPr>
          <w:rFonts w:hint="eastAsia" w:ascii="方正小标宋_GBK" w:hAnsi="仿宋" w:eastAsia="方正小标宋_GBK" w:cs="黑体"/>
          <w:sz w:val="24"/>
          <w:szCs w:val="24"/>
        </w:rPr>
        <w:t>分（共</w:t>
      </w:r>
      <w:r>
        <w:rPr>
          <w:rFonts w:hint="eastAsia" w:ascii="方正小标宋_GBK" w:hAnsi="仿宋" w:eastAsia="方正小标宋_GBK" w:cs="黑体"/>
          <w:sz w:val="24"/>
          <w:szCs w:val="24"/>
          <w:lang w:val="en-US" w:eastAsia="zh-CN"/>
        </w:rPr>
        <w:t>40</w:t>
      </w:r>
      <w:r>
        <w:rPr>
          <w:rFonts w:hint="eastAsia" w:ascii="方正小标宋_GBK" w:hAnsi="仿宋" w:eastAsia="方正小标宋_GBK" w:cs="黑体"/>
          <w:sz w:val="24"/>
          <w:szCs w:val="24"/>
        </w:rPr>
        <w:t>分）</w:t>
      </w:r>
      <w:r>
        <w:rPr>
          <w:sz w:val="24"/>
          <w:szCs w:val="24"/>
        </w:rPr>
        <w:tab/>
      </w:r>
      <w:r>
        <w:rPr>
          <w:sz w:val="24"/>
          <w:szCs w:val="24"/>
        </w:rPr>
        <w:fldChar w:fldCharType="begin"/>
      </w:r>
      <w:r>
        <w:rPr>
          <w:sz w:val="24"/>
          <w:szCs w:val="24"/>
        </w:rPr>
        <w:instrText xml:space="preserve"> PAGEREF _Toc15952 </w:instrText>
      </w:r>
      <w:r>
        <w:rPr>
          <w:sz w:val="24"/>
          <w:szCs w:val="24"/>
        </w:rPr>
        <w:fldChar w:fldCharType="separate"/>
      </w:r>
      <w:r>
        <w:rPr>
          <w:sz w:val="24"/>
          <w:szCs w:val="24"/>
        </w:rPr>
        <w:t>14</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_Toc31290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四</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项目</w:t>
      </w:r>
      <w:r>
        <w:rPr>
          <w:rFonts w:hint="eastAsia" w:ascii="方正小标宋_GBK" w:hAnsi="仿宋" w:eastAsia="方正小标宋_GBK" w:cs="黑体"/>
          <w:sz w:val="24"/>
          <w:szCs w:val="24"/>
        </w:rPr>
        <w:t>效益</w:t>
      </w:r>
      <w:r>
        <w:rPr>
          <w:rFonts w:hint="eastAsia" w:ascii="方正小标宋_GBK" w:hAnsi="仿宋" w:eastAsia="方正小标宋_GBK" w:cs="黑体"/>
          <w:sz w:val="24"/>
          <w:szCs w:val="24"/>
          <w:lang w:val="en-US" w:eastAsia="zh-CN"/>
        </w:rPr>
        <w:t>情况</w:t>
      </w:r>
      <w:r>
        <w:rPr>
          <w:rFonts w:hint="eastAsia" w:ascii="方正小标宋_GBK" w:hAnsi="仿宋" w:eastAsia="方正小标宋_GBK" w:cs="黑体"/>
          <w:sz w:val="24"/>
          <w:szCs w:val="24"/>
        </w:rPr>
        <w:t>得2</w:t>
      </w:r>
      <w:r>
        <w:rPr>
          <w:rFonts w:hint="eastAsia" w:ascii="方正小标宋_GBK" w:hAnsi="仿宋" w:eastAsia="方正小标宋_GBK" w:cs="黑体"/>
          <w:sz w:val="24"/>
          <w:szCs w:val="24"/>
          <w:lang w:val="en-US" w:eastAsia="zh-CN"/>
        </w:rPr>
        <w:t>5</w:t>
      </w:r>
      <w:r>
        <w:rPr>
          <w:rFonts w:hint="eastAsia" w:ascii="方正小标宋_GBK" w:hAnsi="仿宋" w:eastAsia="方正小标宋_GBK" w:cs="黑体"/>
          <w:sz w:val="24"/>
          <w:szCs w:val="24"/>
        </w:rPr>
        <w:t>分（共30分）</w:t>
      </w:r>
      <w:r>
        <w:rPr>
          <w:sz w:val="24"/>
          <w:szCs w:val="24"/>
        </w:rPr>
        <w:tab/>
      </w:r>
      <w:r>
        <w:rPr>
          <w:sz w:val="24"/>
          <w:szCs w:val="24"/>
        </w:rPr>
        <w:fldChar w:fldCharType="begin"/>
      </w:r>
      <w:r>
        <w:rPr>
          <w:sz w:val="24"/>
          <w:szCs w:val="24"/>
        </w:rPr>
        <w:instrText xml:space="preserve"> PAGEREF _Toc31290 </w:instrText>
      </w:r>
      <w:r>
        <w:rPr>
          <w:sz w:val="24"/>
          <w:szCs w:val="24"/>
        </w:rPr>
        <w:fldChar w:fldCharType="separate"/>
      </w:r>
      <w:r>
        <w:rPr>
          <w:sz w:val="24"/>
          <w:szCs w:val="24"/>
        </w:rPr>
        <w:t>18</w:t>
      </w:r>
      <w:r>
        <w:rPr>
          <w:sz w:val="24"/>
          <w:szCs w:val="24"/>
        </w:rPr>
        <w:fldChar w:fldCharType="end"/>
      </w:r>
      <w:r>
        <w:rPr>
          <w:rFonts w:ascii="宋体" w:hAnsi="宋体" w:cs="宋体"/>
          <w:sz w:val="24"/>
          <w:szCs w:val="24"/>
        </w:rPr>
        <w:fldChar w:fldCharType="end"/>
      </w:r>
    </w:p>
    <w:p>
      <w:pPr>
        <w:pStyle w:val="10"/>
        <w:tabs>
          <w:tab w:val="right" w:leader="dot" w:pos="9072"/>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_Toc14459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五</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主要经验及做法、存在</w:t>
      </w:r>
      <w:r>
        <w:rPr>
          <w:rFonts w:hint="eastAsia" w:ascii="方正小标宋_GBK" w:hAnsi="仿宋" w:eastAsia="方正小标宋_GBK" w:cs="黑体"/>
          <w:sz w:val="24"/>
          <w:szCs w:val="24"/>
        </w:rPr>
        <w:t>的问题</w:t>
      </w:r>
      <w:r>
        <w:rPr>
          <w:rFonts w:hint="eastAsia" w:ascii="方正小标宋_GBK" w:hAnsi="仿宋" w:eastAsia="方正小标宋_GBK" w:cs="黑体"/>
          <w:sz w:val="24"/>
          <w:szCs w:val="24"/>
          <w:lang w:val="en-US" w:eastAsia="zh-CN"/>
        </w:rPr>
        <w:t>及原因分析</w:t>
      </w:r>
      <w:r>
        <w:rPr>
          <w:sz w:val="24"/>
          <w:szCs w:val="24"/>
        </w:rPr>
        <w:tab/>
      </w:r>
      <w:r>
        <w:rPr>
          <w:sz w:val="24"/>
          <w:szCs w:val="24"/>
        </w:rPr>
        <w:fldChar w:fldCharType="begin"/>
      </w:r>
      <w:r>
        <w:rPr>
          <w:sz w:val="24"/>
          <w:szCs w:val="24"/>
        </w:rPr>
        <w:instrText xml:space="preserve"> PAGEREF _Toc14459 </w:instrText>
      </w:r>
      <w:r>
        <w:rPr>
          <w:sz w:val="24"/>
          <w:szCs w:val="24"/>
        </w:rPr>
        <w:fldChar w:fldCharType="separate"/>
      </w:r>
      <w:r>
        <w:rPr>
          <w:sz w:val="24"/>
          <w:szCs w:val="24"/>
        </w:rPr>
        <w:t>22</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_Toc29548 </w:instrText>
      </w:r>
      <w:r>
        <w:rPr>
          <w:rFonts w:ascii="宋体" w:hAnsi="宋体" w:cs="宋体"/>
          <w:sz w:val="24"/>
          <w:szCs w:val="24"/>
        </w:rPr>
        <w:fldChar w:fldCharType="separate"/>
      </w:r>
      <w:r>
        <w:rPr>
          <w:rFonts w:hint="eastAsia" w:ascii="方正小标宋_GBK" w:hAnsi="仿宋" w:eastAsia="方正小标宋_GBK" w:cs="黑体"/>
          <w:sz w:val="24"/>
          <w:szCs w:val="24"/>
        </w:rPr>
        <w:t>（一）</w:t>
      </w:r>
      <w:r>
        <w:rPr>
          <w:rFonts w:hint="eastAsia" w:ascii="方正小标宋_GBK" w:hAnsi="仿宋" w:eastAsia="方正小标宋_GBK" w:cs="黑体"/>
          <w:sz w:val="24"/>
          <w:szCs w:val="24"/>
          <w:lang w:val="en-US" w:eastAsia="zh-CN"/>
        </w:rPr>
        <w:t>主要经验和做法</w:t>
      </w:r>
      <w:r>
        <w:rPr>
          <w:sz w:val="24"/>
          <w:szCs w:val="24"/>
        </w:rPr>
        <w:tab/>
      </w:r>
      <w:r>
        <w:rPr>
          <w:sz w:val="24"/>
          <w:szCs w:val="24"/>
        </w:rPr>
        <w:fldChar w:fldCharType="begin"/>
      </w:r>
      <w:r>
        <w:rPr>
          <w:sz w:val="24"/>
          <w:szCs w:val="24"/>
        </w:rPr>
        <w:instrText xml:space="preserve"> PAGEREF _Toc29548 </w:instrText>
      </w:r>
      <w:r>
        <w:rPr>
          <w:sz w:val="24"/>
          <w:szCs w:val="24"/>
        </w:rPr>
        <w:fldChar w:fldCharType="separate"/>
      </w:r>
      <w:r>
        <w:rPr>
          <w:sz w:val="24"/>
          <w:szCs w:val="24"/>
        </w:rPr>
        <w:t>22</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_Toc15985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二</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存在的问题及原因分析</w:t>
      </w:r>
      <w:r>
        <w:rPr>
          <w:sz w:val="24"/>
          <w:szCs w:val="24"/>
        </w:rPr>
        <w:tab/>
      </w:r>
      <w:r>
        <w:rPr>
          <w:sz w:val="24"/>
          <w:szCs w:val="24"/>
        </w:rPr>
        <w:fldChar w:fldCharType="begin"/>
      </w:r>
      <w:r>
        <w:rPr>
          <w:sz w:val="24"/>
          <w:szCs w:val="24"/>
        </w:rPr>
        <w:instrText xml:space="preserve"> PAGEREF _Toc15985 </w:instrText>
      </w:r>
      <w:r>
        <w:rPr>
          <w:sz w:val="24"/>
          <w:szCs w:val="24"/>
        </w:rPr>
        <w:fldChar w:fldCharType="separate"/>
      </w:r>
      <w:r>
        <w:rPr>
          <w:sz w:val="24"/>
          <w:szCs w:val="24"/>
        </w:rPr>
        <w:t>22</w:t>
      </w:r>
      <w:r>
        <w:rPr>
          <w:sz w:val="24"/>
          <w:szCs w:val="24"/>
        </w:rPr>
        <w:fldChar w:fldCharType="end"/>
      </w:r>
      <w:r>
        <w:rPr>
          <w:rFonts w:ascii="宋体" w:hAnsi="宋体" w:cs="宋体"/>
          <w:sz w:val="24"/>
          <w:szCs w:val="24"/>
        </w:rPr>
        <w:fldChar w:fldCharType="end"/>
      </w:r>
    </w:p>
    <w:p>
      <w:pPr>
        <w:pStyle w:val="10"/>
        <w:tabs>
          <w:tab w:val="right" w:leader="dot" w:pos="9072"/>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_Toc4872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六</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有关</w:t>
      </w:r>
      <w:r>
        <w:rPr>
          <w:rFonts w:hint="eastAsia" w:ascii="方正小标宋_GBK" w:hAnsi="仿宋" w:eastAsia="方正小标宋_GBK" w:cs="黑体"/>
          <w:sz w:val="24"/>
          <w:szCs w:val="24"/>
        </w:rPr>
        <w:t>建议</w:t>
      </w:r>
      <w:r>
        <w:rPr>
          <w:sz w:val="24"/>
          <w:szCs w:val="24"/>
        </w:rPr>
        <w:tab/>
      </w:r>
      <w:r>
        <w:rPr>
          <w:sz w:val="24"/>
          <w:szCs w:val="24"/>
        </w:rPr>
        <w:fldChar w:fldCharType="begin"/>
      </w:r>
      <w:r>
        <w:rPr>
          <w:sz w:val="24"/>
          <w:szCs w:val="24"/>
        </w:rPr>
        <w:instrText xml:space="preserve"> PAGEREF _Toc4872 </w:instrText>
      </w:r>
      <w:r>
        <w:rPr>
          <w:sz w:val="24"/>
          <w:szCs w:val="24"/>
        </w:rPr>
        <w:fldChar w:fldCharType="separate"/>
      </w:r>
      <w:r>
        <w:rPr>
          <w:sz w:val="24"/>
          <w:szCs w:val="24"/>
        </w:rPr>
        <w:t>24</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_Toc14528 </w:instrText>
      </w:r>
      <w:r>
        <w:rPr>
          <w:rFonts w:ascii="宋体" w:hAnsi="宋体" w:cs="宋体"/>
          <w:sz w:val="24"/>
          <w:szCs w:val="24"/>
        </w:rPr>
        <w:fldChar w:fldCharType="separate"/>
      </w:r>
      <w:r>
        <w:rPr>
          <w:rFonts w:hint="eastAsia" w:ascii="方正小标宋_GBK" w:hAnsi="仿宋" w:eastAsia="方正小标宋_GBK" w:cs="黑体"/>
          <w:sz w:val="24"/>
          <w:szCs w:val="24"/>
        </w:rPr>
        <w:t>（一）制定</w:t>
      </w:r>
      <w:r>
        <w:rPr>
          <w:rFonts w:hint="eastAsia" w:ascii="方正小标宋_GBK" w:hAnsi="仿宋" w:eastAsia="方正小标宋_GBK" w:cs="黑体"/>
          <w:sz w:val="24"/>
          <w:szCs w:val="24"/>
          <w:lang w:val="en-US" w:eastAsia="zh-CN"/>
        </w:rPr>
        <w:t>科学合理的</w:t>
      </w:r>
      <w:r>
        <w:rPr>
          <w:rFonts w:hint="eastAsia" w:ascii="方正小标宋_GBK" w:hAnsi="仿宋" w:eastAsia="方正小标宋_GBK" w:cs="黑体"/>
          <w:sz w:val="24"/>
          <w:szCs w:val="24"/>
        </w:rPr>
        <w:t>绩效目标，并细化、量化</w:t>
      </w:r>
      <w:r>
        <w:rPr>
          <w:rFonts w:hint="eastAsia" w:ascii="方正小标宋_GBK" w:hAnsi="仿宋" w:eastAsia="方正小标宋_GBK" w:cs="黑体"/>
          <w:sz w:val="24"/>
          <w:szCs w:val="24"/>
          <w:lang w:val="en-US" w:eastAsia="zh-CN"/>
        </w:rPr>
        <w:t>绩效</w:t>
      </w:r>
      <w:r>
        <w:rPr>
          <w:rFonts w:hint="eastAsia" w:ascii="方正小标宋_GBK" w:hAnsi="仿宋" w:eastAsia="方正小标宋_GBK" w:cs="黑体"/>
          <w:sz w:val="24"/>
          <w:szCs w:val="24"/>
        </w:rPr>
        <w:t>指标</w:t>
      </w:r>
      <w:r>
        <w:rPr>
          <w:sz w:val="24"/>
          <w:szCs w:val="24"/>
        </w:rPr>
        <w:tab/>
      </w:r>
      <w:r>
        <w:rPr>
          <w:sz w:val="24"/>
          <w:szCs w:val="24"/>
        </w:rPr>
        <w:fldChar w:fldCharType="begin"/>
      </w:r>
      <w:r>
        <w:rPr>
          <w:sz w:val="24"/>
          <w:szCs w:val="24"/>
        </w:rPr>
        <w:instrText xml:space="preserve"> PAGEREF _Toc14528 </w:instrText>
      </w:r>
      <w:r>
        <w:rPr>
          <w:sz w:val="24"/>
          <w:szCs w:val="24"/>
        </w:rPr>
        <w:fldChar w:fldCharType="separate"/>
      </w:r>
      <w:r>
        <w:rPr>
          <w:sz w:val="24"/>
          <w:szCs w:val="24"/>
        </w:rPr>
        <w:t>24</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_Toc20433 </w:instrText>
      </w:r>
      <w:r>
        <w:rPr>
          <w:rFonts w:ascii="宋体" w:hAnsi="宋体" w:cs="宋体"/>
          <w:sz w:val="24"/>
          <w:szCs w:val="24"/>
        </w:rPr>
        <w:fldChar w:fldCharType="separate"/>
      </w:r>
      <w:r>
        <w:rPr>
          <w:rFonts w:hint="eastAsia" w:ascii="方正小标宋_GBK" w:hAnsi="仿宋" w:eastAsia="方正小标宋_GBK" w:cs="黑体"/>
          <w:sz w:val="24"/>
          <w:szCs w:val="24"/>
        </w:rPr>
        <w:t>（二）</w:t>
      </w:r>
      <w:r>
        <w:rPr>
          <w:rFonts w:hint="eastAsia" w:ascii="方正小标宋_GBK" w:hAnsi="仿宋" w:eastAsia="方正小标宋_GBK" w:cs="黑体"/>
          <w:sz w:val="24"/>
          <w:szCs w:val="24"/>
          <w:lang w:val="en-US" w:eastAsia="zh-CN"/>
        </w:rPr>
        <w:t>精细编制专项资金预算，并规范预算调整</w:t>
      </w:r>
      <w:r>
        <w:rPr>
          <w:sz w:val="24"/>
          <w:szCs w:val="24"/>
        </w:rPr>
        <w:tab/>
      </w:r>
      <w:r>
        <w:rPr>
          <w:sz w:val="24"/>
          <w:szCs w:val="24"/>
        </w:rPr>
        <w:fldChar w:fldCharType="begin"/>
      </w:r>
      <w:r>
        <w:rPr>
          <w:sz w:val="24"/>
          <w:szCs w:val="24"/>
        </w:rPr>
        <w:instrText xml:space="preserve"> PAGEREF _Toc20433 </w:instrText>
      </w:r>
      <w:r>
        <w:rPr>
          <w:sz w:val="24"/>
          <w:szCs w:val="24"/>
        </w:rPr>
        <w:fldChar w:fldCharType="separate"/>
      </w:r>
      <w:r>
        <w:rPr>
          <w:sz w:val="24"/>
          <w:szCs w:val="24"/>
        </w:rPr>
        <w:t>24</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_Toc23009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三</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制定专项资金管理制度</w:t>
      </w:r>
      <w:r>
        <w:rPr>
          <w:sz w:val="24"/>
          <w:szCs w:val="24"/>
        </w:rPr>
        <w:tab/>
      </w:r>
      <w:r>
        <w:rPr>
          <w:sz w:val="24"/>
          <w:szCs w:val="24"/>
        </w:rPr>
        <w:fldChar w:fldCharType="begin"/>
      </w:r>
      <w:r>
        <w:rPr>
          <w:sz w:val="24"/>
          <w:szCs w:val="24"/>
        </w:rPr>
        <w:instrText xml:space="preserve"> PAGEREF _Toc23009 </w:instrText>
      </w:r>
      <w:r>
        <w:rPr>
          <w:sz w:val="24"/>
          <w:szCs w:val="24"/>
        </w:rPr>
        <w:fldChar w:fldCharType="separate"/>
      </w:r>
      <w:r>
        <w:rPr>
          <w:sz w:val="24"/>
          <w:szCs w:val="24"/>
        </w:rPr>
        <w:t>25</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_Toc22037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四</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提升专项资金扶持效果</w:t>
      </w:r>
      <w:r>
        <w:rPr>
          <w:sz w:val="24"/>
          <w:szCs w:val="24"/>
        </w:rPr>
        <w:tab/>
      </w:r>
      <w:r>
        <w:rPr>
          <w:sz w:val="24"/>
          <w:szCs w:val="24"/>
        </w:rPr>
        <w:fldChar w:fldCharType="begin"/>
      </w:r>
      <w:r>
        <w:rPr>
          <w:sz w:val="24"/>
          <w:szCs w:val="24"/>
        </w:rPr>
        <w:instrText xml:space="preserve"> PAGEREF _Toc22037 </w:instrText>
      </w:r>
      <w:r>
        <w:rPr>
          <w:sz w:val="24"/>
          <w:szCs w:val="24"/>
        </w:rPr>
        <w:fldChar w:fldCharType="separate"/>
      </w:r>
      <w:r>
        <w:rPr>
          <w:sz w:val="24"/>
          <w:szCs w:val="24"/>
        </w:rPr>
        <w:t>25</w:t>
      </w:r>
      <w:r>
        <w:rPr>
          <w:sz w:val="24"/>
          <w:szCs w:val="24"/>
        </w:rPr>
        <w:fldChar w:fldCharType="end"/>
      </w:r>
      <w:r>
        <w:rPr>
          <w:rFonts w:ascii="宋体" w:hAnsi="宋体" w:cs="宋体"/>
          <w:sz w:val="24"/>
          <w:szCs w:val="24"/>
        </w:rPr>
        <w:fldChar w:fldCharType="end"/>
      </w:r>
    </w:p>
    <w:p>
      <w:pPr>
        <w:pStyle w:val="11"/>
        <w:tabs>
          <w:tab w:val="right" w:leader="dot" w:pos="9072"/>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_Toc14783 </w:instrText>
      </w:r>
      <w:r>
        <w:rPr>
          <w:rFonts w:ascii="宋体" w:hAnsi="宋体" w:cs="宋体"/>
          <w:sz w:val="24"/>
          <w:szCs w:val="24"/>
        </w:rPr>
        <w:fldChar w:fldCharType="separate"/>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五</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提高专项资金拨付时效</w:t>
      </w:r>
      <w:r>
        <w:rPr>
          <w:sz w:val="24"/>
          <w:szCs w:val="24"/>
        </w:rPr>
        <w:tab/>
      </w:r>
      <w:r>
        <w:rPr>
          <w:sz w:val="24"/>
          <w:szCs w:val="24"/>
        </w:rPr>
        <w:fldChar w:fldCharType="begin"/>
      </w:r>
      <w:r>
        <w:rPr>
          <w:sz w:val="24"/>
          <w:szCs w:val="24"/>
        </w:rPr>
        <w:instrText xml:space="preserve"> PAGEREF _Toc14783 </w:instrText>
      </w:r>
      <w:r>
        <w:rPr>
          <w:sz w:val="24"/>
          <w:szCs w:val="24"/>
        </w:rPr>
        <w:fldChar w:fldCharType="separate"/>
      </w:r>
      <w:r>
        <w:rPr>
          <w:sz w:val="24"/>
          <w:szCs w:val="24"/>
        </w:rPr>
        <w:t>25</w:t>
      </w:r>
      <w:r>
        <w:rPr>
          <w:sz w:val="24"/>
          <w:szCs w:val="24"/>
        </w:rPr>
        <w:fldChar w:fldCharType="end"/>
      </w:r>
      <w:r>
        <w:rPr>
          <w:rFonts w:ascii="宋体" w:hAnsi="宋体" w:cs="宋体"/>
          <w:sz w:val="24"/>
          <w:szCs w:val="24"/>
        </w:rPr>
        <w:fldChar w:fldCharType="end"/>
      </w:r>
    </w:p>
    <w:p>
      <w:pPr>
        <w:pStyle w:val="10"/>
        <w:tabs>
          <w:tab w:val="right" w:leader="dot" w:pos="9072"/>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_Toc20381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七</w:t>
      </w:r>
      <w:r>
        <w:rPr>
          <w:rFonts w:hint="eastAsia" w:ascii="方正小标宋_GBK" w:hAnsi="仿宋" w:eastAsia="方正小标宋_GBK" w:cs="黑体"/>
          <w:sz w:val="24"/>
          <w:szCs w:val="24"/>
        </w:rPr>
        <w:t>、</w:t>
      </w:r>
      <w:r>
        <w:rPr>
          <w:rFonts w:hint="eastAsia" w:ascii="方正小标宋_GBK" w:hAnsi="仿宋" w:eastAsia="方正小标宋_GBK" w:cs="黑体"/>
          <w:sz w:val="24"/>
          <w:szCs w:val="24"/>
          <w:lang w:val="en-US" w:eastAsia="zh-CN"/>
        </w:rPr>
        <w:t>其他需要说明的事项</w:t>
      </w:r>
      <w:r>
        <w:rPr>
          <w:sz w:val="24"/>
          <w:szCs w:val="24"/>
        </w:rPr>
        <w:tab/>
      </w:r>
      <w:r>
        <w:rPr>
          <w:sz w:val="24"/>
          <w:szCs w:val="24"/>
        </w:rPr>
        <w:fldChar w:fldCharType="begin"/>
      </w:r>
      <w:r>
        <w:rPr>
          <w:sz w:val="24"/>
          <w:szCs w:val="24"/>
        </w:rPr>
        <w:instrText xml:space="preserve"> PAGEREF _Toc20381 </w:instrText>
      </w:r>
      <w:r>
        <w:rPr>
          <w:sz w:val="24"/>
          <w:szCs w:val="24"/>
        </w:rPr>
        <w:fldChar w:fldCharType="separate"/>
      </w:r>
      <w:r>
        <w:rPr>
          <w:sz w:val="24"/>
          <w:szCs w:val="24"/>
        </w:rPr>
        <w:t>26</w:t>
      </w:r>
      <w:r>
        <w:rPr>
          <w:sz w:val="24"/>
          <w:szCs w:val="24"/>
        </w:rPr>
        <w:fldChar w:fldCharType="end"/>
      </w:r>
      <w:r>
        <w:rPr>
          <w:rFonts w:ascii="宋体" w:hAnsi="宋体" w:cs="宋体"/>
          <w:sz w:val="24"/>
          <w:szCs w:val="24"/>
        </w:rPr>
        <w:fldChar w:fldCharType="end"/>
      </w:r>
    </w:p>
    <w:p>
      <w:pPr>
        <w:pStyle w:val="10"/>
        <w:tabs>
          <w:tab w:val="right" w:leader="dot" w:pos="9072"/>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_Toc11873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附录一  泉州市丰泽区2019年度扶持企业科技基金及扶持企业发展专项基金绩效评价评分表</w:t>
      </w:r>
      <w:r>
        <w:rPr>
          <w:sz w:val="24"/>
          <w:szCs w:val="24"/>
        </w:rPr>
        <w:tab/>
      </w:r>
      <w:r>
        <w:rPr>
          <w:sz w:val="24"/>
          <w:szCs w:val="24"/>
        </w:rPr>
        <w:fldChar w:fldCharType="begin"/>
      </w:r>
      <w:r>
        <w:rPr>
          <w:sz w:val="24"/>
          <w:szCs w:val="24"/>
        </w:rPr>
        <w:instrText xml:space="preserve"> PAGEREF _Toc11873 </w:instrText>
      </w:r>
      <w:r>
        <w:rPr>
          <w:sz w:val="24"/>
          <w:szCs w:val="24"/>
        </w:rPr>
        <w:fldChar w:fldCharType="separate"/>
      </w:r>
      <w:r>
        <w:rPr>
          <w:sz w:val="24"/>
          <w:szCs w:val="24"/>
        </w:rPr>
        <w:t>27</w:t>
      </w:r>
      <w:r>
        <w:rPr>
          <w:sz w:val="24"/>
          <w:szCs w:val="24"/>
        </w:rPr>
        <w:fldChar w:fldCharType="end"/>
      </w:r>
      <w:r>
        <w:rPr>
          <w:rFonts w:ascii="宋体" w:hAnsi="宋体" w:cs="宋体"/>
          <w:sz w:val="24"/>
          <w:szCs w:val="24"/>
        </w:rPr>
        <w:fldChar w:fldCharType="end"/>
      </w:r>
    </w:p>
    <w:p>
      <w:pPr>
        <w:pStyle w:val="10"/>
        <w:tabs>
          <w:tab w:val="right" w:leader="dot" w:pos="9072"/>
          <w:tab w:val="clear" w:pos="8777"/>
        </w:tabs>
        <w:rPr>
          <w:sz w:val="24"/>
          <w:szCs w:val="24"/>
        </w:rPr>
      </w:pPr>
      <w:r>
        <w:rPr>
          <w:rFonts w:ascii="宋体" w:hAnsi="宋体" w:cs="宋体"/>
          <w:sz w:val="24"/>
          <w:szCs w:val="24"/>
        </w:rPr>
        <w:fldChar w:fldCharType="begin"/>
      </w:r>
      <w:r>
        <w:rPr>
          <w:rFonts w:ascii="宋体" w:hAnsi="宋体" w:cs="宋体"/>
          <w:sz w:val="24"/>
          <w:szCs w:val="24"/>
        </w:rPr>
        <w:instrText xml:space="preserve"> HYPERLINK \l _Toc18481 </w:instrText>
      </w:r>
      <w:r>
        <w:rPr>
          <w:rFonts w:ascii="宋体" w:hAnsi="宋体" w:cs="宋体"/>
          <w:sz w:val="24"/>
          <w:szCs w:val="24"/>
        </w:rPr>
        <w:fldChar w:fldCharType="separate"/>
      </w:r>
      <w:r>
        <w:rPr>
          <w:rFonts w:hint="eastAsia" w:ascii="方正小标宋_GBK" w:hAnsi="仿宋" w:eastAsia="方正小标宋_GBK" w:cs="黑体"/>
          <w:sz w:val="24"/>
          <w:szCs w:val="24"/>
          <w:lang w:val="en-US" w:eastAsia="zh-CN"/>
        </w:rPr>
        <w:t>附录二  泉州市丰泽区2019年度扶持企业科技基金及扶持企业发展专项基金满意度调查问卷</w:t>
      </w:r>
      <w:r>
        <w:rPr>
          <w:sz w:val="24"/>
          <w:szCs w:val="24"/>
        </w:rPr>
        <w:tab/>
      </w:r>
      <w:r>
        <w:rPr>
          <w:sz w:val="24"/>
          <w:szCs w:val="24"/>
        </w:rPr>
        <w:fldChar w:fldCharType="begin"/>
      </w:r>
      <w:r>
        <w:rPr>
          <w:sz w:val="24"/>
          <w:szCs w:val="24"/>
        </w:rPr>
        <w:instrText xml:space="preserve"> PAGEREF _Toc18481 </w:instrText>
      </w:r>
      <w:r>
        <w:rPr>
          <w:sz w:val="24"/>
          <w:szCs w:val="24"/>
        </w:rPr>
        <w:fldChar w:fldCharType="separate"/>
      </w:r>
      <w:r>
        <w:rPr>
          <w:sz w:val="24"/>
          <w:szCs w:val="24"/>
        </w:rPr>
        <w:t>30</w:t>
      </w:r>
      <w:r>
        <w:rPr>
          <w:sz w:val="24"/>
          <w:szCs w:val="24"/>
        </w:rPr>
        <w:fldChar w:fldCharType="end"/>
      </w:r>
      <w:r>
        <w:rPr>
          <w:rFonts w:ascii="宋体" w:hAnsi="宋体" w:cs="宋体"/>
          <w:sz w:val="24"/>
          <w:szCs w:val="24"/>
        </w:rPr>
        <w:fldChar w:fldCharType="end"/>
      </w:r>
    </w:p>
    <w:p>
      <w:pPr>
        <w:keepNext w:val="0"/>
        <w:keepLines w:val="0"/>
        <w:pageBreakBefore w:val="0"/>
        <w:widowControl w:val="0"/>
        <w:tabs>
          <w:tab w:val="center" w:pos="4393"/>
          <w:tab w:val="left" w:pos="7914"/>
          <w:tab w:val="right" w:pos="8787"/>
        </w:tabs>
        <w:kinsoku/>
        <w:wordWrap/>
        <w:overflowPunct/>
        <w:topLinePunct w:val="0"/>
        <w:autoSpaceDE/>
        <w:autoSpaceDN/>
        <w:bidi w:val="0"/>
        <w:adjustRightInd/>
        <w:snapToGrid/>
        <w:spacing w:line="360" w:lineRule="auto"/>
        <w:jc w:val="left"/>
        <w:textAlignment w:val="auto"/>
        <w:rPr>
          <w:rFonts w:ascii="宋体" w:hAnsi="宋体" w:cs="宋体"/>
          <w:b/>
          <w:sz w:val="24"/>
        </w:rPr>
      </w:pPr>
      <w:r>
        <w:rPr>
          <w:rFonts w:ascii="宋体" w:hAnsi="宋体" w:cs="宋体"/>
          <w:sz w:val="24"/>
          <w:szCs w:val="24"/>
        </w:rPr>
        <w:fldChar w:fldCharType="end"/>
      </w:r>
    </w:p>
    <w:p>
      <w:pPr>
        <w:tabs>
          <w:tab w:val="center" w:pos="4393"/>
          <w:tab w:val="left" w:pos="7914"/>
          <w:tab w:val="right" w:pos="8787"/>
        </w:tabs>
        <w:spacing w:line="360" w:lineRule="auto"/>
        <w:jc w:val="left"/>
        <w:rPr>
          <w:rFonts w:ascii="黑体" w:hAnsi="宋体" w:eastAsia="黑体"/>
          <w:b/>
          <w:sz w:val="24"/>
        </w:rPr>
      </w:pPr>
      <w:r>
        <w:rPr>
          <w:rFonts w:ascii="宋体" w:hAnsi="宋体"/>
          <w:b/>
          <w:sz w:val="24"/>
        </w:rPr>
        <w:tab/>
      </w:r>
      <w:r>
        <w:rPr>
          <w:rFonts w:ascii="宋体" w:hAnsi="宋体"/>
          <w:b/>
          <w:sz w:val="24"/>
        </w:rPr>
        <w:tab/>
      </w:r>
    </w:p>
    <w:p>
      <w:pPr>
        <w:spacing w:line="360" w:lineRule="auto"/>
        <w:rPr>
          <w:rFonts w:ascii="黑体" w:hAnsi="黑体" w:eastAsia="黑体" w:cs="黑体"/>
          <w:bCs/>
          <w:sz w:val="28"/>
          <w:szCs w:val="28"/>
        </w:rPr>
      </w:pPr>
    </w:p>
    <w:p>
      <w:pPr>
        <w:jc w:val="center"/>
        <w:rPr>
          <w:rFonts w:ascii="等线" w:hAnsi="等线" w:eastAsia="等线"/>
          <w:b/>
          <w:sz w:val="30"/>
          <w:szCs w:val="30"/>
        </w:rPr>
        <w:sectPr>
          <w:footerReference r:id="rId3" w:type="even"/>
          <w:pgSz w:w="11906" w:h="16838"/>
          <w:pgMar w:top="1247" w:right="1417" w:bottom="1417" w:left="1417" w:header="851" w:footer="992" w:gutter="0"/>
          <w:cols w:space="0" w:num="1"/>
          <w:docGrid w:type="lines" w:linePitch="312" w:charSpace="0"/>
        </w:sectPr>
      </w:pPr>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泉州市丰泽区201</w:t>
      </w:r>
      <w:r>
        <w:rPr>
          <w:rFonts w:hint="eastAsia" w:ascii="黑体" w:hAnsi="黑体" w:eastAsia="黑体" w:cs="黑体"/>
          <w:b/>
          <w:sz w:val="32"/>
          <w:szCs w:val="32"/>
          <w:lang w:val="en-US" w:eastAsia="zh-CN"/>
        </w:rPr>
        <w:t>9</w:t>
      </w:r>
      <w:r>
        <w:rPr>
          <w:rFonts w:hint="eastAsia" w:ascii="黑体" w:hAnsi="黑体" w:eastAsia="黑体" w:cs="黑体"/>
          <w:b/>
          <w:sz w:val="32"/>
          <w:szCs w:val="32"/>
        </w:rPr>
        <w:t>年度扶持企业科技基金</w:t>
      </w:r>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及扶持企业发展专项基金绩效评价报告</w:t>
      </w:r>
    </w:p>
    <w:p>
      <w:pPr>
        <w:spacing w:line="360" w:lineRule="auto"/>
        <w:ind w:firstLine="480" w:firstLineChars="200"/>
        <w:rPr>
          <w:rFonts w:ascii="宋体" w:hAnsi="宋体" w:cs="宋体"/>
          <w:kern w:val="0"/>
          <w:sz w:val="24"/>
          <w:szCs w:val="2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集美大学地方财政绩效研究中心接受泉州市丰泽区财政局委托，对201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rPr>
        <w:t>进行绩效重点评价。</w:t>
      </w:r>
      <w:r>
        <w:rPr>
          <w:rFonts w:hint="eastAsia" w:ascii="宋体" w:hAnsi="宋体" w:eastAsia="宋体" w:cs="宋体"/>
          <w:sz w:val="24"/>
          <w:szCs w:val="24"/>
          <w:lang w:val="en-US" w:eastAsia="zh-CN"/>
        </w:rPr>
        <w:t>本</w:t>
      </w:r>
      <w:r>
        <w:rPr>
          <w:rFonts w:hint="eastAsia" w:ascii="宋体" w:hAnsi="宋体" w:eastAsia="宋体" w:cs="宋体"/>
          <w:sz w:val="24"/>
          <w:szCs w:val="24"/>
        </w:rPr>
        <w:t>中心根据《财政部关于</w:t>
      </w:r>
      <w:r>
        <w:rPr>
          <w:rFonts w:hint="eastAsia" w:ascii="宋体" w:hAnsi="宋体" w:cs="宋体"/>
          <w:sz w:val="24"/>
          <w:szCs w:val="24"/>
          <w:lang w:val="en-US" w:eastAsia="zh-CN"/>
        </w:rPr>
        <w:t>印发</w:t>
      </w:r>
      <w:r>
        <w:rPr>
          <w:rFonts w:hint="eastAsia" w:ascii="宋体" w:hAnsi="宋体" w:eastAsia="宋体" w:cs="宋体"/>
          <w:sz w:val="24"/>
          <w:szCs w:val="24"/>
        </w:rPr>
        <w:t>〈</w:t>
      </w:r>
      <w:r>
        <w:rPr>
          <w:rFonts w:hint="eastAsia" w:ascii="宋体" w:hAnsi="宋体" w:cs="宋体"/>
          <w:sz w:val="24"/>
          <w:szCs w:val="24"/>
          <w:lang w:val="en-US" w:eastAsia="zh-CN"/>
        </w:rPr>
        <w:t>项目支出</w:t>
      </w:r>
      <w:r>
        <w:rPr>
          <w:rFonts w:hint="eastAsia" w:ascii="宋体" w:hAnsi="宋体" w:eastAsia="宋体" w:cs="宋体"/>
          <w:sz w:val="24"/>
          <w:szCs w:val="24"/>
        </w:rPr>
        <w:t>绩效</w:t>
      </w:r>
      <w:r>
        <w:rPr>
          <w:rFonts w:hint="eastAsia" w:ascii="宋体" w:hAnsi="宋体" w:cs="宋体"/>
          <w:sz w:val="24"/>
          <w:szCs w:val="24"/>
          <w:lang w:val="en-US" w:eastAsia="zh-CN"/>
        </w:rPr>
        <w:t>评价</w:t>
      </w:r>
      <w:r>
        <w:rPr>
          <w:rFonts w:hint="eastAsia" w:ascii="宋体" w:hAnsi="宋体" w:eastAsia="宋体" w:cs="宋体"/>
          <w:sz w:val="24"/>
          <w:szCs w:val="24"/>
        </w:rPr>
        <w:t>管理</w:t>
      </w:r>
      <w:r>
        <w:rPr>
          <w:rFonts w:hint="eastAsia" w:ascii="宋体" w:hAnsi="宋体" w:cs="宋体"/>
          <w:sz w:val="24"/>
          <w:szCs w:val="24"/>
          <w:lang w:val="en-US" w:eastAsia="zh-CN"/>
        </w:rPr>
        <w:t>办法</w:t>
      </w:r>
      <w:r>
        <w:rPr>
          <w:rFonts w:hint="eastAsia" w:ascii="宋体" w:hAnsi="宋体" w:eastAsia="宋体" w:cs="宋体"/>
          <w:sz w:val="24"/>
          <w:szCs w:val="24"/>
        </w:rPr>
        <w:t>〉的通知》（财预〔20</w:t>
      </w:r>
      <w:r>
        <w:rPr>
          <w:rFonts w:hint="eastAsia" w:ascii="宋体" w:hAnsi="宋体" w:cs="宋体"/>
          <w:sz w:val="24"/>
          <w:szCs w:val="24"/>
          <w:lang w:val="en-US" w:eastAsia="zh-CN"/>
        </w:rPr>
        <w:t>20</w:t>
      </w:r>
      <w:r>
        <w:rPr>
          <w:rFonts w:hint="eastAsia" w:ascii="宋体" w:hAnsi="宋体" w:eastAsia="宋体" w:cs="宋体"/>
          <w:sz w:val="24"/>
          <w:szCs w:val="24"/>
        </w:rPr>
        <w:t>〕1</w:t>
      </w:r>
      <w:r>
        <w:rPr>
          <w:rFonts w:hint="eastAsia" w:ascii="宋体" w:hAnsi="宋体" w:cs="宋体"/>
          <w:sz w:val="24"/>
          <w:szCs w:val="24"/>
          <w:lang w:val="en-US" w:eastAsia="zh-CN"/>
        </w:rPr>
        <w:t>0</w:t>
      </w:r>
      <w:r>
        <w:rPr>
          <w:rFonts w:hint="eastAsia" w:ascii="宋体" w:hAnsi="宋体" w:eastAsia="宋体" w:cs="宋体"/>
          <w:sz w:val="24"/>
          <w:szCs w:val="24"/>
        </w:rPr>
        <w:t>号）</w:t>
      </w:r>
      <w:r>
        <w:rPr>
          <w:rFonts w:hint="eastAsia" w:ascii="宋体" w:hAnsi="宋体" w:cs="宋体"/>
          <w:sz w:val="24"/>
          <w:szCs w:val="24"/>
          <w:lang w:eastAsia="zh-CN"/>
        </w:rPr>
        <w:t>、</w:t>
      </w:r>
      <w:r>
        <w:rPr>
          <w:rFonts w:hint="eastAsia" w:ascii="宋体" w:hAnsi="宋体" w:eastAsia="宋体" w:cs="宋体"/>
          <w:sz w:val="24"/>
          <w:szCs w:val="24"/>
        </w:rPr>
        <w:t>《中共泉州市委办公室 泉州市人民政府办公室关于印发〈全面实施预算绩效管理的若干措施〉的通知》（泉委办发〔2019〕42号）、《泉州市财政局关于印发〈泉州市财政支出绩效评价管理规定〉的通知》（泉财预〔2016〕407号）、《泉州市财政局关于印发〈委托第三方机构参与财政支出绩效评价工作管理暂行规定〉的通知》（泉财预〔2017〕228号）、《泉州市丰泽区财政局关于开展201</w:t>
      </w:r>
      <w:r>
        <w:rPr>
          <w:rFonts w:hint="eastAsia" w:ascii="宋体" w:hAnsi="宋体" w:cs="宋体"/>
          <w:sz w:val="24"/>
          <w:szCs w:val="24"/>
          <w:lang w:val="en-US" w:eastAsia="zh-CN"/>
        </w:rPr>
        <w:t>9</w:t>
      </w:r>
      <w:r>
        <w:rPr>
          <w:rFonts w:hint="eastAsia" w:ascii="宋体" w:hAnsi="宋体" w:eastAsia="宋体" w:cs="宋体"/>
          <w:sz w:val="24"/>
          <w:szCs w:val="24"/>
        </w:rPr>
        <w:t>年项目绩效重点评价的通知》（泉丰财</w:t>
      </w:r>
      <w:r>
        <w:rPr>
          <w:rFonts w:hint="eastAsia" w:ascii="宋体" w:hAnsi="宋体" w:cs="宋体"/>
          <w:sz w:val="24"/>
          <w:szCs w:val="24"/>
          <w:lang w:val="en-US" w:eastAsia="zh-CN"/>
        </w:rPr>
        <w:t>绩</w:t>
      </w:r>
      <w:r>
        <w:rPr>
          <w:rFonts w:hint="eastAsia" w:ascii="宋体" w:hAnsi="宋体" w:eastAsia="宋体" w:cs="宋体"/>
          <w:sz w:val="24"/>
          <w:szCs w:val="24"/>
        </w:rPr>
        <w:t>〔20</w:t>
      </w:r>
      <w:r>
        <w:rPr>
          <w:rFonts w:hint="eastAsia" w:ascii="宋体" w:hAnsi="宋体" w:cs="宋体"/>
          <w:sz w:val="24"/>
          <w:szCs w:val="24"/>
          <w:lang w:val="en-US" w:eastAsia="zh-CN"/>
        </w:rPr>
        <w:t>20</w:t>
      </w: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号）等文件精神和相关工作要求，组建了绩效评价工作组，对</w:t>
      </w:r>
      <w:r>
        <w:rPr>
          <w:rFonts w:hint="eastAsia" w:ascii="宋体" w:hAnsi="宋体" w:cs="宋体"/>
          <w:sz w:val="24"/>
          <w:szCs w:val="24"/>
          <w:lang w:val="en-US" w:eastAsia="zh-CN"/>
        </w:rPr>
        <w:t>丰泽区</w:t>
      </w:r>
      <w:r>
        <w:rPr>
          <w:rFonts w:hint="eastAsia" w:ascii="宋体" w:hAnsi="宋体" w:eastAsia="宋体" w:cs="宋体"/>
          <w:sz w:val="24"/>
          <w:szCs w:val="24"/>
        </w:rPr>
        <w:t>20</w:t>
      </w:r>
      <w:r>
        <w:rPr>
          <w:rFonts w:hint="eastAsia" w:ascii="宋体" w:hAnsi="宋体" w:cs="宋体"/>
          <w:sz w:val="24"/>
          <w:szCs w:val="24"/>
          <w:lang w:val="en-US" w:eastAsia="zh-CN"/>
        </w:rPr>
        <w:t>19年度65</w:t>
      </w:r>
      <w:r>
        <w:rPr>
          <w:rFonts w:hint="eastAsia" w:ascii="宋体" w:hAnsi="宋体" w:eastAsia="宋体" w:cs="宋体"/>
          <w:sz w:val="24"/>
          <w:szCs w:val="24"/>
        </w:rPr>
        <w:t>00万元的</w:t>
      </w:r>
      <w:r>
        <w:rPr>
          <w:rFonts w:hint="eastAsia" w:ascii="宋体" w:hAnsi="宋体" w:cs="宋体"/>
          <w:sz w:val="24"/>
          <w:szCs w:val="24"/>
          <w:lang w:val="en-US" w:eastAsia="zh-CN"/>
        </w:rPr>
        <w:t>扶持企业科技基金及扶持企业发展专项基金</w:t>
      </w:r>
      <w:r>
        <w:rPr>
          <w:rFonts w:hint="eastAsia" w:ascii="宋体" w:hAnsi="宋体" w:eastAsia="宋体" w:cs="宋体"/>
          <w:sz w:val="24"/>
          <w:szCs w:val="24"/>
        </w:rPr>
        <w:t>进行绩效评价。通过座谈、调研、</w:t>
      </w:r>
      <w:r>
        <w:rPr>
          <w:rFonts w:hint="eastAsia" w:ascii="宋体" w:hAnsi="宋体" w:cs="宋体"/>
          <w:sz w:val="24"/>
          <w:szCs w:val="24"/>
          <w:lang w:val="en-US" w:eastAsia="zh-CN"/>
        </w:rPr>
        <w:t>现场核查、问卷调查</w:t>
      </w:r>
      <w:r>
        <w:rPr>
          <w:rFonts w:hint="eastAsia" w:ascii="宋体" w:hAnsi="宋体" w:eastAsia="宋体" w:cs="宋体"/>
          <w:sz w:val="24"/>
          <w:szCs w:val="24"/>
        </w:rPr>
        <w:t>等工作流程，收集、整理、汇总、分析相关绩效评价资料，拟定绩效评价指标体系，对照评价指标和标准进行评议与打分，撰写了《泉州市丰泽区201</w:t>
      </w:r>
      <w:r>
        <w:rPr>
          <w:rFonts w:hint="eastAsia" w:ascii="宋体" w:hAnsi="宋体" w:eastAsia="宋体" w:cs="宋体"/>
          <w:sz w:val="24"/>
          <w:szCs w:val="24"/>
          <w:lang w:val="en-US" w:eastAsia="zh-CN"/>
        </w:rPr>
        <w:t>9</w:t>
      </w:r>
      <w:r>
        <w:rPr>
          <w:rFonts w:hint="eastAsia" w:ascii="宋体" w:hAnsi="宋体" w:eastAsia="宋体" w:cs="宋体"/>
          <w:sz w:val="24"/>
          <w:szCs w:val="24"/>
        </w:rPr>
        <w:t>年度扶持企业科技基金及扶持企业发展专项基金绩效评价报告》。</w:t>
      </w:r>
      <w:r>
        <w:rPr>
          <w:rFonts w:hint="eastAsia" w:ascii="宋体" w:hAnsi="宋体" w:cs="宋体"/>
          <w:sz w:val="24"/>
          <w:szCs w:val="24"/>
          <w:lang w:val="en-US" w:eastAsia="zh-CN"/>
        </w:rPr>
        <w:t>报告据以</w:t>
      </w:r>
      <w:r>
        <w:rPr>
          <w:rFonts w:hint="eastAsia" w:ascii="宋体" w:hAnsi="宋体" w:eastAsia="宋体" w:cs="宋体"/>
          <w:sz w:val="24"/>
          <w:szCs w:val="24"/>
        </w:rPr>
        <w:t>全面反映泉州市丰泽区201</w:t>
      </w:r>
      <w:r>
        <w:rPr>
          <w:rFonts w:hint="eastAsia" w:ascii="宋体" w:hAnsi="宋体" w:cs="宋体"/>
          <w:sz w:val="24"/>
          <w:szCs w:val="24"/>
          <w:lang w:val="en-US" w:eastAsia="zh-CN"/>
        </w:rPr>
        <w:t>9</w:t>
      </w:r>
      <w:r>
        <w:rPr>
          <w:rFonts w:hint="eastAsia" w:ascii="宋体" w:hAnsi="宋体" w:eastAsia="宋体" w:cs="宋体"/>
          <w:sz w:val="24"/>
          <w:szCs w:val="24"/>
        </w:rPr>
        <w:t>年度扶持企业科技基金及扶持企业发展专项基金的绩效情况，力求以评价结果为应用导向，努力提高财政资金使用效益。</w:t>
      </w:r>
    </w:p>
    <w:p>
      <w:pPr>
        <w:pStyle w:val="2"/>
        <w:spacing w:beforeLines="100" w:afterLines="100" w:line="360" w:lineRule="auto"/>
        <w:jc w:val="center"/>
        <w:rPr>
          <w:rFonts w:hint="eastAsia" w:eastAsia="方正小标宋_GBK"/>
          <w:sz w:val="30"/>
          <w:szCs w:val="30"/>
          <w:lang w:val="en-US" w:eastAsia="zh-CN"/>
        </w:rPr>
      </w:pPr>
      <w:bookmarkStart w:id="0" w:name="_Toc3844"/>
      <w:bookmarkStart w:id="1" w:name="_Toc15942"/>
      <w:bookmarkStart w:id="2" w:name="_Toc21809"/>
      <w:r>
        <w:rPr>
          <w:rFonts w:hint="eastAsia" w:ascii="方正小标宋_GBK" w:hAnsi="仿宋" w:eastAsia="方正小标宋_GBK" w:cs="黑体"/>
          <w:sz w:val="30"/>
          <w:szCs w:val="30"/>
          <w:lang w:val="en-US" w:eastAsia="zh-CN"/>
        </w:rPr>
        <w:t>一</w:t>
      </w:r>
      <w:r>
        <w:rPr>
          <w:rFonts w:hint="eastAsia" w:ascii="方正小标宋_GBK" w:hAnsi="仿宋" w:eastAsia="方正小标宋_GBK" w:cs="黑体"/>
          <w:sz w:val="30"/>
          <w:szCs w:val="30"/>
        </w:rPr>
        <w:t>、</w:t>
      </w:r>
      <w:r>
        <w:rPr>
          <w:rFonts w:hint="eastAsia" w:ascii="方正小标宋_GBK" w:hAnsi="仿宋" w:eastAsia="方正小标宋_GBK" w:cs="黑体"/>
          <w:sz w:val="30"/>
          <w:szCs w:val="30"/>
          <w:lang w:val="en-US" w:eastAsia="zh-CN"/>
        </w:rPr>
        <w:t>基本情况</w:t>
      </w:r>
      <w:bookmarkEnd w:id="0"/>
    </w:p>
    <w:bookmarkEnd w:id="1"/>
    <w:bookmarkEnd w:id="2"/>
    <w:p>
      <w:pPr>
        <w:pStyle w:val="3"/>
        <w:spacing w:before="0" w:after="0" w:line="360" w:lineRule="auto"/>
        <w:ind w:firstLine="560" w:firstLineChars="200"/>
        <w:rPr>
          <w:rFonts w:hint="eastAsia" w:ascii="宋体" w:hAnsi="宋体" w:eastAsia="方正小标宋_GBK"/>
          <w:b w:val="0"/>
          <w:kern w:val="0"/>
          <w:sz w:val="28"/>
          <w:szCs w:val="28"/>
          <w:lang w:val="en-US" w:eastAsia="zh-CN"/>
        </w:rPr>
      </w:pPr>
      <w:bookmarkStart w:id="3" w:name="_Toc5774"/>
      <w:r>
        <w:rPr>
          <w:rFonts w:hint="eastAsia" w:ascii="方正小标宋_GBK" w:hAnsi="仿宋" w:eastAsia="方正小标宋_GBK" w:cs="黑体"/>
          <w:sz w:val="28"/>
          <w:szCs w:val="28"/>
        </w:rPr>
        <w:t>（一）项目</w:t>
      </w:r>
      <w:r>
        <w:rPr>
          <w:rFonts w:hint="eastAsia" w:ascii="方正小标宋_GBK" w:hAnsi="仿宋" w:eastAsia="方正小标宋_GBK" w:cs="黑体"/>
          <w:sz w:val="28"/>
          <w:szCs w:val="28"/>
          <w:lang w:val="en-US" w:eastAsia="zh-CN"/>
        </w:rPr>
        <w:t>概况</w:t>
      </w:r>
      <w:bookmarkEnd w:id="3"/>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rPr>
        <w:t>1.</w:t>
      </w:r>
      <w:r>
        <w:rPr>
          <w:rFonts w:hint="eastAsia" w:ascii="宋体" w:hAnsi="宋体" w:cs="宋体"/>
          <w:b/>
          <w:bCs/>
          <w:sz w:val="24"/>
          <w:szCs w:val="24"/>
          <w:lang w:val="en-US" w:eastAsia="zh-CN"/>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科学技术是第一生产力，创新是引领发展的第一动力。推进大众创业、万众创新，是发展的动力之源，也是富民之道、公平之计、强国之策，对于推动经济结构调整、打造发展新引擎、增强发展新动力、走创新驱动发展道路具有重要意义</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是稳增长、扩就业、激发亿万群众智慧和创造力，促进社会纵向流动、公平正义的重大举措。</w:t>
      </w:r>
      <w:r>
        <w:rPr>
          <w:rFonts w:hint="eastAsia" w:ascii="宋体" w:hAnsi="宋体" w:cs="宋体"/>
          <w:color w:val="000000"/>
          <w:sz w:val="24"/>
          <w:szCs w:val="24"/>
          <w:lang w:val="en-US" w:eastAsia="zh-CN"/>
        </w:rPr>
        <w:t>为了抢占科技高地，打造竞争优势，推动产业向价值链中高端迈进，泉州市丰泽区大力实施创新驱动发展战略，全面推进创新型城区建设；鼓励支持企业申报和实施各级各类科技项目，发挥项目带动作用，提升企业技术创新能力；不断培育壮大高新技术企业、科技小巨人领军企业、市级瞪羚企业、战略性新兴产业成长型企业等创新主体，鼓励引进和培养创新创业人才；加快重大创新平台和创新创业载体建设，积极推动科技成果转化和技术交易；修订“科技领航计划”“知识产权护航计划”等区级奖励政策，加大科技奖励政策制定和宣传落实力度，激发创业、创新主体活力。</w:t>
      </w:r>
      <w:r>
        <w:rPr>
          <w:rFonts w:hint="eastAsia" w:ascii="宋体" w:hAnsi="宋体" w:eastAsia="宋体" w:cs="宋体"/>
          <w:color w:val="000000"/>
          <w:sz w:val="24"/>
          <w:szCs w:val="24"/>
          <w:lang w:val="en-US" w:eastAsia="zh-CN"/>
        </w:rPr>
        <w:t>2017年，</w:t>
      </w:r>
      <w:r>
        <w:rPr>
          <w:rFonts w:hint="eastAsia" w:ascii="宋体" w:hAnsi="宋体" w:cs="宋体"/>
          <w:color w:val="000000"/>
          <w:sz w:val="24"/>
          <w:szCs w:val="24"/>
          <w:lang w:val="en-US" w:eastAsia="zh-CN"/>
        </w:rPr>
        <w:t>泉州市</w:t>
      </w:r>
      <w:r>
        <w:rPr>
          <w:rFonts w:hint="eastAsia" w:ascii="宋体" w:hAnsi="宋体" w:eastAsia="宋体" w:cs="宋体"/>
          <w:color w:val="000000"/>
          <w:sz w:val="24"/>
          <w:szCs w:val="24"/>
          <w:lang w:val="en-US" w:eastAsia="zh-CN"/>
        </w:rPr>
        <w:t>丰泽区作为</w:t>
      </w:r>
      <w:r>
        <w:rPr>
          <w:rFonts w:hint="eastAsia" w:ascii="宋体" w:hAnsi="宋体" w:cs="宋体"/>
          <w:color w:val="000000"/>
          <w:sz w:val="24"/>
          <w:szCs w:val="24"/>
          <w:lang w:val="en-US" w:eastAsia="zh-CN"/>
        </w:rPr>
        <w:t>福建</w:t>
      </w:r>
      <w:r>
        <w:rPr>
          <w:rFonts w:hint="eastAsia" w:ascii="宋体" w:hAnsi="宋体" w:eastAsia="宋体" w:cs="宋体"/>
          <w:color w:val="000000"/>
          <w:sz w:val="24"/>
          <w:szCs w:val="24"/>
          <w:lang w:val="en-US" w:eastAsia="zh-CN"/>
        </w:rPr>
        <w:t>省唯一县（市、区）入选国家“大众创业、万众创新”示范基地</w:t>
      </w:r>
      <w:r>
        <w:rPr>
          <w:rFonts w:hint="eastAsia" w:ascii="宋体" w:hAnsi="宋体" w:cs="宋体"/>
          <w:color w:val="000000"/>
          <w:sz w:val="24"/>
          <w:szCs w:val="24"/>
          <w:lang w:val="en-US" w:eastAsia="zh-CN"/>
        </w:rPr>
        <w:t>。2018-2019年，丰泽区</w:t>
      </w:r>
      <w:r>
        <w:rPr>
          <w:rFonts w:hint="eastAsia" w:ascii="宋体" w:hAnsi="宋体" w:eastAsia="宋体" w:cs="宋体"/>
          <w:color w:val="000000"/>
          <w:sz w:val="24"/>
          <w:szCs w:val="24"/>
          <w:lang w:val="en-US" w:eastAsia="zh-CN"/>
        </w:rPr>
        <w:t>成功举办“创响中国”泉州丰泽站暨海上丝绸之路国际数字商业创新节</w:t>
      </w:r>
      <w:r>
        <w:rPr>
          <w:rFonts w:hint="eastAsia" w:ascii="宋体" w:hAnsi="宋体" w:cs="宋体"/>
          <w:color w:val="000000"/>
          <w:sz w:val="24"/>
          <w:szCs w:val="24"/>
          <w:lang w:val="en-US" w:eastAsia="zh-CN"/>
        </w:rPr>
        <w:t>、“创响中国”泉州丰泽站暨“双创”人才峰会等大型活动，</w:t>
      </w:r>
      <w:r>
        <w:rPr>
          <w:rFonts w:hint="eastAsia" w:ascii="宋体" w:hAnsi="宋体" w:eastAsia="宋体" w:cs="宋体"/>
          <w:color w:val="000000"/>
          <w:sz w:val="24"/>
          <w:szCs w:val="24"/>
          <w:lang w:val="en-US" w:eastAsia="zh-CN"/>
        </w:rPr>
        <w:t>双创氛围进一步凸显</w:t>
      </w:r>
      <w:r>
        <w:rPr>
          <w:rFonts w:hint="eastAsia" w:ascii="宋体" w:hAnsi="宋体" w:cs="宋体"/>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为了</w:t>
      </w:r>
      <w:r>
        <w:rPr>
          <w:rFonts w:hint="eastAsia" w:ascii="宋体" w:hAnsi="宋体" w:eastAsia="宋体" w:cs="宋体"/>
          <w:color w:val="000000"/>
          <w:sz w:val="24"/>
          <w:szCs w:val="24"/>
          <w:lang w:val="en-US" w:eastAsia="zh-CN"/>
        </w:rPr>
        <w:t>加快人才、技术、资本等要素</w:t>
      </w:r>
      <w:r>
        <w:rPr>
          <w:rFonts w:hint="eastAsia" w:ascii="宋体" w:hAnsi="宋体" w:cs="宋体"/>
          <w:color w:val="000000"/>
          <w:sz w:val="24"/>
          <w:szCs w:val="24"/>
          <w:lang w:val="en-US" w:eastAsia="zh-CN"/>
        </w:rPr>
        <w:t>的</w:t>
      </w:r>
      <w:r>
        <w:rPr>
          <w:rFonts w:hint="eastAsia" w:ascii="宋体" w:hAnsi="宋体" w:eastAsia="宋体" w:cs="宋体"/>
          <w:color w:val="000000"/>
          <w:sz w:val="24"/>
          <w:szCs w:val="24"/>
          <w:lang w:val="en-US" w:eastAsia="zh-CN"/>
        </w:rPr>
        <w:t>集聚，进一步招大选强引优，高效整合产业链条，</w:t>
      </w:r>
      <w:r>
        <w:rPr>
          <w:rFonts w:hint="eastAsia" w:ascii="宋体" w:hAnsi="宋体" w:cs="宋体"/>
          <w:color w:val="000000"/>
          <w:sz w:val="24"/>
          <w:szCs w:val="24"/>
          <w:lang w:val="en-US" w:eastAsia="zh-CN"/>
        </w:rPr>
        <w:t>推动</w:t>
      </w:r>
      <w:r>
        <w:rPr>
          <w:rFonts w:hint="eastAsia" w:ascii="宋体" w:hAnsi="宋体" w:eastAsia="宋体" w:cs="宋体"/>
          <w:color w:val="000000"/>
          <w:sz w:val="24"/>
          <w:szCs w:val="24"/>
          <w:lang w:val="en-US" w:eastAsia="zh-CN"/>
        </w:rPr>
        <w:t>产业转型升级</w:t>
      </w:r>
      <w:r>
        <w:rPr>
          <w:rFonts w:hint="eastAsia" w:ascii="宋体" w:hAnsi="宋体" w:cs="宋体"/>
          <w:color w:val="000000"/>
          <w:sz w:val="24"/>
          <w:szCs w:val="24"/>
          <w:lang w:val="en-US" w:eastAsia="zh-CN"/>
        </w:rPr>
        <w:t>，丰泽区</w:t>
      </w:r>
      <w:r>
        <w:rPr>
          <w:rFonts w:hint="eastAsia" w:ascii="宋体" w:hAnsi="宋体" w:eastAsia="宋体" w:cs="宋体"/>
          <w:color w:val="000000"/>
          <w:sz w:val="24"/>
          <w:szCs w:val="24"/>
          <w:lang w:val="en-US" w:eastAsia="zh-CN"/>
        </w:rPr>
        <w:t>以园区撬动经济发展</w:t>
      </w:r>
      <w:r>
        <w:rPr>
          <w:rFonts w:hint="eastAsia" w:ascii="宋体" w:hAnsi="宋体" w:cs="宋体"/>
          <w:color w:val="000000"/>
          <w:sz w:val="24"/>
          <w:szCs w:val="24"/>
          <w:lang w:val="en-US" w:eastAsia="zh-CN"/>
        </w:rPr>
        <w:t>，建立了</w:t>
      </w:r>
      <w:r>
        <w:rPr>
          <w:rFonts w:hint="eastAsia" w:ascii="宋体" w:hAnsi="宋体" w:eastAsia="宋体" w:cs="宋体"/>
          <w:color w:val="000000"/>
          <w:sz w:val="24"/>
          <w:szCs w:val="24"/>
          <w:lang w:val="en-US" w:eastAsia="zh-CN"/>
        </w:rPr>
        <w:t>泉州软件园、华侨大学（丰泽）创新创业园、北峰数控一代智能制造装备产业园、泉州市网商虚拟产业园等</w:t>
      </w:r>
      <w:r>
        <w:rPr>
          <w:rFonts w:hint="eastAsia" w:ascii="宋体" w:hAnsi="宋体" w:cs="宋体"/>
          <w:color w:val="000000"/>
          <w:sz w:val="24"/>
          <w:szCs w:val="24"/>
          <w:lang w:val="en-US" w:eastAsia="zh-CN"/>
        </w:rPr>
        <w:t>八大产业</w:t>
      </w:r>
      <w:r>
        <w:rPr>
          <w:rFonts w:hint="eastAsia" w:ascii="宋体" w:hAnsi="宋体" w:eastAsia="宋体" w:cs="宋体"/>
          <w:color w:val="000000"/>
          <w:sz w:val="24"/>
          <w:szCs w:val="24"/>
          <w:lang w:val="en-US" w:eastAsia="zh-CN"/>
        </w:rPr>
        <w:t>园区</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力促经济发展再上新台阶，打造城市经济升级版</w:t>
      </w:r>
      <w:r>
        <w:rPr>
          <w:rFonts w:hint="eastAsia" w:ascii="宋体" w:hAnsi="宋体" w:cs="宋体"/>
          <w:color w:val="000000"/>
          <w:sz w:val="24"/>
          <w:szCs w:val="24"/>
          <w:lang w:val="en-US" w:eastAsia="zh-CN"/>
        </w:rPr>
        <w:t>。</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总之，近几年来，泉州市丰泽区以推进全国双创示范基地建设为重要抓手，深入实施创新驱动发展战略，提升创新型城区建设水平。围绕“双创引领、转型攻坚、聚力跨越”工作主线，加快产城人融合，进一步增强和凸显中心城市的辐射和带动作用，在科技创新方面“站得高、看得远、快一步”，在政策、平台、人才等方面着重发力，带动、服务泉州市的科技创新。</w:t>
      </w:r>
    </w:p>
    <w:p>
      <w:pPr>
        <w:spacing w:line="360" w:lineRule="auto"/>
        <w:ind w:firstLine="482" w:firstLineChars="200"/>
        <w:rPr>
          <w:rFonts w:hint="default" w:ascii="宋体" w:hAnsi="宋体"/>
          <w:b/>
          <w:bCs/>
          <w:sz w:val="24"/>
          <w:lang w:val="en-US" w:eastAsia="zh-CN"/>
        </w:rPr>
      </w:pPr>
      <w:r>
        <w:rPr>
          <w:rFonts w:hint="eastAsia" w:ascii="宋体" w:hAnsi="宋体"/>
          <w:b/>
          <w:bCs/>
          <w:sz w:val="24"/>
          <w:lang w:val="en-US" w:eastAsia="zh-CN"/>
        </w:rPr>
        <w:t>2.项目主要内容和实施情况</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为了</w:t>
      </w:r>
      <w:r>
        <w:rPr>
          <w:rFonts w:hint="eastAsia" w:ascii="宋体" w:hAnsi="宋体" w:eastAsia="宋体" w:cs="宋体"/>
          <w:color w:val="000000"/>
          <w:sz w:val="24"/>
          <w:szCs w:val="24"/>
        </w:rPr>
        <w:t>进一步转变传统思维理念，改革创新产业发展扶持方式，统筹整合各项惠企资金加大扶持企业投入力度，助推企业发展和推进产业转型升级</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泉州市丰泽区设立</w:t>
      </w:r>
      <w:r>
        <w:rPr>
          <w:rFonts w:hint="eastAsia" w:ascii="宋体" w:hAnsi="宋体" w:eastAsia="宋体" w:cs="宋体"/>
          <w:color w:val="000000"/>
          <w:sz w:val="24"/>
          <w:szCs w:val="24"/>
        </w:rPr>
        <w:t>扶持企业科技基金及扶持企业发展专项基金</w:t>
      </w:r>
      <w:r>
        <w:rPr>
          <w:rFonts w:hint="eastAsia" w:ascii="宋体" w:hAnsi="宋体" w:cs="宋体"/>
          <w:color w:val="000000"/>
          <w:sz w:val="24"/>
          <w:szCs w:val="24"/>
          <w:lang w:eastAsia="zh-CN"/>
        </w:rPr>
        <w:t>，</w:t>
      </w:r>
      <w:r>
        <w:rPr>
          <w:rFonts w:hint="eastAsia" w:ascii="宋体" w:hAnsi="宋体" w:eastAsia="宋体" w:cs="宋体"/>
          <w:color w:val="000000"/>
          <w:sz w:val="24"/>
          <w:szCs w:val="24"/>
        </w:rPr>
        <w:t>紧紧围绕国家产业发展方向和扶持政策重点领域，将扶持项目资金范围涵盖产业集群、技术创新、数字经济等新兴产业和现代服务业。</w:t>
      </w:r>
      <w:r>
        <w:rPr>
          <w:rFonts w:hint="eastAsia" w:ascii="宋体" w:hAnsi="宋体" w:cs="宋体"/>
          <w:color w:val="000000"/>
          <w:sz w:val="24"/>
          <w:szCs w:val="24"/>
          <w:lang w:val="en-US" w:eastAsia="zh-CN"/>
        </w:rPr>
        <w:t>泉州市丰泽区2019年度</w:t>
      </w:r>
      <w:r>
        <w:rPr>
          <w:rFonts w:hint="eastAsia" w:ascii="宋体" w:hAnsi="宋体" w:eastAsia="宋体" w:cs="宋体"/>
          <w:color w:val="000000"/>
          <w:sz w:val="24"/>
          <w:szCs w:val="24"/>
        </w:rPr>
        <w:t>扶持企业科技基金及扶持企业发展专项基金</w:t>
      </w:r>
      <w:r>
        <w:rPr>
          <w:rFonts w:hint="eastAsia" w:ascii="宋体" w:hAnsi="宋体" w:cs="宋体"/>
          <w:color w:val="000000"/>
          <w:sz w:val="24"/>
          <w:szCs w:val="24"/>
          <w:lang w:val="en-US" w:eastAsia="zh-CN"/>
        </w:rPr>
        <w:t>的预算单位是丰泽区财政局，专项资金主要用于年中各单位跟惠企有关的追加支出，以及执行中上级政府要求配套的惠企资金，包括</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val="en-US" w:eastAsia="zh-CN"/>
        </w:rPr>
        <w:t>和扶持企业发展专项基金。</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即科技三项费用，根据《福建省科学技术进步条例》第四十七条设立，是政府为了促进科学技术进步，增强自主创新能力，加快科学技术成果转化和产业化，推动经济社会发展而设立的基金，主要用于扶持区级科技计划项目、区级惠企奖励资金、省级高新技术企业入库出库奖补区级配套资金、科技优惠政策奖励金、人才港湾计划促进人才发展政策资金、城市安全信息系统项目、电子物证勘验中心经费等。</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扶持企业发展专项基金主要用于扶持企业发展壮大，促进丰泽区中小企业健康快速发展，支出范围包括：华侨大学（丰泽）创新创业园（简称华创园）智能化系统项目经费、华创园部分工程费用和监理费用、华创园经营场所租赁费用和基本运营费、北峰数控园区建设专项资金、泉州南京大学环保产业研究院建设经费、泉州网商（虚拟）产业园扶持政策区级奖励资金、区级创意产业政策奖励资金、数字经济发展专项区级配套资金、加快机械装备产业和两化融合发展专项区级配套资金等。</w:t>
      </w:r>
    </w:p>
    <w:p>
      <w:pPr>
        <w:spacing w:line="360" w:lineRule="auto"/>
        <w:ind w:firstLine="482" w:firstLineChars="200"/>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3.资金投入和使用情况</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2019年初泉州市丰泽区财政局预算安排</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科技三项费用）4000万元、</w:t>
      </w:r>
      <w:r>
        <w:rPr>
          <w:rFonts w:hint="eastAsia" w:ascii="宋体" w:hAnsi="宋体" w:eastAsia="宋体" w:cs="宋体"/>
          <w:color w:val="000000"/>
          <w:sz w:val="24"/>
          <w:szCs w:val="24"/>
        </w:rPr>
        <w:t>扶持企业发展专项基金</w:t>
      </w:r>
      <w:r>
        <w:rPr>
          <w:rFonts w:hint="eastAsia" w:ascii="宋体" w:hAnsi="宋体" w:cs="宋体"/>
          <w:color w:val="000000"/>
          <w:sz w:val="24"/>
          <w:szCs w:val="24"/>
          <w:lang w:val="en-US" w:eastAsia="zh-CN"/>
        </w:rPr>
        <w:t>2500万元，合计6500万元。年中，</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科技三项费用）调减为2950万元，余下的1050万元调整至扶持企业发展专项基金。因此，2019年度丰泽区</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科技三项费用）预算安排2950万元，</w:t>
      </w:r>
      <w:r>
        <w:rPr>
          <w:rFonts w:hint="eastAsia" w:ascii="宋体" w:hAnsi="宋体" w:eastAsia="宋体" w:cs="宋体"/>
          <w:color w:val="000000"/>
          <w:sz w:val="24"/>
          <w:szCs w:val="24"/>
        </w:rPr>
        <w:t>扶持企业发展专项基金</w:t>
      </w:r>
      <w:r>
        <w:rPr>
          <w:rFonts w:hint="eastAsia" w:ascii="宋体" w:hAnsi="宋体" w:cs="宋体"/>
          <w:color w:val="000000"/>
          <w:sz w:val="24"/>
          <w:szCs w:val="24"/>
          <w:lang w:val="en-US" w:eastAsia="zh-CN"/>
        </w:rPr>
        <w:t>预算安排3550万元，</w:t>
      </w:r>
      <w:r>
        <w:rPr>
          <w:rFonts w:hint="eastAsia" w:ascii="宋体" w:hAnsi="宋体" w:eastAsia="宋体" w:cs="宋体"/>
          <w:color w:val="000000"/>
          <w:sz w:val="24"/>
          <w:szCs w:val="24"/>
        </w:rPr>
        <w:t>扶持企业科技基金及扶持企业发展专项基金</w:t>
      </w:r>
      <w:r>
        <w:rPr>
          <w:rFonts w:hint="eastAsia" w:ascii="宋体" w:hAnsi="宋体" w:cs="宋体"/>
          <w:color w:val="000000"/>
          <w:sz w:val="24"/>
          <w:szCs w:val="24"/>
          <w:lang w:val="en-US" w:eastAsia="zh-CN"/>
        </w:rPr>
        <w:t>预算合计6500万元。</w:t>
      </w:r>
    </w:p>
    <w:p>
      <w:pPr>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2019年度泉州市丰泽区</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val="en-US" w:eastAsia="zh-CN"/>
        </w:rPr>
        <w:t>及</w:t>
      </w:r>
      <w:r>
        <w:rPr>
          <w:rFonts w:hint="eastAsia" w:ascii="宋体" w:hAnsi="宋体" w:eastAsia="宋体" w:cs="宋体"/>
          <w:color w:val="000000"/>
          <w:sz w:val="24"/>
          <w:szCs w:val="24"/>
        </w:rPr>
        <w:t>扶持企业发展专项基金</w:t>
      </w:r>
      <w:r>
        <w:rPr>
          <w:rFonts w:hint="eastAsia" w:ascii="宋体" w:hAnsi="宋体" w:cs="宋体"/>
          <w:color w:val="000000"/>
          <w:sz w:val="24"/>
          <w:szCs w:val="24"/>
          <w:lang w:val="en-US" w:eastAsia="zh-CN"/>
        </w:rPr>
        <w:t>实际支出6310.895万元，其中：</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科技三项费用）支出2760.895万元、</w:t>
      </w:r>
      <w:r>
        <w:rPr>
          <w:rFonts w:hint="eastAsia" w:ascii="宋体" w:hAnsi="宋体" w:eastAsia="宋体" w:cs="宋体"/>
          <w:color w:val="000000"/>
          <w:sz w:val="24"/>
          <w:szCs w:val="24"/>
        </w:rPr>
        <w:t>扶持企业发展专项基金</w:t>
      </w:r>
      <w:r>
        <w:rPr>
          <w:rFonts w:hint="eastAsia" w:ascii="宋体" w:hAnsi="宋体" w:cs="宋体"/>
          <w:color w:val="000000"/>
          <w:sz w:val="24"/>
          <w:szCs w:val="24"/>
          <w:lang w:val="en-US" w:eastAsia="zh-CN"/>
        </w:rPr>
        <w:t>支出3550万元（支出明细详见表1）。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sz w:val="24"/>
          <w:szCs w:val="24"/>
          <w:lang w:val="en-US" w:eastAsia="zh-CN"/>
        </w:rPr>
      </w:pPr>
      <w:r>
        <w:rPr>
          <w:rFonts w:hint="eastAsia" w:ascii="宋体" w:hAnsi="宋体" w:eastAsia="宋体" w:cs="宋体"/>
          <w:b/>
          <w:sz w:val="24"/>
          <w:szCs w:val="24"/>
        </w:rPr>
        <w:t>表</w:t>
      </w:r>
      <w:r>
        <w:rPr>
          <w:rFonts w:hint="eastAsia" w:ascii="宋体" w:hAnsi="宋体" w:eastAsia="宋体" w:cs="宋体"/>
          <w:b/>
          <w:sz w:val="24"/>
          <w:szCs w:val="24"/>
          <w:lang w:val="en-US" w:eastAsia="zh-CN"/>
        </w:rPr>
        <w:t>1</w:t>
      </w:r>
      <w:r>
        <w:rPr>
          <w:rFonts w:hint="eastAsia" w:ascii="宋体" w:hAnsi="宋体" w:eastAsia="宋体" w:cs="宋体"/>
          <w:b/>
          <w:sz w:val="24"/>
          <w:szCs w:val="24"/>
        </w:rPr>
        <w:t xml:space="preserve">  201</w:t>
      </w:r>
      <w:r>
        <w:rPr>
          <w:rFonts w:hint="eastAsia" w:ascii="宋体" w:hAnsi="宋体" w:cs="宋体"/>
          <w:b/>
          <w:sz w:val="24"/>
          <w:szCs w:val="24"/>
          <w:lang w:val="en-US" w:eastAsia="zh-CN"/>
        </w:rPr>
        <w:t>9</w:t>
      </w:r>
      <w:r>
        <w:rPr>
          <w:rFonts w:hint="eastAsia" w:ascii="宋体" w:hAnsi="宋体" w:eastAsia="宋体" w:cs="宋体"/>
          <w:b/>
          <w:sz w:val="24"/>
          <w:szCs w:val="24"/>
        </w:rPr>
        <w:t>年</w:t>
      </w:r>
      <w:r>
        <w:rPr>
          <w:rFonts w:hint="eastAsia" w:ascii="宋体" w:hAnsi="宋体" w:eastAsia="宋体" w:cs="宋体"/>
          <w:b/>
          <w:sz w:val="24"/>
          <w:szCs w:val="24"/>
          <w:lang w:val="en-US" w:eastAsia="zh-CN"/>
        </w:rPr>
        <w:t>度</w:t>
      </w:r>
      <w:r>
        <w:rPr>
          <w:rFonts w:hint="eastAsia" w:ascii="宋体" w:hAnsi="宋体" w:cs="宋体"/>
          <w:b/>
          <w:sz w:val="24"/>
          <w:szCs w:val="24"/>
          <w:lang w:val="en-US" w:eastAsia="zh-CN"/>
        </w:rPr>
        <w:t>泉州市</w:t>
      </w:r>
      <w:r>
        <w:rPr>
          <w:rFonts w:hint="eastAsia" w:ascii="宋体" w:hAnsi="宋体" w:eastAsia="宋体" w:cs="宋体"/>
          <w:b/>
          <w:sz w:val="24"/>
          <w:szCs w:val="24"/>
          <w:lang w:val="en-US" w:eastAsia="zh-CN"/>
        </w:rPr>
        <w:t>丰泽区扶持企业科技基金及扶持企业发展专项基金</w:t>
      </w:r>
      <w:r>
        <w:rPr>
          <w:rFonts w:hint="eastAsia" w:ascii="宋体" w:hAnsi="宋体" w:eastAsia="宋体" w:cs="宋体"/>
          <w:b/>
          <w:sz w:val="24"/>
          <w:szCs w:val="24"/>
        </w:rPr>
        <w:t>支出</w:t>
      </w:r>
      <w:r>
        <w:rPr>
          <w:rFonts w:hint="eastAsia" w:ascii="宋体" w:hAnsi="宋体" w:cs="宋体"/>
          <w:b/>
          <w:sz w:val="24"/>
          <w:szCs w:val="24"/>
          <w:lang w:val="en-US" w:eastAsia="zh-CN"/>
        </w:rPr>
        <w:t>明细</w:t>
      </w:r>
    </w:p>
    <w:tbl>
      <w:tblPr>
        <w:tblStyle w:val="15"/>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37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具体支出内容</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金额</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i w:val="0"/>
                <w:color w:val="000000"/>
                <w:kern w:val="0"/>
                <w:sz w:val="21"/>
                <w:szCs w:val="21"/>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r>
              <w:rPr>
                <w:rFonts w:hint="eastAsia" w:ascii="宋体" w:hAnsi="宋体" w:eastAsia="宋体" w:cs="宋体"/>
                <w:b w:val="0"/>
                <w:bCs w:val="0"/>
                <w:i w:val="0"/>
                <w:color w:val="000000"/>
                <w:sz w:val="21"/>
                <w:szCs w:val="21"/>
                <w:u w:val="none"/>
                <w:lang w:val="en-US" w:eastAsia="zh-CN"/>
              </w:rPr>
              <w:t>扶持企业</w:t>
            </w:r>
            <w:r>
              <w:rPr>
                <w:rFonts w:hint="eastAsia" w:ascii="宋体" w:hAnsi="宋体" w:cs="宋体"/>
                <w:b w:val="0"/>
                <w:bCs w:val="0"/>
                <w:i w:val="0"/>
                <w:color w:val="000000"/>
                <w:sz w:val="21"/>
                <w:szCs w:val="21"/>
                <w:u w:val="none"/>
                <w:lang w:val="en-US" w:eastAsia="zh-CN"/>
              </w:rPr>
              <w:t>科技</w:t>
            </w:r>
            <w:r>
              <w:rPr>
                <w:rFonts w:hint="eastAsia" w:ascii="宋体" w:hAnsi="宋体" w:eastAsia="宋体" w:cs="宋体"/>
                <w:b w:val="0"/>
                <w:bCs w:val="0"/>
                <w:i w:val="0"/>
                <w:color w:val="000000"/>
                <w:sz w:val="21"/>
                <w:szCs w:val="21"/>
                <w:u w:val="none"/>
                <w:lang w:val="en-US" w:eastAsia="zh-CN"/>
              </w:rPr>
              <w:t>基金</w:t>
            </w:r>
            <w:r>
              <w:rPr>
                <w:rFonts w:hint="eastAsia" w:ascii="宋体" w:hAnsi="宋体" w:cs="宋体"/>
                <w:b w:val="0"/>
                <w:bCs w:val="0"/>
                <w:i w:val="0"/>
                <w:color w:val="000000"/>
                <w:sz w:val="21"/>
                <w:szCs w:val="21"/>
                <w:u w:val="none"/>
                <w:lang w:val="en-US" w:eastAsia="zh-CN"/>
              </w:rPr>
              <w:t>（科技三项费用）</w:t>
            </w: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2017年度区级科技计划项目第二笔扶持资金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261.347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2018年度区级惠企奖励资金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10</w:t>
            </w:r>
            <w:r>
              <w:rPr>
                <w:rFonts w:hint="eastAsia" w:ascii="宋体" w:hAnsi="宋体" w:cs="宋体"/>
                <w:b w:val="0"/>
                <w:bCs w:val="0"/>
                <w:i w:val="0"/>
                <w:color w:val="000000"/>
                <w:kern w:val="0"/>
                <w:sz w:val="21"/>
                <w:szCs w:val="21"/>
                <w:u w:val="none"/>
                <w:lang w:val="en-US" w:eastAsia="zh-CN" w:bidi="ar"/>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2018年</w:t>
            </w:r>
            <w:r>
              <w:rPr>
                <w:rFonts w:hint="eastAsia" w:ascii="宋体" w:hAnsi="宋体" w:cs="宋体"/>
                <w:i w:val="0"/>
                <w:color w:val="000000"/>
                <w:kern w:val="0"/>
                <w:sz w:val="21"/>
                <w:szCs w:val="21"/>
                <w:u w:val="none"/>
                <w:lang w:val="en-US" w:eastAsia="zh-CN" w:bidi="ar"/>
              </w:rPr>
              <w:t>度</w:t>
            </w:r>
            <w:r>
              <w:rPr>
                <w:rFonts w:hint="eastAsia" w:ascii="宋体" w:hAnsi="宋体" w:eastAsia="宋体" w:cs="宋体"/>
                <w:i w:val="0"/>
                <w:color w:val="000000"/>
                <w:kern w:val="0"/>
                <w:sz w:val="21"/>
                <w:szCs w:val="21"/>
                <w:u w:val="none"/>
                <w:lang w:val="en-US" w:eastAsia="zh-CN" w:bidi="ar"/>
              </w:rPr>
              <w:t>省级高新技术企业入库出库奖补区级配套资金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250.33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2019年部分经费的请示</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2019年</w:t>
            </w:r>
            <w:r>
              <w:rPr>
                <w:rFonts w:hint="eastAsia" w:ascii="宋体" w:hAnsi="宋体" w:cs="宋体"/>
                <w:i w:val="0"/>
                <w:color w:val="000000"/>
                <w:kern w:val="0"/>
                <w:sz w:val="21"/>
                <w:szCs w:val="21"/>
                <w:u w:val="none"/>
                <w:lang w:val="en-US" w:eastAsia="zh-CN" w:bidi="ar"/>
              </w:rPr>
              <w:t>度</w:t>
            </w:r>
            <w:r>
              <w:rPr>
                <w:rFonts w:hint="eastAsia" w:ascii="宋体" w:hAnsi="宋体" w:eastAsia="宋体" w:cs="宋体"/>
                <w:i w:val="0"/>
                <w:color w:val="000000"/>
                <w:kern w:val="0"/>
                <w:sz w:val="21"/>
                <w:szCs w:val="21"/>
                <w:u w:val="none"/>
                <w:lang w:val="en-US" w:eastAsia="zh-CN" w:bidi="ar"/>
              </w:rPr>
              <w:t>区级科技计划项目首笔扶持资金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276.75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丰泽区电子物证勘验中心经费</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151.8177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cs="宋体"/>
                <w:i w:val="0"/>
                <w:color w:val="000000"/>
                <w:kern w:val="0"/>
                <w:sz w:val="21"/>
                <w:szCs w:val="21"/>
                <w:u w:val="none"/>
                <w:lang w:val="en-US" w:eastAsia="zh-CN" w:bidi="ar"/>
              </w:rPr>
              <w:t>2018</w:t>
            </w:r>
            <w:r>
              <w:rPr>
                <w:rFonts w:hint="eastAsia" w:ascii="宋体" w:hAnsi="宋体" w:eastAsia="宋体" w:cs="宋体"/>
                <w:i w:val="0"/>
                <w:color w:val="000000"/>
                <w:kern w:val="0"/>
                <w:sz w:val="21"/>
                <w:szCs w:val="21"/>
                <w:u w:val="none"/>
                <w:lang w:val="en-US" w:eastAsia="zh-CN" w:bidi="ar"/>
              </w:rPr>
              <w:t>年度科技优惠政策奖励</w:t>
            </w:r>
            <w:r>
              <w:rPr>
                <w:rFonts w:hint="eastAsia" w:ascii="宋体" w:hAnsi="宋体" w:cs="宋体"/>
                <w:i w:val="0"/>
                <w:color w:val="000000"/>
                <w:kern w:val="0"/>
                <w:sz w:val="21"/>
                <w:szCs w:val="21"/>
                <w:u w:val="none"/>
                <w:lang w:val="en-US" w:eastAsia="zh-CN" w:bidi="ar"/>
              </w:rPr>
              <w:t>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983.5363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丰泽区城市安全信息系统项目20</w:t>
            </w: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9年</w:t>
            </w:r>
            <w:r>
              <w:rPr>
                <w:rFonts w:hint="eastAsia" w:ascii="宋体" w:hAnsi="宋体" w:cs="宋体"/>
                <w:i w:val="0"/>
                <w:color w:val="000000"/>
                <w:kern w:val="0"/>
                <w:sz w:val="21"/>
                <w:szCs w:val="21"/>
                <w:u w:val="none"/>
                <w:lang w:val="en-US" w:eastAsia="zh-CN" w:bidi="ar"/>
              </w:rPr>
              <w:t>度</w:t>
            </w:r>
            <w:r>
              <w:rPr>
                <w:rFonts w:hint="eastAsia" w:ascii="宋体" w:hAnsi="宋体" w:eastAsia="宋体" w:cs="宋体"/>
                <w:i w:val="0"/>
                <w:color w:val="000000"/>
                <w:kern w:val="0"/>
                <w:sz w:val="21"/>
                <w:szCs w:val="21"/>
                <w:u w:val="none"/>
                <w:lang w:val="en-US" w:eastAsia="zh-CN" w:bidi="ar"/>
              </w:rPr>
              <w:t>监控点光纤链路租金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447.804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cs="宋体"/>
                <w:i w:val="0"/>
                <w:color w:val="000000"/>
                <w:kern w:val="0"/>
                <w:sz w:val="21"/>
                <w:szCs w:val="21"/>
                <w:u w:val="none"/>
                <w:lang w:val="en-US" w:eastAsia="zh-CN" w:bidi="ar"/>
              </w:rPr>
              <w:t>丰泽区</w:t>
            </w:r>
            <w:r>
              <w:rPr>
                <w:rFonts w:hint="eastAsia" w:ascii="宋体" w:hAnsi="宋体" w:eastAsia="宋体" w:cs="宋体"/>
                <w:i w:val="0"/>
                <w:color w:val="000000"/>
                <w:kern w:val="0"/>
                <w:sz w:val="21"/>
                <w:szCs w:val="21"/>
                <w:u w:val="none"/>
                <w:lang w:val="en-US" w:eastAsia="zh-CN" w:bidi="ar"/>
              </w:rPr>
              <w:t>科技成果转化与企业技术需求对接会活动经费</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cs="宋体"/>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人才</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港湾计划</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促进人才</w:t>
            </w:r>
            <w:r>
              <w:rPr>
                <w:rFonts w:hint="eastAsia" w:ascii="宋体" w:hAnsi="宋体" w:cs="宋体"/>
                <w:i w:val="0"/>
                <w:color w:val="000000"/>
                <w:kern w:val="0"/>
                <w:sz w:val="21"/>
                <w:szCs w:val="21"/>
                <w:u w:val="none"/>
                <w:lang w:val="en-US" w:eastAsia="zh-CN" w:bidi="ar"/>
              </w:rPr>
              <w:t>优先</w:t>
            </w:r>
            <w:r>
              <w:rPr>
                <w:rFonts w:hint="eastAsia" w:ascii="宋体" w:hAnsi="宋体" w:eastAsia="宋体" w:cs="宋体"/>
                <w:i w:val="0"/>
                <w:color w:val="000000"/>
                <w:kern w:val="0"/>
                <w:sz w:val="21"/>
                <w:szCs w:val="21"/>
                <w:u w:val="none"/>
                <w:lang w:val="en-US" w:eastAsia="zh-CN" w:bidi="ar"/>
              </w:rPr>
              <w:t>发展政策资金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center"/>
              <w:textAlignment w:val="center"/>
              <w:rPr>
                <w:rFonts w:hint="eastAsia" w:ascii="宋体" w:hAnsi="宋体" w:cs="宋体"/>
                <w:b w:val="0"/>
                <w:bCs w:val="0"/>
                <w:sz w:val="21"/>
                <w:szCs w:val="21"/>
                <w:vertAlign w:val="baseline"/>
                <w:lang w:val="en-US" w:eastAsia="zh-CN"/>
              </w:rPr>
            </w:pPr>
            <w:r>
              <w:rPr>
                <w:rFonts w:hint="eastAsia" w:ascii="宋体" w:hAnsi="宋体" w:cs="宋体"/>
                <w:b/>
                <w:bCs/>
                <w:i w:val="0"/>
                <w:color w:val="000000"/>
                <w:kern w:val="0"/>
                <w:sz w:val="21"/>
                <w:szCs w:val="21"/>
                <w:u w:val="none"/>
                <w:lang w:val="en-US" w:eastAsia="zh-CN" w:bidi="ar"/>
              </w:rPr>
              <w:t>总</w:t>
            </w:r>
            <w:r>
              <w:rPr>
                <w:rFonts w:hint="eastAsia" w:ascii="宋体" w:hAnsi="宋体" w:eastAsia="宋体" w:cs="宋体"/>
                <w:b/>
                <w:bCs/>
                <w:i w:val="0"/>
                <w:color w:val="000000"/>
                <w:kern w:val="0"/>
                <w:sz w:val="21"/>
                <w:szCs w:val="21"/>
                <w:u w:val="none"/>
                <w:lang w:val="en-US" w:eastAsia="zh-CN" w:bidi="ar"/>
              </w:rPr>
              <w:t>计</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fldChar w:fldCharType="begin"/>
            </w:r>
            <w:r>
              <w:rPr>
                <w:rFonts w:hint="eastAsia" w:ascii="宋体" w:hAnsi="宋体" w:cs="宋体"/>
                <w:b/>
                <w:bCs/>
                <w:i w:val="0"/>
                <w:color w:val="000000"/>
                <w:kern w:val="0"/>
                <w:sz w:val="21"/>
                <w:szCs w:val="21"/>
                <w:u w:val="none"/>
                <w:lang w:val="en-US" w:eastAsia="zh-CN" w:bidi="ar"/>
              </w:rPr>
              <w:instrText xml:space="preserve"> = sum(C17:C26) \* MERGEFORMAT </w:instrText>
            </w:r>
            <w:r>
              <w:rPr>
                <w:rFonts w:hint="eastAsia" w:ascii="宋体" w:hAnsi="宋体" w:cs="宋体"/>
                <w:b/>
                <w:bCs/>
                <w:i w:val="0"/>
                <w:color w:val="000000"/>
                <w:kern w:val="0"/>
                <w:sz w:val="21"/>
                <w:szCs w:val="21"/>
                <w:u w:val="none"/>
                <w:lang w:val="en-US" w:eastAsia="zh-CN" w:bidi="ar"/>
              </w:rPr>
              <w:fldChar w:fldCharType="separate"/>
            </w:r>
            <w:r>
              <w:rPr>
                <w:rFonts w:hint="eastAsia" w:ascii="宋体" w:hAnsi="宋体" w:cs="宋体"/>
                <w:b/>
                <w:bCs/>
                <w:i w:val="0"/>
                <w:color w:val="000000"/>
                <w:kern w:val="0"/>
                <w:sz w:val="21"/>
                <w:szCs w:val="21"/>
                <w:u w:val="none"/>
                <w:lang w:val="en-US" w:eastAsia="zh-CN" w:bidi="ar"/>
              </w:rPr>
              <w:t>2760.895</w:t>
            </w:r>
            <w:r>
              <w:rPr>
                <w:rFonts w:hint="eastAsia" w:ascii="宋体" w:hAnsi="宋体" w:cs="宋体"/>
                <w:b/>
                <w:bCs/>
                <w:i w:val="0"/>
                <w:color w:val="000000"/>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sz w:val="21"/>
                <w:szCs w:val="21"/>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sz w:val="21"/>
                <w:szCs w:val="21"/>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sz w:val="21"/>
                <w:szCs w:val="21"/>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sz w:val="21"/>
                <w:szCs w:val="21"/>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扶持企业</w:t>
            </w:r>
            <w:r>
              <w:rPr>
                <w:rFonts w:hint="eastAsia" w:ascii="宋体" w:hAnsi="宋体" w:cs="宋体"/>
                <w:b w:val="0"/>
                <w:bCs w:val="0"/>
                <w:sz w:val="21"/>
                <w:szCs w:val="21"/>
                <w:vertAlign w:val="baseline"/>
                <w:lang w:val="en-US" w:eastAsia="zh-CN"/>
              </w:rPr>
              <w:t>发展专项</w:t>
            </w:r>
            <w:r>
              <w:rPr>
                <w:rFonts w:hint="eastAsia" w:ascii="宋体" w:hAnsi="宋体" w:eastAsia="宋体" w:cs="宋体"/>
                <w:b w:val="0"/>
                <w:bCs w:val="0"/>
                <w:sz w:val="21"/>
                <w:szCs w:val="21"/>
                <w:vertAlign w:val="baseline"/>
                <w:lang w:val="en-US" w:eastAsia="zh-CN"/>
              </w:rPr>
              <w:t>基金</w:t>
            </w:r>
          </w:p>
        </w:tc>
        <w:tc>
          <w:tcPr>
            <w:tcW w:w="7370" w:type="dxa"/>
            <w:noWrap w:val="0"/>
            <w:vAlign w:val="center"/>
          </w:tcPr>
          <w:p>
            <w:pPr>
              <w:keepNext w:val="0"/>
              <w:keepLines w:val="0"/>
              <w:widowControl/>
              <w:suppressLineNumbers w:val="0"/>
              <w:jc w:val="left"/>
              <w:textAlignment w:val="center"/>
              <w:rPr>
                <w:rFonts w:hint="default"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华侨大学（丰泽）创新创业园智能化系统项目</w:t>
            </w:r>
            <w:r>
              <w:rPr>
                <w:rFonts w:hint="eastAsia" w:ascii="宋体" w:hAnsi="宋体" w:cs="宋体"/>
                <w:i w:val="0"/>
                <w:color w:val="000000"/>
                <w:kern w:val="0"/>
                <w:sz w:val="21"/>
                <w:szCs w:val="21"/>
                <w:u w:val="none"/>
                <w:lang w:val="en-US" w:eastAsia="zh-CN" w:bidi="ar"/>
              </w:rPr>
              <w:t>施工费、监理费</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148.0396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北峰数控园区建设专项资金 </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884.28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2018年“创响中国”泉州丰泽站暨海上丝绸之路国际数字商业创新节活动经费</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305.0556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华创园外立面改造及其配套工程施工费、监理费</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pPr>
          </w:p>
        </w:tc>
        <w:tc>
          <w:tcPr>
            <w:tcW w:w="7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center"/>
              <w:outlineLvl w:val="9"/>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华创园众创空间及一层公共部位分体式空调采购及安装服务项目工程款</w:t>
            </w:r>
            <w:r>
              <w:rPr>
                <w:rFonts w:hint="eastAsia" w:ascii="宋体" w:hAnsi="宋体" w:cs="宋体"/>
                <w:i w:val="0"/>
                <w:color w:val="000000"/>
                <w:kern w:val="0"/>
                <w:sz w:val="21"/>
                <w:szCs w:val="21"/>
                <w:u w:val="none"/>
                <w:lang w:val="en-US" w:eastAsia="zh-CN" w:bidi="ar"/>
              </w:rPr>
              <w:t>项</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14.6848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“华创园”2019年下半年经营场所租赁费用</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193.58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泉州南京大学环保产业研究院第二年建设经费</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华创园2018年和2019年基本运营费</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436.38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2018年度区级惠企奖励资金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359.31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华创园运营商代垫费用</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32.3713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2018年度区级创意产业政策奖励资金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泉州网商（虚拟）产业园扶持政策区级奖励资金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268.06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2019年数字经济发展专项区级配套资金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val="0"/>
                <w:bCs w:val="0"/>
                <w:i w:val="0"/>
                <w:color w:val="000000"/>
                <w:kern w:val="0"/>
                <w:sz w:val="21"/>
                <w:szCs w:val="21"/>
                <w:u w:val="none"/>
                <w:lang w:val="en-US" w:eastAsia="zh-CN" w:bidi="ar"/>
              </w:rPr>
              <w:t>204.2487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sz w:val="21"/>
                <w:szCs w:val="21"/>
                <w:vertAlign w:val="baseline"/>
                <w:lang w:val="en-US" w:eastAsia="zh-CN"/>
              </w:rPr>
            </w:pPr>
          </w:p>
        </w:tc>
        <w:tc>
          <w:tcPr>
            <w:tcW w:w="7370" w:type="dxa"/>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2019年度泉州市加快机械装备产业和两化融合发展专项资金（第二批）区级配套资金</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sz w:val="21"/>
                <w:szCs w:val="21"/>
                <w:vertAlign w:val="baseline"/>
                <w:lang w:val="en-US" w:eastAsia="zh-CN"/>
              </w:rPr>
            </w:pPr>
          </w:p>
        </w:tc>
        <w:tc>
          <w:tcPr>
            <w:tcW w:w="7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bCs/>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总</w:t>
            </w:r>
            <w:r>
              <w:rPr>
                <w:rFonts w:hint="eastAsia" w:ascii="宋体" w:hAnsi="宋体" w:eastAsia="宋体" w:cs="宋体"/>
                <w:b/>
                <w:bCs/>
                <w:i w:val="0"/>
                <w:color w:val="000000"/>
                <w:kern w:val="0"/>
                <w:sz w:val="21"/>
                <w:szCs w:val="21"/>
                <w:u w:val="none"/>
                <w:lang w:val="en-US" w:eastAsia="zh-CN" w:bidi="ar"/>
              </w:rPr>
              <w:t>计</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fldChar w:fldCharType="begin"/>
            </w:r>
            <w:r>
              <w:rPr>
                <w:rFonts w:hint="eastAsia" w:ascii="宋体" w:hAnsi="宋体" w:eastAsia="宋体" w:cs="宋体"/>
                <w:b/>
                <w:bCs/>
                <w:sz w:val="21"/>
                <w:szCs w:val="21"/>
                <w:vertAlign w:val="baseline"/>
                <w:lang w:val="en-US" w:eastAsia="zh-CN"/>
              </w:rPr>
              <w:instrText xml:space="preserve"> = sum(C2:C15) \* MERGEFORMAT </w:instrText>
            </w:r>
            <w:r>
              <w:rPr>
                <w:rFonts w:hint="eastAsia" w:ascii="宋体" w:hAnsi="宋体" w:eastAsia="宋体" w:cs="宋体"/>
                <w:b/>
                <w:bCs/>
                <w:sz w:val="21"/>
                <w:szCs w:val="21"/>
                <w:vertAlign w:val="baseline"/>
                <w:lang w:val="en-US" w:eastAsia="zh-CN"/>
              </w:rPr>
              <w:fldChar w:fldCharType="separate"/>
            </w:r>
            <w:r>
              <w:rPr>
                <w:rFonts w:hint="eastAsia" w:ascii="宋体" w:hAnsi="宋体" w:eastAsia="宋体" w:cs="宋体"/>
                <w:b/>
                <w:bCs/>
                <w:sz w:val="21"/>
                <w:szCs w:val="21"/>
                <w:vertAlign w:val="baseline"/>
                <w:lang w:val="en-US" w:eastAsia="zh-CN"/>
              </w:rPr>
              <w:t>3550</w:t>
            </w:r>
            <w:r>
              <w:rPr>
                <w:rFonts w:hint="eastAsia" w:ascii="宋体" w:hAnsi="宋体" w:eastAsia="宋体" w:cs="宋体"/>
                <w:b/>
                <w:bCs/>
                <w:sz w:val="21"/>
                <w:szCs w:val="21"/>
                <w:vertAlign w:val="baselin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150"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扶持企业科技基金及扶持企业发展专项基金合计</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b w:val="0"/>
                <w:bCs w:val="0"/>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6310.895</w:t>
            </w:r>
          </w:p>
        </w:tc>
      </w:tr>
    </w:tbl>
    <w:p>
      <w:pPr>
        <w:spacing w:line="240" w:lineRule="auto"/>
        <w:ind w:firstLine="480" w:firstLineChars="200"/>
        <w:rPr>
          <w:rFonts w:hint="default" w:ascii="宋体" w:hAnsi="宋体" w:cs="宋体"/>
          <w:color w:val="000000"/>
          <w:sz w:val="24"/>
          <w:szCs w:val="24"/>
          <w:lang w:val="en-US" w:eastAsia="zh-CN"/>
        </w:rPr>
      </w:pPr>
    </w:p>
    <w:p>
      <w:pPr>
        <w:pStyle w:val="3"/>
        <w:spacing w:before="0" w:after="0" w:line="360" w:lineRule="auto"/>
        <w:ind w:firstLine="560" w:firstLineChars="200"/>
        <w:rPr>
          <w:rFonts w:hint="eastAsia" w:ascii="宋体" w:hAnsi="宋体" w:eastAsia="方正小标宋_GBK"/>
          <w:b w:val="0"/>
          <w:kern w:val="0"/>
          <w:sz w:val="28"/>
          <w:szCs w:val="28"/>
          <w:lang w:val="en-US" w:eastAsia="zh-CN"/>
        </w:rPr>
      </w:pPr>
      <w:bookmarkStart w:id="4" w:name="_Toc2000"/>
      <w:bookmarkStart w:id="5" w:name="_Toc21574"/>
      <w:bookmarkStart w:id="6" w:name="_Toc12039"/>
      <w:bookmarkStart w:id="7" w:name="_Toc29112"/>
      <w:bookmarkStart w:id="8" w:name="_Toc13090"/>
      <w:bookmarkStart w:id="9" w:name="_Toc16197"/>
      <w:bookmarkStart w:id="10" w:name="_Toc1338"/>
      <w:r>
        <w:rPr>
          <w:rFonts w:hint="eastAsia" w:ascii="方正小标宋_GBK" w:hAnsi="仿宋" w:eastAsia="方正小标宋_GBK" w:cs="黑体"/>
          <w:sz w:val="28"/>
          <w:szCs w:val="28"/>
        </w:rPr>
        <w:t>（二）项目</w:t>
      </w:r>
      <w:r>
        <w:rPr>
          <w:rFonts w:hint="eastAsia" w:ascii="方正小标宋_GBK" w:hAnsi="仿宋" w:eastAsia="方正小标宋_GBK" w:cs="黑体"/>
          <w:sz w:val="28"/>
          <w:szCs w:val="28"/>
          <w:lang w:val="en-US" w:eastAsia="zh-CN"/>
        </w:rPr>
        <w:t>绩效目标</w:t>
      </w:r>
      <w:bookmarkEnd w:id="4"/>
    </w:p>
    <w:bookmarkEnd w:id="5"/>
    <w:bookmarkEnd w:id="6"/>
    <w:bookmarkEnd w:id="7"/>
    <w:bookmarkEnd w:id="8"/>
    <w:bookmarkEnd w:id="9"/>
    <w:bookmarkEnd w:id="10"/>
    <w:p>
      <w:pPr>
        <w:spacing w:line="360" w:lineRule="auto"/>
        <w:ind w:firstLine="480" w:firstLineChars="200"/>
        <w:rPr>
          <w:rFonts w:hint="eastAsia" w:ascii="宋体" w:hAnsi="宋体" w:eastAsia="宋体" w:cs="宋体"/>
          <w:sz w:val="24"/>
          <w:szCs w:val="24"/>
        </w:rPr>
      </w:pPr>
      <w:r>
        <w:rPr>
          <w:rFonts w:hint="eastAsia" w:ascii="宋体" w:hAnsi="宋体" w:cs="宋体"/>
          <w:color w:val="000000"/>
          <w:sz w:val="24"/>
          <w:szCs w:val="24"/>
          <w:lang w:val="en-US" w:eastAsia="zh-CN"/>
        </w:rPr>
        <w:t>根据《福建省科学技术进步条例》，泉州市丰泽区</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科技三项费用</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设立的目的是提升丰泽区创新能力，加快转变经济发展方式，建立以企业为主体的技术创新体系；支持新型研发机构建设，包括科研仪器设备购置、科研项目启动、产业孵化投资、授权专利等方面的奖励和资助等。不过，</w:t>
      </w:r>
      <w:r>
        <w:rPr>
          <w:rFonts w:hint="eastAsia" w:ascii="宋体" w:hAnsi="宋体" w:eastAsia="宋体" w:cs="宋体"/>
          <w:sz w:val="24"/>
          <w:szCs w:val="24"/>
          <w:lang w:val="en-US" w:eastAsia="zh-CN"/>
        </w:rPr>
        <w:t>泉州市丰泽区2019年度扶持企业科技基金及扶持企业发展专项基金</w:t>
      </w:r>
      <w:r>
        <w:rPr>
          <w:rFonts w:hint="eastAsia" w:ascii="宋体" w:hAnsi="宋体" w:cs="宋体"/>
          <w:color w:val="000000"/>
          <w:sz w:val="24"/>
          <w:szCs w:val="24"/>
          <w:lang w:val="en-US" w:eastAsia="zh-CN"/>
        </w:rPr>
        <w:t>没有制定绩效目标，</w:t>
      </w:r>
      <w:r>
        <w:rPr>
          <w:rFonts w:hint="eastAsia" w:ascii="宋体" w:hAnsi="宋体" w:cs="宋体"/>
          <w:sz w:val="24"/>
          <w:szCs w:val="24"/>
          <w:lang w:val="en-US" w:eastAsia="zh-CN"/>
        </w:rPr>
        <w:t>也没有明确规定资金的具体用途，只是根据财力和上下年惠企政策兑现情况安排资金</w:t>
      </w:r>
      <w:r>
        <w:rPr>
          <w:rFonts w:hint="eastAsia" w:ascii="宋体" w:hAnsi="宋体" w:cs="宋体"/>
          <w:color w:val="000000"/>
          <w:sz w:val="24"/>
          <w:szCs w:val="24"/>
          <w:lang w:val="en-US" w:eastAsia="zh-CN"/>
        </w:rPr>
        <w:t>拨付使用。</w:t>
      </w:r>
    </w:p>
    <w:p>
      <w:pPr>
        <w:pStyle w:val="2"/>
        <w:spacing w:beforeLines="100" w:afterLines="100" w:line="360" w:lineRule="auto"/>
        <w:jc w:val="center"/>
        <w:rPr>
          <w:sz w:val="30"/>
          <w:szCs w:val="30"/>
        </w:rPr>
      </w:pPr>
      <w:bookmarkStart w:id="11" w:name="_Toc10646"/>
      <w:bookmarkStart w:id="12" w:name="_Toc28356"/>
      <w:bookmarkStart w:id="13" w:name="_Toc2681"/>
      <w:bookmarkStart w:id="14" w:name="_Toc25166"/>
      <w:bookmarkStart w:id="15" w:name="_Toc19085"/>
      <w:bookmarkStart w:id="16" w:name="_Toc14259"/>
      <w:bookmarkStart w:id="17" w:name="_Toc500226179"/>
      <w:bookmarkStart w:id="18" w:name="_Toc3793"/>
      <w:r>
        <w:rPr>
          <w:rFonts w:hint="eastAsia" w:ascii="方正小标宋_GBK" w:hAnsi="仿宋" w:eastAsia="方正小标宋_GBK" w:cs="黑体"/>
          <w:sz w:val="30"/>
          <w:szCs w:val="30"/>
          <w:lang w:val="en-US" w:eastAsia="zh-CN"/>
        </w:rPr>
        <w:t>二</w:t>
      </w:r>
      <w:r>
        <w:rPr>
          <w:rFonts w:hint="eastAsia" w:ascii="方正小标宋_GBK" w:hAnsi="仿宋" w:eastAsia="方正小标宋_GBK" w:cs="黑体"/>
          <w:sz w:val="30"/>
          <w:szCs w:val="30"/>
        </w:rPr>
        <w:t>、绩效评价</w:t>
      </w:r>
      <w:r>
        <w:rPr>
          <w:rFonts w:hint="eastAsia" w:ascii="方正小标宋_GBK" w:hAnsi="仿宋" w:eastAsia="方正小标宋_GBK" w:cs="黑体"/>
          <w:sz w:val="30"/>
          <w:szCs w:val="30"/>
          <w:lang w:val="en-US" w:eastAsia="zh-CN"/>
        </w:rPr>
        <w:t>工作</w:t>
      </w:r>
      <w:r>
        <w:rPr>
          <w:rFonts w:hint="eastAsia" w:ascii="方正小标宋_GBK" w:hAnsi="仿宋" w:eastAsia="方正小标宋_GBK" w:cs="黑体"/>
          <w:sz w:val="30"/>
          <w:szCs w:val="30"/>
        </w:rPr>
        <w:t>开展情况</w:t>
      </w:r>
      <w:bookmarkEnd w:id="11"/>
    </w:p>
    <w:bookmarkEnd w:id="12"/>
    <w:bookmarkEnd w:id="13"/>
    <w:bookmarkEnd w:id="14"/>
    <w:bookmarkEnd w:id="15"/>
    <w:bookmarkEnd w:id="16"/>
    <w:bookmarkEnd w:id="17"/>
    <w:bookmarkEnd w:id="18"/>
    <w:p>
      <w:pPr>
        <w:pStyle w:val="3"/>
        <w:spacing w:before="0" w:after="0" w:line="360" w:lineRule="auto"/>
        <w:ind w:firstLine="560" w:firstLineChars="200"/>
        <w:rPr>
          <w:rFonts w:hint="default" w:ascii="宋体" w:hAnsi="宋体" w:eastAsia="方正小标宋_GBK"/>
          <w:b w:val="0"/>
          <w:kern w:val="0"/>
          <w:sz w:val="28"/>
          <w:szCs w:val="28"/>
          <w:lang w:val="en-US" w:eastAsia="zh-CN"/>
        </w:rPr>
      </w:pPr>
      <w:bookmarkStart w:id="19" w:name="_Toc31762"/>
      <w:bookmarkStart w:id="20" w:name="_Toc7002"/>
      <w:bookmarkStart w:id="21" w:name="_Toc8173"/>
      <w:bookmarkStart w:id="22" w:name="_Toc500226180"/>
      <w:bookmarkStart w:id="23" w:name="_Toc10321"/>
      <w:bookmarkStart w:id="24" w:name="_Toc4889"/>
      <w:bookmarkStart w:id="25" w:name="_Toc25628"/>
      <w:bookmarkStart w:id="26" w:name="_Toc29127"/>
      <w:r>
        <w:rPr>
          <w:rFonts w:hint="eastAsia" w:ascii="方正小标宋_GBK" w:hAnsi="仿宋" w:eastAsia="方正小标宋_GBK" w:cs="黑体"/>
          <w:sz w:val="28"/>
          <w:szCs w:val="28"/>
        </w:rPr>
        <w:t>（一）绩效评价</w:t>
      </w:r>
      <w:r>
        <w:rPr>
          <w:rFonts w:hint="eastAsia" w:ascii="方正小标宋_GBK" w:hAnsi="仿宋" w:eastAsia="方正小标宋_GBK" w:cs="黑体"/>
          <w:sz w:val="28"/>
          <w:szCs w:val="28"/>
          <w:lang w:val="en-US" w:eastAsia="zh-CN"/>
        </w:rPr>
        <w:t>目的、对象和范围</w:t>
      </w:r>
      <w:bookmarkEnd w:id="19"/>
    </w:p>
    <w:p>
      <w:pPr>
        <w:spacing w:line="360" w:lineRule="auto"/>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1.绩效评价目的</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在</w:t>
      </w:r>
      <w:r>
        <w:rPr>
          <w:rFonts w:hint="eastAsia" w:ascii="宋体" w:hAnsi="宋体" w:eastAsia="宋体" w:cs="宋体"/>
          <w:sz w:val="24"/>
          <w:szCs w:val="24"/>
        </w:rPr>
        <w:t>调研</w:t>
      </w:r>
      <w:r>
        <w:rPr>
          <w:rFonts w:hint="eastAsia" w:ascii="宋体" w:hAnsi="宋体" w:cs="宋体"/>
          <w:sz w:val="24"/>
          <w:szCs w:val="24"/>
          <w:lang w:eastAsia="zh-CN"/>
        </w:rPr>
        <w:t>、</w:t>
      </w:r>
      <w:r>
        <w:rPr>
          <w:rFonts w:hint="eastAsia" w:ascii="宋体" w:hAnsi="宋体" w:cs="宋体"/>
          <w:sz w:val="24"/>
          <w:szCs w:val="24"/>
          <w:lang w:val="en-US" w:eastAsia="zh-CN"/>
        </w:rPr>
        <w:t>核查</w:t>
      </w:r>
      <w:r>
        <w:rPr>
          <w:rFonts w:hint="eastAsia" w:ascii="宋体" w:hAnsi="宋体" w:eastAsia="宋体" w:cs="宋体"/>
          <w:sz w:val="24"/>
          <w:szCs w:val="24"/>
          <w:lang w:val="en-US" w:eastAsia="zh-CN"/>
        </w:rPr>
        <w:t>泉州市丰泽区2019年度扶持企业科技基金及扶持企业发展专项基金</w:t>
      </w:r>
      <w:r>
        <w:rPr>
          <w:rFonts w:hint="eastAsia" w:ascii="宋体" w:hAnsi="宋体" w:cs="宋体"/>
          <w:sz w:val="24"/>
          <w:szCs w:val="24"/>
          <w:lang w:val="en-US" w:eastAsia="zh-CN"/>
        </w:rPr>
        <w:t>立项、</w:t>
      </w:r>
      <w:r>
        <w:rPr>
          <w:rFonts w:hint="eastAsia" w:ascii="宋体" w:hAnsi="宋体" w:eastAsia="宋体" w:cs="宋体"/>
          <w:sz w:val="24"/>
          <w:szCs w:val="24"/>
        </w:rPr>
        <w:t>使用</w:t>
      </w:r>
      <w:r>
        <w:rPr>
          <w:rFonts w:hint="eastAsia" w:ascii="宋体" w:hAnsi="宋体" w:cs="宋体"/>
          <w:sz w:val="24"/>
          <w:szCs w:val="24"/>
          <w:lang w:val="en-US" w:eastAsia="zh-CN"/>
        </w:rPr>
        <w:t>管理及取得绩效等</w:t>
      </w:r>
      <w:r>
        <w:rPr>
          <w:rFonts w:hint="eastAsia" w:ascii="宋体" w:hAnsi="宋体" w:eastAsia="宋体" w:cs="宋体"/>
          <w:sz w:val="24"/>
          <w:szCs w:val="24"/>
        </w:rPr>
        <w:t>情况</w:t>
      </w:r>
      <w:r>
        <w:rPr>
          <w:rFonts w:hint="eastAsia" w:ascii="宋体" w:hAnsi="宋体" w:cs="宋体"/>
          <w:sz w:val="24"/>
          <w:szCs w:val="24"/>
          <w:lang w:val="en-US" w:eastAsia="zh-CN"/>
        </w:rPr>
        <w:t>的基础上</w:t>
      </w:r>
      <w:r>
        <w:rPr>
          <w:rFonts w:hint="eastAsia" w:ascii="宋体" w:hAnsi="宋体" w:eastAsia="宋体" w:cs="宋体"/>
          <w:sz w:val="24"/>
          <w:szCs w:val="24"/>
        </w:rPr>
        <w:t>，拟定科学合理的绩效评价指标、标准和方法，对</w:t>
      </w:r>
      <w:r>
        <w:rPr>
          <w:rFonts w:hint="eastAsia" w:ascii="宋体" w:hAnsi="宋体" w:cs="宋体"/>
          <w:sz w:val="24"/>
          <w:szCs w:val="24"/>
          <w:lang w:val="en-US" w:eastAsia="zh-CN"/>
        </w:rPr>
        <w:t>该专项资金</w:t>
      </w:r>
      <w:r>
        <w:rPr>
          <w:rFonts w:hint="eastAsia" w:ascii="宋体" w:hAnsi="宋体" w:eastAsia="宋体" w:cs="宋体"/>
          <w:sz w:val="24"/>
          <w:szCs w:val="24"/>
        </w:rPr>
        <w:t>的经济性、效率性</w:t>
      </w:r>
      <w:r>
        <w:rPr>
          <w:rFonts w:hint="eastAsia" w:ascii="宋体" w:hAnsi="宋体" w:cs="宋体"/>
          <w:sz w:val="24"/>
          <w:szCs w:val="24"/>
          <w:lang w:eastAsia="zh-CN"/>
        </w:rPr>
        <w:t>、</w:t>
      </w:r>
      <w:r>
        <w:rPr>
          <w:rFonts w:hint="eastAsia" w:ascii="宋体" w:hAnsi="宋体" w:eastAsia="宋体" w:cs="宋体"/>
          <w:sz w:val="24"/>
          <w:szCs w:val="24"/>
        </w:rPr>
        <w:t>效益性</w:t>
      </w:r>
      <w:r>
        <w:rPr>
          <w:rFonts w:hint="eastAsia" w:ascii="宋体" w:hAnsi="宋体" w:cs="宋体"/>
          <w:sz w:val="24"/>
          <w:szCs w:val="24"/>
          <w:lang w:val="en-US" w:eastAsia="zh-CN"/>
        </w:rPr>
        <w:t>和公平性</w:t>
      </w:r>
      <w:r>
        <w:rPr>
          <w:rFonts w:hint="eastAsia" w:ascii="宋体" w:hAnsi="宋体" w:eastAsia="宋体" w:cs="宋体"/>
          <w:sz w:val="24"/>
          <w:szCs w:val="24"/>
        </w:rPr>
        <w:t>进行客观、公正的</w:t>
      </w:r>
      <w:r>
        <w:rPr>
          <w:rFonts w:hint="eastAsia" w:ascii="宋体" w:hAnsi="宋体" w:cs="宋体"/>
          <w:sz w:val="24"/>
          <w:szCs w:val="24"/>
          <w:lang w:val="en-US" w:eastAsia="zh-CN"/>
        </w:rPr>
        <w:t>测量、分析和评判，指出其</w:t>
      </w:r>
      <w:r>
        <w:rPr>
          <w:rFonts w:hint="eastAsia" w:ascii="宋体" w:hAnsi="宋体" w:eastAsia="宋体" w:cs="宋体"/>
          <w:sz w:val="24"/>
          <w:szCs w:val="24"/>
        </w:rPr>
        <w:t>在预算管理及项目实施过程中存在的</w:t>
      </w:r>
      <w:r>
        <w:rPr>
          <w:rFonts w:hint="eastAsia" w:ascii="宋体" w:hAnsi="宋体" w:cs="宋体"/>
          <w:sz w:val="24"/>
          <w:szCs w:val="24"/>
          <w:lang w:val="en-US" w:eastAsia="zh-CN"/>
        </w:rPr>
        <w:t>不足</w:t>
      </w:r>
      <w:r>
        <w:rPr>
          <w:rFonts w:hint="eastAsia" w:ascii="宋体" w:hAnsi="宋体" w:eastAsia="宋体" w:cs="宋体"/>
          <w:sz w:val="24"/>
          <w:szCs w:val="24"/>
        </w:rPr>
        <w:t>，提出相应的解决对策，为</w:t>
      </w:r>
      <w:r>
        <w:rPr>
          <w:rFonts w:hint="eastAsia" w:ascii="宋体" w:hAnsi="宋体" w:cs="宋体"/>
          <w:sz w:val="24"/>
          <w:szCs w:val="24"/>
          <w:lang w:val="en-US" w:eastAsia="zh-CN"/>
        </w:rPr>
        <w:t>以后年度专项资金的预算绩效管理</w:t>
      </w:r>
      <w:r>
        <w:rPr>
          <w:rFonts w:hint="eastAsia" w:ascii="宋体" w:hAnsi="宋体" w:eastAsia="宋体" w:cs="宋体"/>
          <w:sz w:val="24"/>
          <w:szCs w:val="24"/>
        </w:rPr>
        <w:t>提供参考依据</w:t>
      </w:r>
      <w:r>
        <w:rPr>
          <w:rFonts w:hint="eastAsia" w:ascii="宋体" w:hAnsi="宋体" w:cs="宋体"/>
          <w:sz w:val="24"/>
          <w:szCs w:val="24"/>
          <w:lang w:eastAsia="zh-CN"/>
        </w:rPr>
        <w:t>，提高财政资金使用的</w:t>
      </w:r>
      <w:r>
        <w:rPr>
          <w:rFonts w:hint="eastAsia" w:ascii="宋体" w:hAnsi="宋体" w:cs="宋体"/>
          <w:sz w:val="24"/>
          <w:szCs w:val="24"/>
          <w:lang w:val="en-US" w:eastAsia="zh-CN"/>
        </w:rPr>
        <w:t>精准性、</w:t>
      </w:r>
      <w:r>
        <w:rPr>
          <w:rFonts w:hint="eastAsia" w:ascii="宋体" w:hAnsi="宋体" w:cs="宋体"/>
          <w:sz w:val="24"/>
          <w:szCs w:val="24"/>
          <w:lang w:eastAsia="zh-CN"/>
        </w:rPr>
        <w:t>有效性</w:t>
      </w:r>
      <w:r>
        <w:rPr>
          <w:rFonts w:hint="eastAsia" w:ascii="宋体" w:hAnsi="宋体" w:eastAsia="宋体" w:cs="宋体"/>
          <w:sz w:val="24"/>
          <w:szCs w:val="24"/>
        </w:rPr>
        <w:t>。</w:t>
      </w:r>
    </w:p>
    <w:p>
      <w:pPr>
        <w:spacing w:line="360" w:lineRule="auto"/>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2.绩效评价的对象和范围</w:t>
      </w: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绩效评价的对象和范围包括：</w:t>
      </w:r>
      <w:r>
        <w:rPr>
          <w:rFonts w:hint="eastAsia" w:ascii="宋体" w:hAnsi="宋体" w:eastAsia="宋体" w:cs="宋体"/>
          <w:sz w:val="24"/>
          <w:szCs w:val="24"/>
          <w:lang w:val="en-US" w:eastAsia="zh-CN"/>
        </w:rPr>
        <w:t>泉州市丰泽区2019年度</w:t>
      </w:r>
      <w:r>
        <w:rPr>
          <w:rFonts w:hint="eastAsia" w:ascii="宋体" w:hAnsi="宋体" w:cs="宋体"/>
          <w:sz w:val="24"/>
          <w:szCs w:val="24"/>
          <w:lang w:val="en-US" w:eastAsia="zh-CN"/>
        </w:rPr>
        <w:t>6500万元</w:t>
      </w:r>
      <w:r>
        <w:rPr>
          <w:rFonts w:hint="eastAsia" w:ascii="宋体" w:hAnsi="宋体" w:eastAsia="宋体" w:cs="宋体"/>
          <w:sz w:val="24"/>
          <w:szCs w:val="24"/>
          <w:lang w:val="en-US" w:eastAsia="zh-CN"/>
        </w:rPr>
        <w:t>扶持企业科技基金及扶持企业发展专项基金</w:t>
      </w:r>
      <w:r>
        <w:rPr>
          <w:rFonts w:hint="eastAsia" w:ascii="宋体" w:hAnsi="宋体" w:cs="宋体"/>
          <w:sz w:val="24"/>
          <w:szCs w:val="24"/>
          <w:lang w:val="en-US" w:eastAsia="zh-CN"/>
        </w:rPr>
        <w:t>的立项、绩效目标、资金投入等决策情况；资金管理和使用情况；相关管理制度办法的健全性及执行情况；实现的产出数量、产出质量、产出时效和产出成本；取得的经济效益、社会效益、生态效益、可持续影响及服务对象满意度等。</w:t>
      </w:r>
    </w:p>
    <w:p>
      <w:pPr>
        <w:pStyle w:val="3"/>
        <w:spacing w:before="0" w:after="0" w:line="360" w:lineRule="auto"/>
        <w:ind w:firstLine="560" w:firstLineChars="200"/>
        <w:rPr>
          <w:rFonts w:ascii="宋体" w:hAnsi="宋体" w:eastAsia="方正小标宋_GBK"/>
          <w:b w:val="0"/>
          <w:kern w:val="0"/>
          <w:sz w:val="28"/>
          <w:szCs w:val="28"/>
        </w:rPr>
      </w:pPr>
      <w:bookmarkStart w:id="27" w:name="_Toc21476"/>
      <w:r>
        <w:rPr>
          <w:rFonts w:hint="eastAsia" w:ascii="方正小标宋_GBK" w:hAnsi="仿宋" w:eastAsia="方正小标宋_GBK" w:cs="黑体"/>
          <w:sz w:val="28"/>
          <w:szCs w:val="28"/>
        </w:rPr>
        <w:t>（二）绩效评价原则</w:t>
      </w:r>
      <w:bookmarkEnd w:id="27"/>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度扶持企业科技基金及扶持企业发展专项基金绩效评价是财政支出绩效评价的重要组成部分。根据</w:t>
      </w:r>
      <w:r>
        <w:rPr>
          <w:rFonts w:hint="eastAsia" w:ascii="宋体" w:hAnsi="宋体" w:eastAsia="宋体" w:cs="宋体"/>
          <w:sz w:val="24"/>
          <w:szCs w:val="24"/>
        </w:rPr>
        <w:t>泉州市财政局印发</w:t>
      </w:r>
      <w:r>
        <w:rPr>
          <w:rFonts w:hint="eastAsia" w:ascii="宋体" w:hAnsi="宋体" w:eastAsia="宋体" w:cs="宋体"/>
          <w:sz w:val="24"/>
          <w:szCs w:val="24"/>
          <w:lang w:val="en-US" w:eastAsia="zh-CN"/>
        </w:rPr>
        <w:t>的《</w:t>
      </w:r>
      <w:r>
        <w:rPr>
          <w:rFonts w:hint="eastAsia" w:ascii="宋体" w:hAnsi="宋体" w:eastAsia="宋体" w:cs="宋体"/>
          <w:sz w:val="24"/>
          <w:szCs w:val="24"/>
        </w:rPr>
        <w:t>泉州市财政支出绩效评价管理规定》（泉财预〔2016〕407号）</w:t>
      </w:r>
      <w:r>
        <w:rPr>
          <w:rFonts w:hint="eastAsia" w:ascii="宋体" w:hAnsi="宋体" w:eastAsia="宋体" w:cs="宋体"/>
          <w:sz w:val="24"/>
          <w:szCs w:val="24"/>
          <w:lang w:eastAsia="zh-CN"/>
        </w:rPr>
        <w:t>，</w:t>
      </w:r>
      <w:r>
        <w:rPr>
          <w:rFonts w:hint="eastAsia" w:ascii="宋体" w:hAnsi="宋体" w:cs="宋体"/>
          <w:sz w:val="24"/>
          <w:szCs w:val="24"/>
          <w:lang w:val="en-US" w:eastAsia="zh-CN"/>
        </w:rPr>
        <w:t>绩效评价遵循以下基本原则：</w:t>
      </w:r>
    </w:p>
    <w:p>
      <w:pPr>
        <w:spacing w:line="360" w:lineRule="auto"/>
        <w:ind w:firstLine="482" w:firstLineChars="200"/>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1.科学规范原则。</w:t>
      </w:r>
      <w:r>
        <w:rPr>
          <w:rFonts w:hint="eastAsia" w:ascii="宋体" w:hAnsi="宋体" w:cs="宋体"/>
          <w:b w:val="0"/>
          <w:bCs w:val="0"/>
          <w:sz w:val="24"/>
          <w:szCs w:val="24"/>
          <w:lang w:val="en-US" w:eastAsia="zh-CN"/>
        </w:rPr>
        <w:t>绩效评价应当严格执行规定的程序，按照科学可行的要求，采用定量分析与定性分析相结合的方法，系统反映财政支出所产生的效益和效率等。</w:t>
      </w:r>
    </w:p>
    <w:p>
      <w:pPr>
        <w:spacing w:line="360" w:lineRule="auto"/>
        <w:ind w:firstLine="482" w:firstLineChars="200"/>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2.公正公开原则。</w:t>
      </w:r>
      <w:r>
        <w:rPr>
          <w:rFonts w:hint="eastAsia" w:ascii="宋体" w:hAnsi="宋体" w:cs="宋体"/>
          <w:b w:val="0"/>
          <w:bCs w:val="0"/>
          <w:sz w:val="24"/>
          <w:szCs w:val="24"/>
          <w:lang w:val="en-US" w:eastAsia="zh-CN"/>
        </w:rPr>
        <w:t>绩效评价应当符合真实、客观、公正的要求，依法公开并接受监督。</w:t>
      </w:r>
    </w:p>
    <w:p>
      <w:pPr>
        <w:spacing w:line="360" w:lineRule="auto"/>
        <w:ind w:firstLine="482" w:firstLineChars="200"/>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3.绩效相关原则。</w:t>
      </w:r>
      <w:r>
        <w:rPr>
          <w:rFonts w:hint="eastAsia" w:ascii="宋体" w:hAnsi="宋体" w:cs="宋体"/>
          <w:b w:val="0"/>
          <w:bCs w:val="0"/>
          <w:sz w:val="24"/>
          <w:szCs w:val="24"/>
          <w:lang w:val="en-US" w:eastAsia="zh-CN"/>
        </w:rPr>
        <w:t>绩效评价应当针对具体支出及其产出绩效进行，评价结果应清晰反映支出和产出绩效之间的紧密对应关系。</w:t>
      </w:r>
    </w:p>
    <w:p>
      <w:pPr>
        <w:spacing w:line="360" w:lineRule="auto"/>
        <w:ind w:firstLine="482" w:firstLineChars="200"/>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4.重要性原则。</w:t>
      </w:r>
      <w:r>
        <w:rPr>
          <w:rFonts w:hint="eastAsia" w:ascii="宋体" w:hAnsi="宋体" w:cs="宋体"/>
          <w:b w:val="0"/>
          <w:bCs w:val="0"/>
          <w:sz w:val="24"/>
          <w:szCs w:val="24"/>
          <w:lang w:val="en-US" w:eastAsia="zh-CN"/>
        </w:rPr>
        <w:t>应当优先选取最具代表性、最能直接反映产出和效益的核心指标，舍弃那些无足轻重、可有可无的指标，做到精简实用。</w:t>
      </w:r>
    </w:p>
    <w:p>
      <w:pPr>
        <w:spacing w:line="360" w:lineRule="auto"/>
        <w:ind w:firstLine="482" w:firstLineChars="200"/>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5.经济性原则。</w:t>
      </w:r>
      <w:r>
        <w:rPr>
          <w:rFonts w:hint="eastAsia" w:ascii="宋体" w:hAnsi="宋体" w:cs="宋体"/>
          <w:b w:val="0"/>
          <w:bCs w:val="0"/>
          <w:sz w:val="24"/>
          <w:szCs w:val="24"/>
          <w:lang w:val="en-US" w:eastAsia="zh-CN"/>
        </w:rPr>
        <w:t>指标内涵应当明确、具体、可衡量，数据及佐证资料应当可采集、可获得，符合成本效益原则。</w:t>
      </w:r>
    </w:p>
    <w:p>
      <w:pPr>
        <w:pStyle w:val="3"/>
        <w:spacing w:before="0" w:after="0" w:line="360" w:lineRule="auto"/>
        <w:ind w:firstLine="560" w:firstLineChars="200"/>
        <w:rPr>
          <w:rFonts w:ascii="宋体" w:hAnsi="宋体" w:eastAsia="方正小标宋_GBK"/>
          <w:b w:val="0"/>
          <w:kern w:val="0"/>
          <w:sz w:val="28"/>
          <w:szCs w:val="28"/>
        </w:rPr>
      </w:pPr>
      <w:bookmarkStart w:id="28" w:name="_Toc14989"/>
      <w:r>
        <w:rPr>
          <w:rFonts w:hint="eastAsia" w:ascii="方正小标宋_GBK" w:hAnsi="仿宋" w:eastAsia="方正小标宋_GBK" w:cs="黑体"/>
          <w:sz w:val="28"/>
          <w:szCs w:val="28"/>
        </w:rPr>
        <w:t>（三）绩效评价方法</w:t>
      </w:r>
      <w:bookmarkEnd w:id="28"/>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度扶持企业科技基金及扶持企业发展专项基金绩效评价</w:t>
      </w:r>
      <w:r>
        <w:rPr>
          <w:rFonts w:hint="eastAsia" w:ascii="宋体" w:hAnsi="宋体" w:eastAsia="宋体" w:cs="宋体"/>
          <w:sz w:val="24"/>
          <w:szCs w:val="24"/>
        </w:rPr>
        <w:t>在</w:t>
      </w:r>
      <w:r>
        <w:rPr>
          <w:rFonts w:hint="eastAsia" w:ascii="宋体" w:hAnsi="宋体" w:cs="宋体"/>
          <w:sz w:val="24"/>
          <w:szCs w:val="24"/>
          <w:lang w:val="en-US" w:eastAsia="zh-CN"/>
        </w:rPr>
        <w:t>座谈、</w:t>
      </w:r>
      <w:r>
        <w:rPr>
          <w:rFonts w:hint="eastAsia" w:ascii="宋体" w:hAnsi="宋体" w:eastAsia="宋体" w:cs="宋体"/>
          <w:sz w:val="24"/>
          <w:szCs w:val="24"/>
        </w:rPr>
        <w:t>调研、</w:t>
      </w:r>
      <w:r>
        <w:rPr>
          <w:rFonts w:hint="eastAsia" w:ascii="宋体" w:hAnsi="宋体" w:cs="宋体"/>
          <w:sz w:val="24"/>
          <w:szCs w:val="24"/>
          <w:lang w:val="en-US" w:eastAsia="zh-CN"/>
        </w:rPr>
        <w:t>现场核查、</w:t>
      </w:r>
      <w:r>
        <w:rPr>
          <w:rFonts w:hint="eastAsia" w:ascii="宋体" w:hAnsi="宋体" w:eastAsia="宋体" w:cs="宋体"/>
          <w:sz w:val="24"/>
          <w:szCs w:val="24"/>
        </w:rPr>
        <w:t>问卷调查等方式的基础上，主要采用比较法、成本效益分析法、服务对象评判法等进行综合评价。</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1.比较法。</w:t>
      </w:r>
      <w:r>
        <w:rPr>
          <w:rFonts w:hint="eastAsia" w:ascii="宋体" w:hAnsi="宋体" w:eastAsia="宋体" w:cs="宋体"/>
          <w:sz w:val="24"/>
          <w:szCs w:val="24"/>
        </w:rPr>
        <w:t>通过实际支出、实施效果等与绩效目标、</w:t>
      </w:r>
      <w:r>
        <w:rPr>
          <w:rFonts w:hint="eastAsia" w:ascii="宋体" w:hAnsi="宋体" w:cs="宋体"/>
          <w:sz w:val="24"/>
          <w:szCs w:val="24"/>
          <w:lang w:val="en-US" w:eastAsia="zh-CN"/>
        </w:rPr>
        <w:t>合同目标、</w:t>
      </w:r>
      <w:r>
        <w:rPr>
          <w:rFonts w:hint="eastAsia" w:ascii="宋体" w:hAnsi="宋体" w:eastAsia="宋体" w:cs="宋体"/>
          <w:sz w:val="24"/>
          <w:szCs w:val="24"/>
        </w:rPr>
        <w:t>历史情况等的比较，综合分析绩效目标实现程度。</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2.成本效益分析法。</w:t>
      </w:r>
      <w:r>
        <w:rPr>
          <w:rFonts w:hint="eastAsia" w:ascii="宋体" w:hAnsi="宋体" w:eastAsia="宋体" w:cs="宋体"/>
          <w:sz w:val="24"/>
          <w:szCs w:val="24"/>
        </w:rPr>
        <w:t>将一定时期内的</w:t>
      </w:r>
      <w:r>
        <w:rPr>
          <w:rFonts w:hint="eastAsia" w:ascii="宋体" w:hAnsi="宋体" w:cs="宋体"/>
          <w:sz w:val="24"/>
          <w:szCs w:val="24"/>
          <w:lang w:val="en-US" w:eastAsia="zh-CN"/>
        </w:rPr>
        <w:t>投入</w:t>
      </w:r>
      <w:r>
        <w:rPr>
          <w:rFonts w:hint="eastAsia" w:ascii="宋体" w:hAnsi="宋体" w:eastAsia="宋体" w:cs="宋体"/>
          <w:sz w:val="24"/>
          <w:szCs w:val="24"/>
        </w:rPr>
        <w:t>与</w:t>
      </w:r>
      <w:r>
        <w:rPr>
          <w:rFonts w:hint="eastAsia" w:ascii="宋体" w:hAnsi="宋体" w:cs="宋体"/>
          <w:sz w:val="24"/>
          <w:szCs w:val="24"/>
          <w:lang w:val="en-US" w:eastAsia="zh-CN"/>
        </w:rPr>
        <w:t>产出、</w:t>
      </w:r>
      <w:r>
        <w:rPr>
          <w:rFonts w:hint="eastAsia" w:ascii="宋体" w:hAnsi="宋体" w:eastAsia="宋体" w:cs="宋体"/>
          <w:sz w:val="24"/>
          <w:szCs w:val="24"/>
        </w:rPr>
        <w:t>效益进行</w:t>
      </w:r>
      <w:r>
        <w:rPr>
          <w:rFonts w:hint="eastAsia" w:ascii="宋体" w:hAnsi="宋体" w:cs="宋体"/>
          <w:sz w:val="24"/>
          <w:szCs w:val="24"/>
          <w:lang w:val="en-US" w:eastAsia="zh-CN"/>
        </w:rPr>
        <w:t>关联性</w:t>
      </w:r>
      <w:r>
        <w:rPr>
          <w:rFonts w:hint="eastAsia" w:ascii="宋体" w:hAnsi="宋体" w:eastAsia="宋体" w:cs="宋体"/>
          <w:sz w:val="24"/>
          <w:szCs w:val="24"/>
        </w:rPr>
        <w:t>分析，以评价</w:t>
      </w:r>
      <w:r>
        <w:rPr>
          <w:rFonts w:hint="eastAsia" w:ascii="宋体" w:hAnsi="宋体" w:cs="宋体"/>
          <w:sz w:val="24"/>
          <w:szCs w:val="24"/>
          <w:lang w:val="en-US" w:eastAsia="zh-CN"/>
        </w:rPr>
        <w:t>绩效</w:t>
      </w:r>
      <w:r>
        <w:rPr>
          <w:rFonts w:hint="eastAsia" w:ascii="宋体" w:hAnsi="宋体" w:eastAsia="宋体" w:cs="宋体"/>
          <w:sz w:val="24"/>
          <w:szCs w:val="24"/>
        </w:rPr>
        <w:t>目标实现程度。</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3.服务对象评判法。</w:t>
      </w:r>
      <w:r>
        <w:rPr>
          <w:rFonts w:hint="eastAsia" w:ascii="宋体" w:hAnsi="宋体" w:eastAsia="宋体" w:cs="宋体"/>
          <w:sz w:val="24"/>
          <w:szCs w:val="24"/>
        </w:rPr>
        <w:t>通过对服务对象进行问卷及抽样调查等对财政支出的效果进行评判，评价绩效目标实现程度。</w:t>
      </w:r>
    </w:p>
    <w:p>
      <w:pPr>
        <w:pStyle w:val="3"/>
        <w:spacing w:before="0" w:after="0" w:line="360" w:lineRule="auto"/>
        <w:ind w:firstLine="560" w:firstLineChars="200"/>
        <w:rPr>
          <w:rFonts w:hint="eastAsia" w:ascii="方正小标宋_GBK" w:hAnsi="仿宋" w:eastAsia="方正小标宋_GBK" w:cs="黑体"/>
          <w:sz w:val="28"/>
          <w:szCs w:val="28"/>
          <w:lang w:val="en-US" w:eastAsia="zh-CN"/>
        </w:rPr>
      </w:pPr>
      <w:bookmarkStart w:id="29" w:name="_Toc26730"/>
      <w:r>
        <w:rPr>
          <w:rFonts w:hint="eastAsia" w:ascii="方正小标宋_GBK" w:hAnsi="仿宋" w:eastAsia="方正小标宋_GBK" w:cs="黑体"/>
          <w:sz w:val="28"/>
          <w:szCs w:val="28"/>
        </w:rPr>
        <w:t>（四）绩效评价</w:t>
      </w:r>
      <w:r>
        <w:rPr>
          <w:rFonts w:hint="eastAsia" w:ascii="方正小标宋_GBK" w:hAnsi="仿宋" w:eastAsia="方正小标宋_GBK" w:cs="黑体"/>
          <w:sz w:val="28"/>
          <w:szCs w:val="28"/>
          <w:lang w:val="en-US" w:eastAsia="zh-CN"/>
        </w:rPr>
        <w:t>标准</w:t>
      </w:r>
      <w:bookmarkEnd w:id="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绩效评价标准是衡量财政支出绩效</w:t>
      </w:r>
      <w:r>
        <w:rPr>
          <w:rFonts w:hint="eastAsia" w:ascii="宋体" w:hAnsi="宋体" w:cs="宋体"/>
          <w:sz w:val="24"/>
          <w:szCs w:val="24"/>
          <w:lang w:val="en-US" w:eastAsia="zh-CN"/>
        </w:rPr>
        <w:t>目标</w:t>
      </w:r>
      <w:r>
        <w:rPr>
          <w:rFonts w:hint="eastAsia" w:ascii="宋体" w:hAnsi="宋体" w:eastAsia="宋体" w:cs="宋体"/>
          <w:sz w:val="24"/>
          <w:szCs w:val="24"/>
        </w:rPr>
        <w:t>完成程度的尺度，</w:t>
      </w:r>
      <w:bookmarkStart w:id="30" w:name="_Hlk495061849"/>
      <w:r>
        <w:rPr>
          <w:rFonts w:hint="eastAsia" w:ascii="宋体" w:hAnsi="宋体" w:cs="宋体"/>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度扶持企业科技基金及扶持企业发展专项基金绩效评价</w:t>
      </w:r>
      <w:bookmarkEnd w:id="30"/>
      <w:r>
        <w:rPr>
          <w:rFonts w:hint="eastAsia" w:ascii="宋体" w:hAnsi="宋体" w:eastAsia="宋体" w:cs="宋体"/>
          <w:sz w:val="24"/>
          <w:szCs w:val="24"/>
        </w:rPr>
        <w:t>采用的标准主要包括：</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1.计划标准。</w:t>
      </w:r>
      <w:r>
        <w:rPr>
          <w:rFonts w:hint="eastAsia" w:ascii="宋体" w:hAnsi="宋体" w:eastAsia="宋体" w:cs="宋体"/>
          <w:sz w:val="24"/>
          <w:szCs w:val="24"/>
        </w:rPr>
        <w:t>以预先制定的目标、计划、预算、定额等作为评价标准。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2.历史标准。</w:t>
      </w:r>
      <w:r>
        <w:rPr>
          <w:rFonts w:hint="eastAsia" w:ascii="宋体" w:hAnsi="宋体" w:eastAsia="宋体" w:cs="宋体"/>
          <w:sz w:val="24"/>
          <w:szCs w:val="24"/>
        </w:rPr>
        <w:t>参照同类指标的历史数据制定的评价标准</w:t>
      </w:r>
      <w:r>
        <w:rPr>
          <w:rFonts w:hint="eastAsia" w:ascii="宋体" w:hAnsi="宋体" w:cs="宋体"/>
          <w:sz w:val="24"/>
          <w:szCs w:val="24"/>
          <w:lang w:eastAsia="zh-CN"/>
        </w:rPr>
        <w:t>，为体现绩效改进的原则，在可实现的条件下确定相对较高的评价标准。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3.行业标准。</w:t>
      </w:r>
      <w:r>
        <w:rPr>
          <w:rFonts w:hint="eastAsia" w:ascii="宋体" w:hAnsi="宋体" w:eastAsia="宋体" w:cs="宋体"/>
          <w:sz w:val="24"/>
          <w:szCs w:val="24"/>
        </w:rPr>
        <w:t>参照国家公布的行业指标数据制定的评价标准。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.财政部门和预算部门确认或认可的其他标准。</w:t>
      </w:r>
    </w:p>
    <w:p>
      <w:pPr>
        <w:pStyle w:val="3"/>
        <w:spacing w:before="0" w:after="0" w:line="360" w:lineRule="auto"/>
        <w:ind w:firstLine="560" w:firstLineChars="200"/>
        <w:rPr>
          <w:rFonts w:hint="default" w:ascii="宋体" w:hAnsi="宋体" w:eastAsia="方正小标宋_GBK"/>
          <w:b w:val="0"/>
          <w:kern w:val="0"/>
          <w:sz w:val="28"/>
          <w:szCs w:val="28"/>
          <w:lang w:val="en-US" w:eastAsia="zh-CN"/>
        </w:rPr>
      </w:pPr>
      <w:bookmarkStart w:id="31" w:name="_Toc29882"/>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五</w:t>
      </w:r>
      <w:r>
        <w:rPr>
          <w:rFonts w:hint="eastAsia" w:ascii="方正小标宋_GBK" w:hAnsi="仿宋" w:eastAsia="方正小标宋_GBK" w:cs="黑体"/>
          <w:sz w:val="28"/>
          <w:szCs w:val="28"/>
        </w:rPr>
        <w:t>）绩效评价</w:t>
      </w:r>
      <w:r>
        <w:rPr>
          <w:rFonts w:hint="eastAsia" w:ascii="方正小标宋_GBK" w:hAnsi="仿宋" w:eastAsia="方正小标宋_GBK" w:cs="黑体"/>
          <w:sz w:val="28"/>
          <w:szCs w:val="28"/>
          <w:lang w:val="en-US" w:eastAsia="zh-CN"/>
        </w:rPr>
        <w:t>指标体系及评分标准</w:t>
      </w:r>
      <w:bookmarkEnd w:id="31"/>
    </w:p>
    <w:bookmarkEnd w:id="20"/>
    <w:bookmarkEnd w:id="21"/>
    <w:bookmarkEnd w:id="22"/>
    <w:bookmarkEnd w:id="23"/>
    <w:bookmarkEnd w:id="24"/>
    <w:bookmarkEnd w:id="25"/>
    <w:bookmarkEnd w:id="26"/>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绩效评价</w:t>
      </w:r>
      <w:r>
        <w:rPr>
          <w:rFonts w:hint="eastAsia" w:ascii="宋体" w:hAnsi="宋体" w:eastAsia="宋体" w:cs="宋体"/>
          <w:color w:val="000000"/>
          <w:sz w:val="24"/>
          <w:szCs w:val="24"/>
        </w:rPr>
        <w:t>工作组根据财政部和福建省财政支出绩效评价的有关规定要求，依据前述原则</w:t>
      </w:r>
      <w:r>
        <w:rPr>
          <w:rFonts w:hint="eastAsia" w:ascii="宋体" w:hAnsi="宋体" w:cs="宋体"/>
          <w:color w:val="000000"/>
          <w:sz w:val="24"/>
          <w:szCs w:val="24"/>
          <w:lang w:eastAsia="zh-CN"/>
        </w:rPr>
        <w:t>、</w:t>
      </w:r>
      <w:r>
        <w:rPr>
          <w:rFonts w:hint="eastAsia" w:ascii="宋体" w:hAnsi="宋体" w:eastAsia="宋体" w:cs="宋体"/>
          <w:color w:val="000000"/>
          <w:sz w:val="24"/>
          <w:szCs w:val="24"/>
        </w:rPr>
        <w:t>方法</w:t>
      </w:r>
      <w:r>
        <w:rPr>
          <w:rFonts w:hint="eastAsia" w:ascii="宋体" w:hAnsi="宋体" w:cs="宋体"/>
          <w:color w:val="000000"/>
          <w:sz w:val="24"/>
          <w:szCs w:val="24"/>
          <w:lang w:val="en-US" w:eastAsia="zh-CN"/>
        </w:rPr>
        <w:t>和标准</w:t>
      </w:r>
      <w:r>
        <w:rPr>
          <w:rFonts w:hint="eastAsia" w:ascii="宋体" w:hAnsi="宋体" w:eastAsia="宋体" w:cs="宋体"/>
          <w:color w:val="000000"/>
          <w:sz w:val="24"/>
          <w:szCs w:val="24"/>
        </w:rPr>
        <w:t>，结合</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color w:val="000000"/>
          <w:sz w:val="24"/>
          <w:szCs w:val="24"/>
        </w:rPr>
        <w:t>的实际使用</w:t>
      </w:r>
      <w:r>
        <w:rPr>
          <w:rFonts w:hint="eastAsia" w:ascii="宋体" w:hAnsi="宋体" w:cs="宋体"/>
          <w:color w:val="000000"/>
          <w:sz w:val="24"/>
          <w:szCs w:val="24"/>
          <w:lang w:val="en-US" w:eastAsia="zh-CN"/>
        </w:rPr>
        <w:t>管理</w:t>
      </w:r>
      <w:r>
        <w:rPr>
          <w:rFonts w:hint="eastAsia" w:ascii="宋体" w:hAnsi="宋体" w:eastAsia="宋体" w:cs="宋体"/>
          <w:color w:val="000000"/>
          <w:sz w:val="24"/>
          <w:szCs w:val="24"/>
        </w:rPr>
        <w:t>情况，围绕项目</w:t>
      </w:r>
      <w:r>
        <w:rPr>
          <w:rFonts w:hint="eastAsia" w:ascii="宋体" w:hAnsi="宋体" w:cs="宋体"/>
          <w:color w:val="000000"/>
          <w:sz w:val="24"/>
          <w:szCs w:val="24"/>
          <w:lang w:val="en-US" w:eastAsia="zh-CN"/>
        </w:rPr>
        <w:t>决策</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过程、产出</w:t>
      </w:r>
      <w:r>
        <w:rPr>
          <w:rFonts w:hint="eastAsia" w:ascii="宋体" w:hAnsi="宋体" w:eastAsia="宋体" w:cs="宋体"/>
          <w:color w:val="000000"/>
          <w:sz w:val="24"/>
          <w:szCs w:val="24"/>
        </w:rPr>
        <w:t>和</w:t>
      </w:r>
      <w:r>
        <w:rPr>
          <w:rFonts w:hint="eastAsia" w:ascii="宋体" w:hAnsi="宋体" w:cs="宋体"/>
          <w:color w:val="000000"/>
          <w:sz w:val="24"/>
          <w:szCs w:val="24"/>
          <w:lang w:val="en-US" w:eastAsia="zh-CN"/>
        </w:rPr>
        <w:t>效益四</w:t>
      </w:r>
      <w:r>
        <w:rPr>
          <w:rFonts w:hint="eastAsia" w:ascii="宋体" w:hAnsi="宋体" w:eastAsia="宋体" w:cs="宋体"/>
          <w:color w:val="000000"/>
          <w:sz w:val="24"/>
          <w:szCs w:val="24"/>
        </w:rPr>
        <w:t>个方面设计绩效评价指标以及评分标准和分值。</w:t>
      </w:r>
    </w:p>
    <w:p>
      <w:pPr>
        <w:spacing w:line="360" w:lineRule="auto"/>
        <w:ind w:firstLine="480" w:firstLineChars="200"/>
        <w:rPr>
          <w:rFonts w:hint="eastAsia" w:ascii="仿宋" w:hAnsi="仿宋" w:eastAsia="仿宋" w:cs="仿宋"/>
          <w:color w:val="000000"/>
          <w:sz w:val="28"/>
          <w:szCs w:val="28"/>
        </w:rPr>
      </w:pPr>
      <w:r>
        <w:rPr>
          <w:rFonts w:hint="eastAsia" w:ascii="宋体" w:hAnsi="宋体" w:eastAsia="宋体" w:cs="宋体"/>
          <w:color w:val="000000"/>
          <w:sz w:val="24"/>
          <w:szCs w:val="24"/>
        </w:rPr>
        <w:t>指标体系共设置</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rPr>
        <w:t>个一级指标、</w:t>
      </w:r>
      <w:r>
        <w:rPr>
          <w:rFonts w:hint="eastAsia" w:ascii="宋体" w:hAnsi="宋体" w:cs="宋体"/>
          <w:color w:val="000000"/>
          <w:sz w:val="24"/>
          <w:szCs w:val="24"/>
          <w:lang w:val="en-US" w:eastAsia="zh-CN"/>
        </w:rPr>
        <w:t>11</w:t>
      </w:r>
      <w:r>
        <w:rPr>
          <w:rFonts w:hint="eastAsia" w:ascii="宋体" w:hAnsi="宋体" w:eastAsia="宋体" w:cs="宋体"/>
          <w:color w:val="000000"/>
          <w:sz w:val="24"/>
          <w:szCs w:val="24"/>
        </w:rPr>
        <w:t>个二级指标和</w:t>
      </w:r>
      <w:r>
        <w:rPr>
          <w:rFonts w:hint="eastAsia" w:ascii="宋体" w:hAnsi="宋体" w:cs="宋体"/>
          <w:color w:val="000000"/>
          <w:sz w:val="24"/>
          <w:szCs w:val="24"/>
          <w:lang w:val="en-US" w:eastAsia="zh-CN"/>
        </w:rPr>
        <w:t>31</w:t>
      </w:r>
      <w:r>
        <w:rPr>
          <w:rFonts w:hint="eastAsia" w:ascii="宋体" w:hAnsi="宋体" w:eastAsia="宋体" w:cs="宋体"/>
          <w:color w:val="000000"/>
          <w:sz w:val="24"/>
          <w:szCs w:val="24"/>
        </w:rPr>
        <w:t>个三级指标。一级指标为</w:t>
      </w:r>
      <w:r>
        <w:rPr>
          <w:rFonts w:hint="eastAsia" w:ascii="宋体" w:hAnsi="宋体" w:cs="宋体"/>
          <w:color w:val="000000"/>
          <w:sz w:val="24"/>
          <w:szCs w:val="24"/>
          <w:lang w:val="en-US" w:eastAsia="zh-CN"/>
        </w:rPr>
        <w:t>决策</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过程、产出</w:t>
      </w:r>
      <w:r>
        <w:rPr>
          <w:rFonts w:hint="eastAsia" w:ascii="宋体" w:hAnsi="宋体" w:eastAsia="宋体" w:cs="宋体"/>
          <w:color w:val="000000"/>
          <w:sz w:val="24"/>
          <w:szCs w:val="24"/>
        </w:rPr>
        <w:t>和</w:t>
      </w:r>
      <w:r>
        <w:rPr>
          <w:rFonts w:hint="eastAsia" w:ascii="宋体" w:hAnsi="宋体" w:cs="宋体"/>
          <w:color w:val="000000"/>
          <w:sz w:val="24"/>
          <w:szCs w:val="24"/>
          <w:lang w:val="en-US" w:eastAsia="zh-CN"/>
        </w:rPr>
        <w:t>效益</w:t>
      </w:r>
      <w:r>
        <w:rPr>
          <w:rFonts w:hint="eastAsia" w:ascii="宋体" w:hAnsi="宋体" w:eastAsia="宋体" w:cs="宋体"/>
          <w:color w:val="000000"/>
          <w:sz w:val="24"/>
          <w:szCs w:val="24"/>
        </w:rPr>
        <w:t>。指标体系设定满分100分，其中：</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决策”15</w:t>
      </w:r>
      <w:r>
        <w:rPr>
          <w:rFonts w:hint="eastAsia" w:ascii="宋体" w:hAnsi="宋体" w:eastAsia="宋体" w:cs="宋体"/>
          <w:color w:val="000000"/>
          <w:sz w:val="24"/>
          <w:szCs w:val="24"/>
        </w:rPr>
        <w:t>分，主要体现项目</w:t>
      </w:r>
      <w:r>
        <w:rPr>
          <w:rFonts w:hint="eastAsia" w:ascii="宋体" w:hAnsi="宋体" w:eastAsia="宋体" w:cs="宋体"/>
          <w:color w:val="000000"/>
          <w:sz w:val="24"/>
          <w:szCs w:val="24"/>
          <w:lang w:val="en-US" w:eastAsia="zh-CN"/>
        </w:rPr>
        <w:t>立项、绩效目标和资金投入情况；</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过程”15</w:t>
      </w:r>
      <w:r>
        <w:rPr>
          <w:rFonts w:hint="eastAsia" w:ascii="宋体" w:hAnsi="宋体" w:eastAsia="宋体" w:cs="宋体"/>
          <w:color w:val="000000"/>
          <w:sz w:val="24"/>
          <w:szCs w:val="24"/>
        </w:rPr>
        <w:t>分，主要体现项目</w:t>
      </w:r>
      <w:r>
        <w:rPr>
          <w:rFonts w:hint="eastAsia" w:ascii="宋体" w:hAnsi="宋体" w:eastAsia="宋体" w:cs="宋体"/>
          <w:color w:val="000000"/>
          <w:sz w:val="24"/>
          <w:szCs w:val="24"/>
          <w:lang w:val="en-US" w:eastAsia="zh-CN"/>
        </w:rPr>
        <w:t>的资金管理和组织实施情况；</w:t>
      </w:r>
      <w:r>
        <w:rPr>
          <w:rFonts w:hint="eastAsia" w:ascii="宋体" w:hAnsi="宋体" w:eastAsia="宋体" w:cs="宋体"/>
          <w:color w:val="000000"/>
          <w:sz w:val="24"/>
          <w:szCs w:val="24"/>
        </w:rPr>
        <w:t>“产出”</w:t>
      </w:r>
      <w:r>
        <w:rPr>
          <w:rFonts w:hint="eastAsia" w:ascii="宋体" w:hAnsi="宋体" w:cs="宋体"/>
          <w:color w:val="000000"/>
          <w:sz w:val="24"/>
          <w:szCs w:val="24"/>
          <w:lang w:val="en-US" w:eastAsia="zh-CN"/>
        </w:rPr>
        <w:t>40</w:t>
      </w:r>
      <w:r>
        <w:rPr>
          <w:rFonts w:hint="eastAsia" w:ascii="宋体" w:hAnsi="宋体" w:eastAsia="宋体" w:cs="宋体"/>
          <w:color w:val="000000"/>
          <w:sz w:val="24"/>
          <w:szCs w:val="24"/>
        </w:rPr>
        <w:t>分，主要体现项目的产出数量、产出质量、产出时效和产出成本；“效益”30分，主要体现项目</w:t>
      </w:r>
      <w:r>
        <w:rPr>
          <w:rFonts w:hint="eastAsia" w:ascii="宋体" w:hAnsi="宋体" w:cs="宋体"/>
          <w:color w:val="000000"/>
          <w:sz w:val="24"/>
          <w:szCs w:val="24"/>
          <w:lang w:val="en-US" w:eastAsia="zh-CN"/>
        </w:rPr>
        <w:t>实施后</w:t>
      </w:r>
      <w:r>
        <w:rPr>
          <w:rFonts w:hint="eastAsia" w:ascii="宋体" w:hAnsi="宋体" w:eastAsia="宋体" w:cs="宋体"/>
          <w:color w:val="000000"/>
          <w:sz w:val="24"/>
          <w:szCs w:val="24"/>
        </w:rPr>
        <w:t>的经济效益、社会效益</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生态效益、</w:t>
      </w:r>
      <w:r>
        <w:rPr>
          <w:rFonts w:hint="eastAsia" w:ascii="宋体" w:hAnsi="宋体" w:eastAsia="宋体" w:cs="宋体"/>
          <w:color w:val="000000"/>
          <w:sz w:val="24"/>
          <w:szCs w:val="24"/>
        </w:rPr>
        <w:t>可持续影响</w:t>
      </w:r>
      <w:r>
        <w:rPr>
          <w:rFonts w:hint="eastAsia" w:ascii="宋体" w:hAnsi="宋体" w:cs="宋体"/>
          <w:color w:val="000000"/>
          <w:sz w:val="24"/>
          <w:szCs w:val="24"/>
          <w:lang w:val="en-US" w:eastAsia="zh-CN"/>
        </w:rPr>
        <w:t>和</w:t>
      </w:r>
      <w:r>
        <w:rPr>
          <w:rFonts w:hint="eastAsia" w:ascii="宋体" w:hAnsi="宋体" w:eastAsia="宋体" w:cs="宋体"/>
          <w:color w:val="000000"/>
          <w:sz w:val="24"/>
          <w:szCs w:val="24"/>
        </w:rPr>
        <w:t>服务对象满意度。基于外部独立评价的特点和要求，指标设置和评分标准力求可行性、客观性、科学性与简明性。指标体系和评分标准如表2所示。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 xml:space="preserve">表2 </w:t>
      </w:r>
      <w:r>
        <w:rPr>
          <w:rFonts w:hint="eastAsia" w:ascii="宋体" w:hAnsi="宋体" w:cs="宋体"/>
          <w:b/>
          <w:kern w:val="0"/>
          <w:sz w:val="24"/>
          <w:szCs w:val="24"/>
          <w:lang w:val="en-US" w:eastAsia="zh-CN"/>
        </w:rPr>
        <w:t xml:space="preserve"> </w:t>
      </w:r>
      <w:r>
        <w:rPr>
          <w:rFonts w:hint="eastAsia" w:ascii="宋体" w:hAnsi="宋体" w:eastAsia="宋体" w:cs="宋体"/>
          <w:b/>
          <w:kern w:val="0"/>
          <w:sz w:val="24"/>
          <w:szCs w:val="24"/>
        </w:rPr>
        <w:t>泉州市丰泽区2019年度扶持企业科技基金及扶持企业发展专项基金</w:t>
      </w:r>
      <w:bookmarkStart w:id="32" w:name="_Toc30776"/>
      <w:bookmarkStart w:id="33" w:name="_Toc23833"/>
      <w:bookmarkStart w:id="34" w:name="_Toc24744"/>
      <w:bookmarkStart w:id="35" w:name="_Toc544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绩效评价指标</w:t>
      </w:r>
      <w:bookmarkEnd w:id="32"/>
      <w:bookmarkEnd w:id="33"/>
      <w:bookmarkEnd w:id="34"/>
      <w:bookmarkEnd w:id="35"/>
      <w:r>
        <w:rPr>
          <w:rFonts w:hint="eastAsia" w:ascii="宋体" w:hAnsi="宋体" w:eastAsia="宋体" w:cs="宋体"/>
          <w:b/>
          <w:kern w:val="0"/>
          <w:sz w:val="24"/>
          <w:szCs w:val="24"/>
        </w:rPr>
        <w:t>体系及评分标准</w:t>
      </w:r>
    </w:p>
    <w:tbl>
      <w:tblPr>
        <w:tblStyle w:val="14"/>
        <w:tblW w:w="9717" w:type="dxa"/>
        <w:tblInd w:w="-18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75"/>
        <w:gridCol w:w="2163"/>
        <w:gridCol w:w="54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3" w:type="dxa"/>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一级指标</w:t>
            </w:r>
          </w:p>
        </w:tc>
        <w:tc>
          <w:tcPr>
            <w:tcW w:w="1075"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二级指标</w:t>
            </w: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三级指标</w:t>
            </w:r>
          </w:p>
        </w:tc>
        <w:tc>
          <w:tcPr>
            <w:tcW w:w="5446" w:type="dxa"/>
            <w:tcBorders>
              <w:top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评分标准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033" w:type="dxa"/>
            <w:vMerge w:val="restart"/>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p>
          <w:p>
            <w:pPr>
              <w:widowControl/>
              <w:ind w:left="-105" w:leftChars="-50" w:right="-105" w:rightChars="-50"/>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决策</w:t>
            </w:r>
          </w:p>
          <w:p>
            <w:pPr>
              <w:widowControl/>
              <w:ind w:left="-105" w:leftChars="-50" w:right="-105" w:rightChars="-50"/>
              <w:jc w:val="center"/>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（15分）</w:t>
            </w:r>
          </w:p>
          <w:p>
            <w:pPr>
              <w:widowControl/>
              <w:ind w:left="-105" w:leftChars="-50" w:right="-105" w:rightChars="-50"/>
              <w:jc w:val="center"/>
              <w:rPr>
                <w:rFonts w:hint="eastAsia" w:ascii="宋体" w:hAnsi="宋体" w:cs="宋体"/>
                <w:b/>
                <w:bCs/>
                <w:kern w:val="0"/>
                <w:sz w:val="24"/>
                <w:lang w:val="en-US" w:eastAsia="zh-CN"/>
              </w:rPr>
            </w:pPr>
          </w:p>
          <w:p>
            <w:pPr>
              <w:widowControl/>
              <w:ind w:left="-105" w:leftChars="-50" w:right="-105" w:rightChars="-50"/>
              <w:jc w:val="center"/>
              <w:rPr>
                <w:rFonts w:hint="eastAsia" w:ascii="宋体" w:hAnsi="宋体" w:cs="宋体"/>
                <w:b/>
                <w:bCs/>
                <w:kern w:val="0"/>
                <w:sz w:val="24"/>
                <w:lang w:val="en-US" w:eastAsia="zh-CN"/>
              </w:rPr>
            </w:pPr>
          </w:p>
          <w:p>
            <w:pPr>
              <w:widowControl/>
              <w:ind w:left="-105" w:leftChars="-50" w:right="-105" w:rightChars="-50"/>
              <w:jc w:val="center"/>
              <w:rPr>
                <w:rFonts w:hint="eastAsia" w:ascii="宋体" w:hAnsi="宋体" w:cs="宋体"/>
                <w:b/>
                <w:bCs/>
                <w:kern w:val="0"/>
                <w:sz w:val="24"/>
                <w:lang w:val="en-US" w:eastAsia="zh-CN"/>
              </w:rPr>
            </w:pPr>
          </w:p>
          <w:p>
            <w:pPr>
              <w:widowControl/>
              <w:ind w:left="-105" w:leftChars="-50" w:right="-105" w:rightChars="-50"/>
              <w:jc w:val="center"/>
              <w:rPr>
                <w:rFonts w:hint="eastAsia" w:ascii="宋体" w:hAnsi="宋体" w:cs="宋体"/>
                <w:b/>
                <w:bCs/>
                <w:kern w:val="0"/>
                <w:sz w:val="24"/>
                <w:lang w:val="en-US" w:eastAsia="zh-CN"/>
              </w:rPr>
            </w:pPr>
          </w:p>
          <w:p>
            <w:pPr>
              <w:widowControl/>
              <w:ind w:left="-105" w:leftChars="-50" w:right="-105" w:rightChars="-50"/>
              <w:jc w:val="center"/>
              <w:rPr>
                <w:rFonts w:hint="eastAsia" w:ascii="宋体" w:hAnsi="宋体" w:cs="宋体"/>
                <w:b/>
                <w:bCs/>
                <w:kern w:val="0"/>
                <w:sz w:val="24"/>
                <w:lang w:val="en-US" w:eastAsia="zh-CN"/>
              </w:rPr>
            </w:pPr>
          </w:p>
          <w:p>
            <w:pPr>
              <w:widowControl/>
              <w:ind w:left="-105" w:leftChars="-50" w:right="-105" w:rightChars="-50"/>
              <w:jc w:val="center"/>
              <w:rPr>
                <w:rFonts w:hint="eastAsia" w:ascii="宋体" w:hAnsi="宋体" w:cs="宋体"/>
                <w:b/>
                <w:bCs/>
                <w:kern w:val="0"/>
                <w:sz w:val="24"/>
                <w:lang w:val="en-US" w:eastAsia="zh-CN"/>
              </w:rPr>
            </w:pPr>
          </w:p>
          <w:p>
            <w:pPr>
              <w:widowControl/>
              <w:ind w:left="-105" w:leftChars="-50" w:right="-105" w:rightChars="-50"/>
              <w:jc w:val="center"/>
              <w:rPr>
                <w:rFonts w:hint="eastAsia" w:ascii="宋体" w:hAnsi="宋体" w:cs="宋体"/>
                <w:b/>
                <w:bCs/>
                <w:kern w:val="0"/>
                <w:sz w:val="24"/>
                <w:lang w:val="en-US" w:eastAsia="zh-CN"/>
              </w:rPr>
            </w:pPr>
          </w:p>
        </w:tc>
        <w:tc>
          <w:tcPr>
            <w:tcW w:w="1075"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项目立项</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（6分）</w:t>
            </w: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立项依据充分性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（3分）</w:t>
            </w:r>
          </w:p>
        </w:tc>
        <w:tc>
          <w:tcPr>
            <w:tcW w:w="5446" w:type="dxa"/>
            <w:tcBorders>
              <w:top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jc w:val="both"/>
              <w:rPr>
                <w:rFonts w:hint="eastAsia" w:ascii="宋体" w:hAnsi="宋体" w:eastAsia="宋体" w:cs="宋体"/>
                <w:b w:val="0"/>
                <w:bCs w:val="0"/>
                <w:kern w:val="0"/>
                <w:sz w:val="21"/>
                <w:szCs w:val="21"/>
              </w:rPr>
            </w:pPr>
            <w:r>
              <w:rPr>
                <w:rFonts w:hint="eastAsia" w:ascii="宋体" w:hAnsi="宋体" w:eastAsia="宋体" w:cs="宋体"/>
                <w:color w:val="000000"/>
                <w:kern w:val="0"/>
                <w:sz w:val="21"/>
                <w:szCs w:val="21"/>
                <w:lang w:val="en-US" w:eastAsia="zh-CN" w:bidi="ar"/>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一项不符合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33"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75" w:type="dxa"/>
            <w:vMerge w:val="continue"/>
            <w:tcBorders>
              <w:top w:val="single" w:color="auto" w:sz="4" w:space="0"/>
              <w:bottom w:val="single" w:color="auto" w:sz="4" w:space="0"/>
            </w:tcBorders>
            <w:noWrap/>
            <w:vAlign w:val="center"/>
          </w:tcPr>
          <w:p>
            <w:pPr>
              <w:widowControl/>
              <w:ind w:left="-105" w:leftChars="-50" w:right="-105" w:rightChars="-50"/>
              <w:jc w:val="center"/>
            </w:pP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立项程序规范性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（3分）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①项目是否按照规定的程序申请设立；②审批文件、材料是否符合相关要求；③事前是否</w:t>
            </w:r>
            <w:r>
              <w:rPr>
                <w:rFonts w:hint="eastAsia" w:ascii="宋体" w:hAnsi="宋体" w:cs="宋体"/>
                <w:b w:val="0"/>
                <w:bCs w:val="0"/>
                <w:kern w:val="0"/>
                <w:sz w:val="21"/>
                <w:szCs w:val="21"/>
                <w:lang w:val="en-US" w:eastAsia="zh-CN"/>
              </w:rPr>
              <w:t>已经</w:t>
            </w:r>
            <w:r>
              <w:rPr>
                <w:rFonts w:hint="eastAsia" w:ascii="宋体" w:hAnsi="宋体" w:eastAsia="宋体" w:cs="宋体"/>
                <w:b w:val="0"/>
                <w:bCs w:val="0"/>
                <w:kern w:val="0"/>
                <w:sz w:val="21"/>
                <w:szCs w:val="21"/>
                <w:lang w:val="en-US" w:eastAsia="zh-CN"/>
              </w:rPr>
              <w:t>过必要的论证</w:t>
            </w:r>
            <w:r>
              <w:rPr>
                <w:rFonts w:hint="eastAsia" w:ascii="宋体" w:hAnsi="宋体" w:cs="宋体"/>
                <w:b w:val="0"/>
                <w:bCs w:val="0"/>
                <w:kern w:val="0"/>
                <w:sz w:val="21"/>
                <w:szCs w:val="21"/>
                <w:lang w:val="en-US" w:eastAsia="zh-CN"/>
              </w:rPr>
              <w:t>或</w:t>
            </w:r>
            <w:r>
              <w:rPr>
                <w:rFonts w:hint="eastAsia" w:ascii="宋体" w:hAnsi="宋体" w:eastAsia="宋体" w:cs="宋体"/>
                <w:b w:val="0"/>
                <w:bCs w:val="0"/>
                <w:kern w:val="0"/>
                <w:sz w:val="21"/>
                <w:szCs w:val="21"/>
                <w:lang w:val="en-US" w:eastAsia="zh-CN"/>
              </w:rPr>
              <w:t>集体决策。</w:t>
            </w:r>
            <w:r>
              <w:rPr>
                <w:rFonts w:hint="eastAsia" w:ascii="宋体" w:hAnsi="宋体" w:eastAsia="宋体" w:cs="宋体"/>
                <w:color w:val="000000"/>
                <w:kern w:val="0"/>
                <w:sz w:val="21"/>
                <w:szCs w:val="21"/>
                <w:lang w:val="en-US" w:eastAsia="zh-CN" w:bidi="ar"/>
              </w:rPr>
              <w:t>一项不符合扣1分，严重的此项完全不得分。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033"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75"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绩效目标</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（5分）</w:t>
            </w: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绩效目标合理性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（3分）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①项目是否有绩效目标；②项目绩效目标与实际工作内容是否具有相关性；③项目预期产出效益和效果是否符合正常的业绩水平；④是否与预算确定的项目投资额或资金量相匹配。</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w:t>
            </w:r>
            <w:r>
              <w:rPr>
                <w:rFonts w:hint="eastAsia" w:ascii="宋体" w:hAnsi="宋体" w:cs="宋体"/>
                <w:color w:val="000000"/>
                <w:kern w:val="0"/>
                <w:sz w:val="21"/>
                <w:szCs w:val="21"/>
                <w:lang w:val="en-US" w:eastAsia="zh-CN" w:bidi="ar"/>
              </w:rPr>
              <w:t>扣完为止</w:t>
            </w:r>
            <w:r>
              <w:rPr>
                <w:rFonts w:hint="eastAsia" w:ascii="宋体" w:hAnsi="宋体" w:eastAsia="宋体" w:cs="宋体"/>
                <w:color w:val="000000"/>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033"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75" w:type="dxa"/>
            <w:vMerge w:val="continue"/>
            <w:tcBorders>
              <w:top w:val="single" w:color="auto" w:sz="4" w:space="0"/>
              <w:bottom w:val="single" w:color="auto" w:sz="4" w:space="0"/>
            </w:tcBorders>
            <w:noWrap/>
            <w:vAlign w:val="center"/>
          </w:tcPr>
          <w:p>
            <w:pPr>
              <w:widowControl/>
              <w:ind w:left="-105" w:leftChars="-50" w:right="-105" w:rightChars="-50"/>
              <w:jc w:val="center"/>
            </w:pP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绩效指标明确性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①是否将项目绩效目标细化分解为具体的绩效指标；②是否通过清晰、可衡量的指标值予以体现；③是否与项目目标任务数或计划数相对</w:t>
            </w:r>
            <w:r>
              <w:rPr>
                <w:rFonts w:hint="eastAsia" w:ascii="宋体" w:hAnsi="宋体" w:cs="宋体"/>
                <w:b w:val="0"/>
                <w:bCs w:val="0"/>
                <w:kern w:val="0"/>
                <w:sz w:val="21"/>
                <w:szCs w:val="21"/>
                <w:lang w:val="en-US" w:eastAsia="zh-CN"/>
              </w:rPr>
              <w:t>应。</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w:t>
            </w:r>
            <w:r>
              <w:rPr>
                <w:rFonts w:hint="eastAsia" w:ascii="宋体" w:hAnsi="宋体" w:cs="宋体"/>
                <w:color w:val="000000"/>
                <w:kern w:val="0"/>
                <w:sz w:val="21"/>
                <w:szCs w:val="21"/>
                <w:lang w:val="en-US" w:eastAsia="zh-CN" w:bidi="ar"/>
              </w:rPr>
              <w:t>扣完为止</w:t>
            </w:r>
            <w:r>
              <w:rPr>
                <w:rFonts w:hint="eastAsia" w:ascii="宋体" w:hAnsi="宋体" w:eastAsia="宋体" w:cs="宋体"/>
                <w:color w:val="000000"/>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033"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p>
        </w:tc>
        <w:tc>
          <w:tcPr>
            <w:tcW w:w="1075"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资金投入</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（4分）</w:t>
            </w:r>
          </w:p>
        </w:tc>
        <w:tc>
          <w:tcPr>
            <w:tcW w:w="2163" w:type="dxa"/>
            <w:tcBorders>
              <w:top w:val="single" w:color="auto" w:sz="4" w:space="0"/>
              <w:bottom w:val="single" w:color="auto" w:sz="4" w:space="0"/>
            </w:tcBorders>
            <w:noWrap/>
            <w:vAlign w:val="center"/>
          </w:tcPr>
          <w:p>
            <w:pPr>
              <w:widowControl/>
              <w:ind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预算编制科学性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①预算编制是否经过科学论证；②预算内容与项目内容是否匹配；③预算额度测算依据是否充分，是否按照标准编制；④预算确定的项目投资额或资金量是否与工作任务相匹配。</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0.5</w:t>
            </w:r>
            <w:r>
              <w:rPr>
                <w:rFonts w:hint="eastAsia" w:ascii="宋体" w:hAnsi="宋体" w:eastAsia="宋体" w:cs="宋体"/>
                <w:color w:val="000000"/>
                <w:kern w:val="0"/>
                <w:sz w:val="21"/>
                <w:szCs w:val="21"/>
                <w:lang w:val="en-US" w:eastAsia="zh-CN" w:bidi="ar"/>
              </w:rPr>
              <w:t>分，严重的此项完全不得分。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33"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75" w:type="dxa"/>
            <w:vMerge w:val="continue"/>
            <w:tcBorders>
              <w:top w:val="single" w:color="auto" w:sz="4" w:space="0"/>
              <w:bottom w:val="single" w:color="auto" w:sz="4" w:space="0"/>
            </w:tcBorders>
            <w:noWrap/>
            <w:vAlign w:val="center"/>
          </w:tcPr>
          <w:p>
            <w:pPr>
              <w:widowControl/>
              <w:ind w:left="-105" w:leftChars="-50" w:right="-105" w:rightChars="-50"/>
              <w:jc w:val="center"/>
            </w:pP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资金分配合理性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①预算资金分配依据是否充分；②资金分配额度是否合理，与项目单位或地方实际是否相适应。</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分，严重的此项完全不得分。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033" w:type="dxa"/>
            <w:vMerge w:val="restart"/>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cs="宋体"/>
                <w:b/>
                <w:bCs/>
                <w:i w:val="0"/>
                <w:iCs w:val="0"/>
                <w:kern w:val="0"/>
                <w:sz w:val="21"/>
                <w:szCs w:val="21"/>
                <w:lang w:val="en-US" w:eastAsia="zh-CN"/>
              </w:rPr>
            </w:pPr>
            <w:r>
              <w:rPr>
                <w:rFonts w:hint="eastAsia" w:ascii="宋体" w:hAnsi="宋体" w:cs="宋体"/>
                <w:b/>
                <w:bCs/>
                <w:i w:val="0"/>
                <w:iCs w:val="0"/>
                <w:kern w:val="0"/>
                <w:sz w:val="21"/>
                <w:szCs w:val="21"/>
                <w:lang w:val="en-US" w:eastAsia="zh-CN"/>
              </w:rPr>
              <w:t>过程</w:t>
            </w:r>
          </w:p>
          <w:p>
            <w:pPr>
              <w:widowControl/>
              <w:ind w:left="-105" w:leftChars="-50" w:right="-105" w:rightChars="-50"/>
              <w:jc w:val="center"/>
              <w:rPr>
                <w:rFonts w:hint="eastAsia" w:ascii="宋体" w:hAnsi="宋体" w:cs="宋体"/>
                <w:b/>
                <w:bCs/>
                <w:i w:val="0"/>
                <w:iCs w:val="0"/>
                <w:kern w:val="0"/>
                <w:sz w:val="21"/>
                <w:szCs w:val="21"/>
                <w:lang w:val="en-US" w:eastAsia="zh-CN"/>
              </w:rPr>
            </w:pPr>
            <w:r>
              <w:rPr>
                <w:rFonts w:hint="eastAsia" w:ascii="宋体" w:hAnsi="宋体" w:cs="宋体"/>
                <w:b/>
                <w:bCs/>
                <w:i w:val="0"/>
                <w:iCs w:val="0"/>
                <w:kern w:val="0"/>
                <w:sz w:val="21"/>
                <w:szCs w:val="21"/>
                <w:lang w:val="en-US" w:eastAsia="zh-CN"/>
              </w:rPr>
              <w:t>（15分）</w:t>
            </w:r>
          </w:p>
        </w:tc>
        <w:tc>
          <w:tcPr>
            <w:tcW w:w="1075"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资金管理</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（10分）</w:t>
            </w: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资金到位率</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（4分）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资金到位率=（实际到位资金/预算资金）×100%</w:t>
            </w:r>
            <w:r>
              <w:rPr>
                <w:rFonts w:hint="eastAsia" w:ascii="宋体" w:hAnsi="宋体" w:cs="宋体"/>
                <w:b w:val="0"/>
                <w:bCs w:val="0"/>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实际到位资金：一定时期（本年度或项目期）内落实到具体项目的资金</w:t>
            </w:r>
            <w:r>
              <w:rPr>
                <w:rFonts w:hint="eastAsia" w:ascii="宋体" w:hAnsi="宋体" w:cs="宋体"/>
                <w:b w:val="0"/>
                <w:bCs w:val="0"/>
                <w:kern w:val="0"/>
                <w:sz w:val="21"/>
                <w:szCs w:val="21"/>
                <w:lang w:val="en-US" w:eastAsia="zh-CN"/>
              </w:rPr>
              <w:t>。</w:t>
            </w:r>
            <w:r>
              <w:rPr>
                <w:rFonts w:hint="eastAsia" w:ascii="宋体" w:hAnsi="宋体" w:eastAsia="宋体" w:cs="宋体"/>
                <w:b w:val="0"/>
                <w:bCs w:val="0"/>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预算资金：一定时期（本年度或项目期）内预算安排到具体项目的资金</w:t>
            </w:r>
            <w:r>
              <w:rPr>
                <w:rFonts w:hint="eastAsia" w:ascii="宋体" w:hAnsi="宋体" w:cs="宋体"/>
                <w:b w:val="0"/>
                <w:bCs w:val="0"/>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资金到位率=100%，得4分，每降低5个百分点扣1分，扣完为止。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033"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75" w:type="dxa"/>
            <w:vMerge w:val="continue"/>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预算执行率</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（4分）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kern w:val="0"/>
                <w:szCs w:val="21"/>
              </w:rPr>
            </w:pPr>
            <w:r>
              <w:rPr>
                <w:rFonts w:hint="eastAsia" w:ascii="宋体" w:hAnsi="宋体" w:eastAsia="宋体" w:cs="宋体"/>
                <w:kern w:val="0"/>
                <w:szCs w:val="21"/>
                <w:lang w:val="en-US" w:eastAsia="zh-CN"/>
              </w:rPr>
              <w:t>预算执行率=（实际支出资金/实际到位资金）</w:t>
            </w:r>
            <w:r>
              <w:rPr>
                <w:rFonts w:hint="eastAsia" w:ascii="宋体" w:hAnsi="宋体" w:eastAsia="宋体" w:cs="宋体"/>
                <w:b w:val="0"/>
                <w:bCs w:val="0"/>
                <w:kern w:val="0"/>
                <w:sz w:val="21"/>
                <w:szCs w:val="21"/>
                <w:lang w:val="en-US" w:eastAsia="zh-CN"/>
              </w:rPr>
              <w:t>×</w:t>
            </w:r>
            <w:r>
              <w:rPr>
                <w:rFonts w:hint="eastAsia" w:ascii="宋体" w:hAnsi="宋体" w:eastAsia="宋体" w:cs="宋体"/>
                <w:kern w:val="0"/>
                <w:szCs w:val="21"/>
                <w:lang w:val="en-US" w:eastAsia="zh-CN"/>
              </w:rPr>
              <w:t>100%</w:t>
            </w:r>
            <w:r>
              <w:rPr>
                <w:rFonts w:hint="eastAsia" w:ascii="宋体" w:hAnsi="宋体" w:cs="宋体"/>
                <w:kern w:val="0"/>
                <w:szCs w:val="21"/>
                <w:lang w:val="en-US" w:eastAsia="zh-CN"/>
              </w:rPr>
              <w:t>。</w:t>
            </w:r>
            <w:r>
              <w:rPr>
                <w:rFonts w:hint="eastAsia" w:ascii="宋体" w:hAnsi="宋体" w:eastAsia="宋体" w:cs="宋体"/>
                <w:kern w:val="0"/>
                <w:szCs w:val="21"/>
                <w:lang w:val="en-US" w:eastAsia="zh-CN"/>
              </w:rPr>
              <w:t xml:space="preserve"> </w:t>
            </w:r>
          </w:p>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kern w:val="0"/>
                <w:szCs w:val="21"/>
              </w:rPr>
            </w:pPr>
            <w:r>
              <w:rPr>
                <w:rFonts w:hint="eastAsia" w:ascii="宋体" w:hAnsi="宋体" w:eastAsia="宋体" w:cs="宋体"/>
                <w:kern w:val="0"/>
                <w:szCs w:val="21"/>
                <w:lang w:val="en-US" w:eastAsia="zh-CN"/>
              </w:rPr>
              <w:t>实际支出资金：一定时期（本年度或项目期）内项目实际拨付的资金</w:t>
            </w:r>
            <w:r>
              <w:rPr>
                <w:rFonts w:hint="eastAsia" w:ascii="宋体" w:hAnsi="宋体" w:cs="宋体"/>
                <w:kern w:val="0"/>
                <w:szCs w:val="21"/>
                <w:lang w:val="en-US" w:eastAsia="zh-CN"/>
              </w:rPr>
              <w:t>。</w:t>
            </w:r>
          </w:p>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kern w:val="0"/>
                <w:szCs w:val="21"/>
              </w:rPr>
              <w:t>得分=预算执行率×</w:t>
            </w:r>
            <w:r>
              <w:rPr>
                <w:rFonts w:hint="eastAsia" w:ascii="宋体" w:hAnsi="宋体" w:cs="宋体"/>
                <w:kern w:val="0"/>
                <w:szCs w:val="21"/>
                <w:lang w:val="en-US" w:eastAsia="zh-CN"/>
              </w:rPr>
              <w:t>4</w:t>
            </w:r>
            <w:r>
              <w:rPr>
                <w:rFonts w:hint="eastAsia" w:ascii="宋体" w:hAnsi="宋体" w:eastAsia="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1033"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1075" w:type="dxa"/>
            <w:vMerge w:val="continue"/>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资金使用合规性</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0.5</w:t>
            </w:r>
            <w:r>
              <w:rPr>
                <w:rFonts w:hint="eastAsia" w:ascii="宋体" w:hAnsi="宋体" w:eastAsia="宋体" w:cs="宋体"/>
                <w:color w:val="000000"/>
                <w:kern w:val="0"/>
                <w:sz w:val="21"/>
                <w:szCs w:val="21"/>
                <w:lang w:val="en-US" w:eastAsia="zh-CN" w:bidi="ar"/>
              </w:rPr>
              <w:t>分，严重的此项完全不得分。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033"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1075"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组织实施</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（5分）</w:t>
            </w: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管理制度健全性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①是否己制定或具有相应的财务和业务管理制度；②财务和业务管理制度是否合法、合规、完整。</w:t>
            </w:r>
            <w:r>
              <w:rPr>
                <w:rFonts w:hint="eastAsia" w:ascii="宋体" w:hAnsi="宋体" w:cs="宋体"/>
                <w:b w:val="0"/>
                <w:bCs w:val="0"/>
                <w:kern w:val="0"/>
                <w:sz w:val="21"/>
                <w:szCs w:val="21"/>
                <w:lang w:val="en-US" w:eastAsia="zh-CN"/>
              </w:rPr>
              <w:t>两项都</w:t>
            </w:r>
            <w:r>
              <w:rPr>
                <w:rFonts w:hint="eastAsia" w:ascii="宋体" w:hAnsi="宋体" w:eastAsia="宋体" w:cs="宋体"/>
                <w:color w:val="000000"/>
                <w:kern w:val="0"/>
                <w:sz w:val="21"/>
                <w:szCs w:val="21"/>
                <w:lang w:val="en-US" w:eastAsia="zh-CN" w:bidi="ar"/>
              </w:rPr>
              <w:t>符合</w:t>
            </w:r>
            <w:r>
              <w:rPr>
                <w:rFonts w:hint="eastAsia" w:ascii="宋体" w:hAnsi="宋体" w:cs="宋体"/>
                <w:color w:val="000000"/>
                <w:kern w:val="0"/>
                <w:sz w:val="21"/>
                <w:szCs w:val="21"/>
                <w:lang w:val="en-US" w:eastAsia="zh-CN" w:bidi="ar"/>
              </w:rPr>
              <w:t>，得2分，若有部分不符合，酌情扣分，</w:t>
            </w:r>
            <w:r>
              <w:rPr>
                <w:rFonts w:hint="eastAsia" w:ascii="宋体" w:hAnsi="宋体" w:eastAsia="宋体" w:cs="宋体"/>
                <w:color w:val="000000"/>
                <w:kern w:val="0"/>
                <w:sz w:val="21"/>
                <w:szCs w:val="21"/>
                <w:lang w:val="en-US" w:eastAsia="zh-CN" w:bidi="ar"/>
              </w:rPr>
              <w:t>严重的此项完全不得分。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033"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1075" w:type="dxa"/>
            <w:vMerge w:val="continue"/>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2163"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制度执行有效性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（3分）</w:t>
            </w:r>
          </w:p>
        </w:tc>
        <w:tc>
          <w:tcPr>
            <w:tcW w:w="5446"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①是否遵守相关法律法规和相关管理规定；②项目调整及支出调整手续是否完备；③项目合同书、验收报告、技术鉴定等资料是否齐全并及时归档；④项目实施的人员条件、场地设备、信息支撑等是否落实到位。</w:t>
            </w:r>
            <w:r>
              <w:rPr>
                <w:rFonts w:hint="eastAsia" w:ascii="宋体" w:hAnsi="宋体" w:eastAsia="宋体" w:cs="宋体"/>
                <w:color w:val="000000"/>
                <w:kern w:val="0"/>
                <w:sz w:val="21"/>
                <w:szCs w:val="21"/>
                <w:lang w:val="en-US" w:eastAsia="zh-CN" w:bidi="ar"/>
              </w:rPr>
              <w:t>一项不符合扣1分，扣完为止。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033" w:type="dxa"/>
            <w:vMerge w:val="restart"/>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产出</w:t>
            </w:r>
          </w:p>
          <w:p>
            <w:pPr>
              <w:widowControl/>
              <w:rPr>
                <w:rFonts w:hint="eastAsia" w:ascii="宋体" w:hAnsi="宋体" w:eastAsia="宋体" w:cs="宋体"/>
                <w:b/>
                <w:bCs/>
                <w:kern w:val="0"/>
                <w:szCs w:val="21"/>
              </w:rPr>
            </w:pPr>
            <w:r>
              <w:rPr>
                <w:rFonts w:hint="eastAsia" w:ascii="宋体" w:hAnsi="宋体" w:eastAsia="宋体" w:cs="宋体"/>
                <w:b/>
                <w:bCs/>
                <w:kern w:val="0"/>
                <w:szCs w:val="21"/>
              </w:rPr>
              <w:t>（</w:t>
            </w:r>
            <w:r>
              <w:rPr>
                <w:rFonts w:hint="eastAsia" w:ascii="宋体" w:hAnsi="宋体" w:cs="宋体"/>
                <w:b/>
                <w:bCs/>
                <w:kern w:val="0"/>
                <w:szCs w:val="21"/>
                <w:lang w:val="en-US" w:eastAsia="zh-CN"/>
              </w:rPr>
              <w:t>40</w:t>
            </w:r>
            <w:r>
              <w:rPr>
                <w:rFonts w:hint="eastAsia" w:ascii="宋体" w:hAnsi="宋体" w:eastAsia="宋体" w:cs="宋体"/>
                <w:b/>
                <w:bCs/>
                <w:kern w:val="0"/>
                <w:szCs w:val="21"/>
              </w:rPr>
              <w:t>分）</w:t>
            </w:r>
          </w:p>
        </w:tc>
        <w:tc>
          <w:tcPr>
            <w:tcW w:w="1075" w:type="dxa"/>
            <w:vMerge w:val="restart"/>
            <w:tcBorders>
              <w:top w:val="single" w:color="auto" w:sz="4" w:space="0"/>
            </w:tcBorders>
            <w:noWrap/>
            <w:vAlign w:val="center"/>
          </w:tcPr>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p>
          <w:p>
            <w:pPr>
              <w:widowControl/>
              <w:jc w:val="center"/>
              <w:rPr>
                <w:rFonts w:hint="eastAsia" w:ascii="宋体" w:hAnsi="宋体" w:eastAsia="宋体" w:cs="宋体"/>
                <w:kern w:val="0"/>
                <w:szCs w:val="21"/>
              </w:rPr>
            </w:pPr>
            <w:r>
              <w:rPr>
                <w:rFonts w:hint="eastAsia" w:ascii="宋体" w:hAnsi="宋体" w:eastAsia="宋体" w:cs="宋体"/>
                <w:kern w:val="0"/>
                <w:szCs w:val="21"/>
              </w:rPr>
              <w:t>产出数量</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20</w:t>
            </w:r>
            <w:r>
              <w:rPr>
                <w:rFonts w:hint="eastAsia" w:ascii="宋体" w:hAnsi="宋体" w:eastAsia="宋体" w:cs="宋体"/>
                <w:kern w:val="0"/>
                <w:szCs w:val="21"/>
              </w:rPr>
              <w:t>分）</w:t>
            </w:r>
          </w:p>
        </w:tc>
        <w:tc>
          <w:tcPr>
            <w:tcW w:w="2163" w:type="dxa"/>
            <w:tcBorders>
              <w:top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园区入驻率</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cs="宋体"/>
                <w:kern w:val="0"/>
                <w:szCs w:val="21"/>
                <w:lang w:val="en-US" w:eastAsia="zh-CN"/>
              </w:rPr>
            </w:pPr>
            <w:r>
              <w:rPr>
                <w:rFonts w:hint="eastAsia" w:ascii="宋体" w:hAnsi="宋体" w:eastAsia="宋体" w:cs="宋体"/>
                <w:b w:val="0"/>
                <w:bCs w:val="0"/>
                <w:kern w:val="0"/>
                <w:sz w:val="21"/>
                <w:szCs w:val="21"/>
                <w:lang w:val="en-US" w:eastAsia="zh-CN"/>
              </w:rPr>
              <w:t>①</w:t>
            </w:r>
            <w:r>
              <w:rPr>
                <w:rFonts w:hint="eastAsia" w:ascii="宋体" w:hAnsi="宋体" w:cs="宋体"/>
                <w:kern w:val="0"/>
                <w:szCs w:val="21"/>
                <w:lang w:val="en-US" w:eastAsia="zh-CN"/>
              </w:rPr>
              <w:t>华创园入驻率</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90%，得2分，每降低5个百分点扣1分，扣完为止。</w:t>
            </w:r>
          </w:p>
          <w:p>
            <w:pPr>
              <w:widowControl/>
              <w:jc w:val="both"/>
              <w:rPr>
                <w:rFonts w:hint="eastAsia" w:ascii="宋体" w:hAnsi="宋体" w:eastAsia="宋体" w:cs="宋体"/>
                <w:kern w:val="0"/>
                <w:szCs w:val="21"/>
              </w:rPr>
            </w:pPr>
            <w:r>
              <w:rPr>
                <w:rFonts w:hint="eastAsia" w:ascii="宋体" w:hAnsi="宋体" w:eastAsia="宋体" w:cs="宋体"/>
                <w:b w:val="0"/>
                <w:bCs w:val="0"/>
                <w:kern w:val="0"/>
                <w:sz w:val="21"/>
                <w:szCs w:val="21"/>
                <w:lang w:val="en-US" w:eastAsia="zh-CN"/>
              </w:rPr>
              <w:t>②</w:t>
            </w:r>
            <w:r>
              <w:rPr>
                <w:rFonts w:hint="eastAsia" w:ascii="宋体" w:hAnsi="宋体" w:cs="宋体"/>
                <w:kern w:val="0"/>
                <w:szCs w:val="21"/>
                <w:lang w:val="en-US" w:eastAsia="zh-CN"/>
              </w:rPr>
              <w:t>北峰数控园区入驻率以前一年份为标准，超过得2分，持平得1分，降低得0分。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33"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tabs>
                <w:tab w:val="left" w:pos="240"/>
              </w:tabs>
              <w:jc w:val="center"/>
              <w:rPr>
                <w:rFonts w:hint="eastAsia" w:ascii="宋体" w:hAnsi="宋体" w:eastAsia="宋体" w:cs="宋体"/>
                <w:kern w:val="0"/>
                <w:szCs w:val="21"/>
              </w:rPr>
            </w:pPr>
          </w:p>
        </w:tc>
        <w:tc>
          <w:tcPr>
            <w:tcW w:w="2163"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高新技术企业和科技小巨人领军企业数</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eastAsia="宋体" w:cs="宋体"/>
                <w:kern w:val="0"/>
                <w:szCs w:val="21"/>
                <w:lang w:val="en-US" w:eastAsia="zh-CN"/>
              </w:rPr>
              <w:t>的</w:t>
            </w:r>
            <w:r>
              <w:rPr>
                <w:rFonts w:hint="eastAsia" w:ascii="宋体" w:hAnsi="宋体" w:cs="宋体"/>
                <w:kern w:val="0"/>
                <w:szCs w:val="21"/>
                <w:lang w:val="en-US" w:eastAsia="zh-CN"/>
              </w:rPr>
              <w:t>国家、省级</w:t>
            </w:r>
            <w:r>
              <w:rPr>
                <w:rFonts w:hint="eastAsia" w:ascii="宋体" w:hAnsi="宋体" w:eastAsia="宋体" w:cs="宋体"/>
                <w:kern w:val="0"/>
                <w:szCs w:val="21"/>
                <w:lang w:val="en-US" w:eastAsia="zh-CN"/>
              </w:rPr>
              <w:t>高新技术企业和</w:t>
            </w:r>
            <w:r>
              <w:rPr>
                <w:rFonts w:hint="eastAsia" w:ascii="宋体" w:hAnsi="宋体" w:cs="宋体"/>
                <w:kern w:val="0"/>
                <w:szCs w:val="21"/>
                <w:lang w:val="en-US" w:eastAsia="zh-CN"/>
              </w:rPr>
              <w:t>省级</w:t>
            </w:r>
            <w:r>
              <w:rPr>
                <w:rFonts w:hint="eastAsia" w:ascii="宋体" w:hAnsi="宋体" w:eastAsia="宋体" w:cs="宋体"/>
                <w:kern w:val="0"/>
                <w:szCs w:val="21"/>
                <w:lang w:val="en-US" w:eastAsia="zh-CN"/>
              </w:rPr>
              <w:t>科技小巨人领军企业数</w:t>
            </w:r>
            <w:r>
              <w:rPr>
                <w:rFonts w:hint="eastAsia" w:ascii="宋体" w:hAnsi="宋体" w:cs="宋体"/>
                <w:kern w:val="0"/>
                <w:szCs w:val="21"/>
                <w:lang w:val="en-US" w:eastAsia="zh-CN"/>
              </w:rPr>
              <w:t>为标准，持平或减少得0分，每增加1家得0.1分，最高4分。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33"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szCs w:val="21"/>
              </w:rPr>
            </w:pPr>
          </w:p>
        </w:tc>
        <w:tc>
          <w:tcPr>
            <w:tcW w:w="1075" w:type="dxa"/>
            <w:vMerge w:val="continue"/>
            <w:noWrap/>
            <w:vAlign w:val="center"/>
          </w:tcPr>
          <w:p>
            <w:pPr>
              <w:widowControl/>
              <w:jc w:val="center"/>
              <w:rPr>
                <w:rFonts w:hint="eastAsia" w:ascii="宋体" w:hAnsi="宋体" w:eastAsia="宋体" w:cs="宋体"/>
                <w:szCs w:val="21"/>
              </w:rPr>
            </w:pPr>
          </w:p>
        </w:tc>
        <w:tc>
          <w:tcPr>
            <w:tcW w:w="2163" w:type="dxa"/>
            <w:tcBorders>
              <w:top w:val="single" w:color="auto" w:sz="4" w:space="0"/>
              <w:bottom w:val="single" w:color="auto" w:sz="4" w:space="0"/>
            </w:tcBorders>
            <w:noWrap/>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孵化器和众创空间数</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eastAsia="宋体" w:cs="宋体"/>
                <w:kern w:val="0"/>
                <w:szCs w:val="21"/>
                <w:lang w:val="en-US" w:eastAsia="zh-CN"/>
              </w:rPr>
              <w:t>的</w:t>
            </w:r>
            <w:r>
              <w:rPr>
                <w:rFonts w:hint="eastAsia" w:ascii="宋体" w:hAnsi="宋体" w:cs="宋体"/>
                <w:kern w:val="0"/>
                <w:szCs w:val="21"/>
                <w:lang w:val="en-US" w:eastAsia="zh-CN"/>
              </w:rPr>
              <w:t>国家级、省级、市级科技企业孵化器和众创空间数，以及省级互联网孵化器数为标准，减少或持平得0分，每增加1家得1分，最高4分。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33"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2163" w:type="dxa"/>
            <w:tcBorders>
              <w:top w:val="single" w:color="auto" w:sz="4" w:space="0"/>
              <w:bottom w:val="single" w:color="auto" w:sz="4" w:space="0"/>
            </w:tcBorders>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科技创新平台数</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eastAsia="宋体" w:cs="宋体"/>
                <w:kern w:val="0"/>
                <w:szCs w:val="21"/>
                <w:lang w:val="en-US" w:eastAsia="zh-CN"/>
              </w:rPr>
              <w:t>的</w:t>
            </w:r>
            <w:r>
              <w:rPr>
                <w:rFonts w:hint="eastAsia" w:ascii="宋体" w:hAnsi="宋体" w:cs="宋体"/>
                <w:kern w:val="0"/>
                <w:szCs w:val="21"/>
                <w:lang w:val="en-US" w:eastAsia="zh-CN"/>
              </w:rPr>
              <w:t>国家级、省级、市级</w:t>
            </w:r>
            <w:r>
              <w:rPr>
                <w:rFonts w:hint="eastAsia" w:ascii="宋体" w:hAnsi="宋体" w:eastAsia="宋体" w:cs="宋体"/>
                <w:kern w:val="0"/>
                <w:szCs w:val="21"/>
                <w:lang w:val="en-US" w:eastAsia="zh-CN"/>
              </w:rPr>
              <w:t>科技创新平台数</w:t>
            </w:r>
            <w:r>
              <w:rPr>
                <w:rFonts w:hint="eastAsia" w:ascii="宋体" w:hAnsi="宋体" w:cs="宋体"/>
                <w:kern w:val="0"/>
                <w:szCs w:val="21"/>
                <w:lang w:val="en-US" w:eastAsia="zh-CN"/>
              </w:rPr>
              <w:t>为标准，减少或持平得0分，每增加1家得1分，最高3分。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033"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2163" w:type="dxa"/>
            <w:tcBorders>
              <w:top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专利授权数</w:t>
            </w:r>
          </w:p>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eastAsia="宋体" w:cs="宋体"/>
                <w:kern w:val="0"/>
                <w:szCs w:val="21"/>
                <w:lang w:val="en-US" w:eastAsia="zh-CN"/>
              </w:rPr>
              <w:t>的</w:t>
            </w:r>
            <w:r>
              <w:rPr>
                <w:rFonts w:hint="eastAsia" w:ascii="宋体" w:hAnsi="宋体" w:cs="宋体"/>
                <w:kern w:val="0"/>
                <w:szCs w:val="21"/>
                <w:lang w:val="en-US" w:eastAsia="zh-CN"/>
              </w:rPr>
              <w:t>专利授权数为标准，持平或减少得0分，每增加5%得1分，最高3分</w:t>
            </w:r>
            <w:r>
              <w:rPr>
                <w:rFonts w:hint="eastAsia" w:ascii="宋体" w:hAnsi="宋体" w:eastAsia="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033" w:type="dxa"/>
            <w:vMerge w:val="continue"/>
            <w:tcBorders>
              <w:left w:val="single" w:color="auto" w:sz="4" w:space="0"/>
              <w:bottom w:val="single" w:color="auto" w:sz="4" w:space="0"/>
            </w:tcBorders>
            <w:noWrap/>
            <w:vAlign w:val="center"/>
          </w:tcPr>
          <w:p>
            <w:pPr>
              <w:widowControl/>
              <w:jc w:val="left"/>
            </w:pPr>
          </w:p>
        </w:tc>
        <w:tc>
          <w:tcPr>
            <w:tcW w:w="1075" w:type="dxa"/>
            <w:vMerge w:val="continue"/>
            <w:noWrap/>
            <w:vAlign w:val="center"/>
          </w:tcPr>
          <w:p>
            <w:pPr>
              <w:widowControl/>
              <w:jc w:val="left"/>
            </w:pPr>
          </w:p>
        </w:tc>
        <w:tc>
          <w:tcPr>
            <w:tcW w:w="2163" w:type="dxa"/>
            <w:tcBorders>
              <w:top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泉州南京大学环保产业研究院科技成果</w:t>
            </w:r>
          </w:p>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w:t>
            </w:r>
            <w:r>
              <w:rPr>
                <w:rFonts w:hint="eastAsia" w:ascii="宋体" w:hAnsi="宋体" w:cs="宋体"/>
                <w:kern w:val="0"/>
                <w:szCs w:val="21"/>
                <w:lang w:val="en-US" w:eastAsia="zh-CN"/>
              </w:rPr>
              <w:t>2</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当年实施1个以上重大科技专项，取得4项以上自主知识产权成果，孵化2家以上科技型企业。达到以上目标</w:t>
            </w:r>
            <w:r>
              <w:rPr>
                <w:rFonts w:hint="eastAsia" w:ascii="宋体" w:hAnsi="宋体" w:eastAsia="宋体" w:cs="宋体"/>
                <w:kern w:val="0"/>
                <w:szCs w:val="21"/>
              </w:rPr>
              <w:t>得</w:t>
            </w:r>
            <w:r>
              <w:rPr>
                <w:rFonts w:hint="eastAsia" w:ascii="宋体" w:hAnsi="宋体" w:cs="宋体"/>
                <w:kern w:val="0"/>
                <w:szCs w:val="21"/>
                <w:lang w:val="en-US" w:eastAsia="zh-CN"/>
              </w:rPr>
              <w:t>2分，没达到酌情扣分，最低0分</w:t>
            </w:r>
            <w:r>
              <w:rPr>
                <w:rFonts w:hint="eastAsia" w:ascii="宋体" w:hAnsi="宋体" w:eastAsia="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033"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szCs w:val="21"/>
              </w:rPr>
            </w:pPr>
          </w:p>
        </w:tc>
        <w:tc>
          <w:tcPr>
            <w:tcW w:w="1075" w:type="dxa"/>
            <w:vMerge w:val="restart"/>
            <w:noWrap/>
            <w:vAlign w:val="center"/>
          </w:tcPr>
          <w:p>
            <w:pPr>
              <w:widowControl/>
              <w:tabs>
                <w:tab w:val="left" w:pos="240"/>
              </w:tabs>
              <w:jc w:val="center"/>
              <w:rPr>
                <w:rFonts w:hint="eastAsia" w:ascii="宋体" w:hAnsi="宋体" w:eastAsia="宋体" w:cs="宋体"/>
                <w:kern w:val="0"/>
                <w:szCs w:val="21"/>
              </w:rPr>
            </w:pPr>
            <w:r>
              <w:rPr>
                <w:rFonts w:hint="eastAsia" w:ascii="宋体" w:hAnsi="宋体" w:eastAsia="宋体" w:cs="宋体"/>
                <w:kern w:val="0"/>
                <w:szCs w:val="21"/>
              </w:rPr>
              <w:t>产出质量</w:t>
            </w:r>
          </w:p>
          <w:p>
            <w:pPr>
              <w:widowControl/>
              <w:tabs>
                <w:tab w:val="left" w:pos="240"/>
              </w:tabs>
              <w:jc w:val="center"/>
              <w:rPr>
                <w:rFonts w:hint="eastAsia" w:ascii="宋体" w:hAnsi="宋体" w:eastAsia="宋体" w:cs="宋体"/>
                <w:szCs w:val="21"/>
              </w:rPr>
            </w:pPr>
            <w:r>
              <w:rPr>
                <w:rFonts w:hint="eastAsia" w:ascii="宋体" w:hAnsi="宋体" w:eastAsia="宋体" w:cs="宋体"/>
                <w:kern w:val="0"/>
                <w:szCs w:val="21"/>
              </w:rPr>
              <w:t>（</w:t>
            </w:r>
            <w:r>
              <w:rPr>
                <w:rFonts w:hint="eastAsia" w:ascii="宋体" w:hAnsi="宋体" w:cs="宋体"/>
                <w:kern w:val="0"/>
                <w:szCs w:val="21"/>
                <w:lang w:val="en-US" w:eastAsia="zh-CN"/>
              </w:rPr>
              <w:t>10</w:t>
            </w:r>
            <w:r>
              <w:rPr>
                <w:rFonts w:hint="eastAsia" w:ascii="宋体" w:hAnsi="宋体" w:eastAsia="宋体" w:cs="宋体"/>
                <w:kern w:val="0"/>
                <w:szCs w:val="21"/>
              </w:rPr>
              <w:t>分）</w:t>
            </w:r>
          </w:p>
        </w:tc>
        <w:tc>
          <w:tcPr>
            <w:tcW w:w="2163" w:type="dxa"/>
            <w:tcBorders>
              <w:top w:val="single" w:color="auto" w:sz="4" w:space="0"/>
              <w:bottom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区级科技计划项目验收合格率</w:t>
            </w:r>
          </w:p>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default" w:ascii="宋体" w:hAnsi="宋体" w:eastAsia="宋体" w:cs="宋体"/>
                <w:kern w:val="0"/>
                <w:szCs w:val="21"/>
                <w:lang w:val="en-US" w:eastAsia="zh-CN"/>
              </w:rPr>
            </w:pPr>
            <w:r>
              <w:rPr>
                <w:rFonts w:hint="eastAsia" w:ascii="宋体" w:hAnsi="宋体" w:cs="宋体"/>
                <w:kern w:val="0"/>
                <w:szCs w:val="21"/>
                <w:lang w:val="en-US" w:eastAsia="zh-CN"/>
              </w:rPr>
              <w:t>区级科技计划项目验收合格率</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95%，得3分，每降低5个百分点扣1分，扣完为止。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33" w:type="dxa"/>
            <w:vMerge w:val="continue"/>
            <w:tcBorders>
              <w:left w:val="single" w:color="auto" w:sz="4" w:space="0"/>
              <w:bottom w:val="single" w:color="auto" w:sz="4" w:space="0"/>
            </w:tcBorders>
            <w:noWrap/>
            <w:vAlign w:val="center"/>
          </w:tcPr>
          <w:p>
            <w:pPr>
              <w:widowControl/>
              <w:jc w:val="both"/>
            </w:pPr>
          </w:p>
        </w:tc>
        <w:tc>
          <w:tcPr>
            <w:tcW w:w="1075" w:type="dxa"/>
            <w:vMerge w:val="continue"/>
            <w:noWrap/>
            <w:vAlign w:val="center"/>
          </w:tcPr>
          <w:p>
            <w:pPr>
              <w:widowControl/>
              <w:jc w:val="both"/>
            </w:pPr>
          </w:p>
        </w:tc>
        <w:tc>
          <w:tcPr>
            <w:tcW w:w="2163" w:type="dxa"/>
            <w:tcBorders>
              <w:top w:val="single" w:color="auto" w:sz="4" w:space="0"/>
              <w:bottom w:val="single" w:color="auto" w:sz="4" w:space="0"/>
            </w:tcBorders>
            <w:noWrap/>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项目质量合格情况</w:t>
            </w:r>
          </w:p>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（3分）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华创园3个建设项目和公安局1个建设项目都验收合格得3分，一项不合格扣1分，扣完为止。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33" w:type="dxa"/>
            <w:vMerge w:val="continue"/>
            <w:tcBorders>
              <w:top w:val="single" w:color="auto" w:sz="4" w:space="0"/>
              <w:left w:val="single" w:color="auto" w:sz="4" w:space="0"/>
              <w:bottom w:val="single" w:color="auto" w:sz="4" w:space="0"/>
            </w:tcBorders>
            <w:noWrap/>
            <w:vAlign w:val="center"/>
          </w:tcPr>
          <w:p>
            <w:pPr>
              <w:widowControl/>
              <w:jc w:val="left"/>
            </w:pPr>
          </w:p>
        </w:tc>
        <w:tc>
          <w:tcPr>
            <w:tcW w:w="1075" w:type="dxa"/>
            <w:vMerge w:val="continue"/>
            <w:noWrap/>
            <w:vAlign w:val="center"/>
          </w:tcPr>
          <w:p>
            <w:pPr>
              <w:widowControl/>
              <w:jc w:val="left"/>
            </w:pPr>
          </w:p>
        </w:tc>
        <w:tc>
          <w:tcPr>
            <w:tcW w:w="2163" w:type="dxa"/>
            <w:tcBorders>
              <w:top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奖励扶持项目合规性</w:t>
            </w:r>
          </w:p>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default" w:ascii="宋体" w:hAnsi="宋体" w:eastAsia="宋体" w:cs="宋体"/>
                <w:kern w:val="0"/>
                <w:szCs w:val="21"/>
                <w:lang w:val="en-US" w:eastAsia="zh-CN"/>
              </w:rPr>
            </w:pPr>
            <w:r>
              <w:rPr>
                <w:rFonts w:hint="eastAsia" w:ascii="宋体" w:hAnsi="宋体" w:cs="宋体"/>
                <w:kern w:val="0"/>
                <w:szCs w:val="21"/>
                <w:lang w:val="en-US" w:eastAsia="zh-CN"/>
              </w:rPr>
              <w:t>奖励扶持项目都合规得4分，一项不合规扣1分，扣完为止。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033"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szCs w:val="21"/>
              </w:rPr>
            </w:pPr>
          </w:p>
        </w:tc>
        <w:tc>
          <w:tcPr>
            <w:tcW w:w="1075" w:type="dxa"/>
            <w:vMerge w:val="restart"/>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产出时效</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6</w:t>
            </w:r>
            <w:r>
              <w:rPr>
                <w:rFonts w:hint="eastAsia" w:ascii="宋体" w:hAnsi="宋体" w:eastAsia="宋体" w:cs="宋体"/>
                <w:kern w:val="0"/>
                <w:szCs w:val="21"/>
              </w:rPr>
              <w:t>分）</w:t>
            </w:r>
          </w:p>
        </w:tc>
        <w:tc>
          <w:tcPr>
            <w:tcW w:w="2163"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资金拨付</w:t>
            </w:r>
            <w:r>
              <w:rPr>
                <w:rFonts w:hint="eastAsia" w:ascii="宋体" w:hAnsi="宋体" w:eastAsia="宋体" w:cs="宋体"/>
                <w:kern w:val="0"/>
                <w:szCs w:val="21"/>
              </w:rPr>
              <w:t>及时性</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default" w:ascii="宋体" w:hAnsi="宋体" w:eastAsia="宋体" w:cs="宋体"/>
                <w:kern w:val="0"/>
                <w:szCs w:val="21"/>
                <w:lang w:val="en-US" w:eastAsia="zh-CN"/>
              </w:rPr>
            </w:pPr>
            <w:r>
              <w:rPr>
                <w:rFonts w:hint="eastAsia" w:ascii="宋体" w:hAnsi="宋体" w:cs="宋体"/>
                <w:kern w:val="0"/>
                <w:szCs w:val="21"/>
                <w:lang w:val="en-US" w:eastAsia="zh-CN"/>
              </w:rPr>
              <w:t>专项资金均按计划、合同或有关规定及时拨付，得3分；若有延误，酌情扣分，扣完为止。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33"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p>
        </w:tc>
        <w:tc>
          <w:tcPr>
            <w:tcW w:w="1075" w:type="dxa"/>
            <w:vMerge w:val="continue"/>
            <w:tcBorders>
              <w:bottom w:val="single" w:color="auto" w:sz="4" w:space="0"/>
            </w:tcBorders>
            <w:noWrap/>
            <w:vAlign w:val="center"/>
          </w:tcPr>
          <w:p>
            <w:pPr>
              <w:widowControl/>
              <w:jc w:val="center"/>
              <w:rPr>
                <w:rFonts w:hint="eastAsia" w:ascii="宋体" w:hAnsi="宋体" w:eastAsia="宋体" w:cs="宋体"/>
                <w:kern w:val="0"/>
                <w:szCs w:val="21"/>
              </w:rPr>
            </w:pPr>
          </w:p>
        </w:tc>
        <w:tc>
          <w:tcPr>
            <w:tcW w:w="2163"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项目开展</w:t>
            </w:r>
            <w:r>
              <w:rPr>
                <w:rFonts w:hint="eastAsia" w:ascii="宋体" w:hAnsi="宋体" w:eastAsia="宋体" w:cs="宋体"/>
                <w:kern w:val="0"/>
                <w:szCs w:val="21"/>
              </w:rPr>
              <w:t>及时性</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cs="宋体"/>
                <w:kern w:val="0"/>
                <w:szCs w:val="21"/>
                <w:lang w:val="en-US" w:eastAsia="zh-CN"/>
              </w:rPr>
              <w:t>按计划建设项目或开展活动</w:t>
            </w:r>
            <w:r>
              <w:rPr>
                <w:rFonts w:hint="eastAsia" w:ascii="宋体" w:hAnsi="宋体" w:eastAsia="宋体" w:cs="宋体"/>
                <w:kern w:val="0"/>
                <w:szCs w:val="21"/>
              </w:rPr>
              <w:t>，得</w:t>
            </w:r>
            <w:r>
              <w:rPr>
                <w:rFonts w:hint="eastAsia" w:ascii="宋体" w:hAnsi="宋体" w:cs="宋体"/>
                <w:kern w:val="0"/>
                <w:szCs w:val="21"/>
                <w:lang w:val="en-US" w:eastAsia="zh-CN"/>
              </w:rPr>
              <w:t>3</w:t>
            </w:r>
            <w:r>
              <w:rPr>
                <w:rFonts w:hint="eastAsia" w:ascii="宋体" w:hAnsi="宋体" w:eastAsia="宋体" w:cs="宋体"/>
                <w:kern w:val="0"/>
                <w:szCs w:val="21"/>
              </w:rPr>
              <w:t>分；</w:t>
            </w:r>
            <w:r>
              <w:rPr>
                <w:rFonts w:hint="eastAsia" w:ascii="宋体" w:hAnsi="宋体" w:cs="宋体"/>
                <w:kern w:val="0"/>
                <w:szCs w:val="21"/>
                <w:lang w:val="en-US" w:eastAsia="zh-CN"/>
              </w:rPr>
              <w:t>若</w:t>
            </w:r>
            <w:r>
              <w:rPr>
                <w:rFonts w:hint="eastAsia" w:ascii="宋体" w:hAnsi="宋体" w:eastAsia="宋体" w:cs="宋体"/>
                <w:kern w:val="0"/>
                <w:szCs w:val="21"/>
              </w:rPr>
              <w:t>比计划</w:t>
            </w:r>
            <w:r>
              <w:rPr>
                <w:rFonts w:hint="eastAsia" w:ascii="宋体" w:hAnsi="宋体" w:cs="宋体"/>
                <w:kern w:val="0"/>
                <w:szCs w:val="21"/>
                <w:lang w:val="en-US" w:eastAsia="zh-CN"/>
              </w:rPr>
              <w:t>时间晚，酌情扣分</w:t>
            </w:r>
            <w:r>
              <w:rPr>
                <w:rFonts w:hint="eastAsia" w:ascii="宋体" w:hAnsi="宋体" w:eastAsia="宋体" w:cs="宋体"/>
                <w:kern w:val="0"/>
                <w:szCs w:val="21"/>
              </w:rPr>
              <w:t>，扣完为止。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33"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szCs w:val="21"/>
              </w:rPr>
            </w:pPr>
          </w:p>
        </w:tc>
        <w:tc>
          <w:tcPr>
            <w:tcW w:w="1075" w:type="dxa"/>
            <w:tcBorders>
              <w:top w:val="single" w:color="auto" w:sz="4" w:space="0"/>
              <w:bottom w:val="single" w:color="auto" w:sz="4" w:space="0"/>
            </w:tcBorders>
            <w:noWrap/>
            <w:vAlign w:val="center"/>
          </w:tcPr>
          <w:p>
            <w:pPr>
              <w:widowControl/>
              <w:jc w:val="center"/>
              <w:rPr>
                <w:rFonts w:hint="eastAsia" w:ascii="宋体" w:hAnsi="宋体" w:eastAsia="宋体" w:cs="宋体"/>
                <w:szCs w:val="21"/>
              </w:rPr>
            </w:pPr>
            <w:r>
              <w:rPr>
                <w:rFonts w:hint="eastAsia" w:ascii="宋体" w:hAnsi="宋体" w:eastAsia="宋体" w:cs="宋体"/>
                <w:szCs w:val="21"/>
              </w:rPr>
              <w:t>产出成本</w:t>
            </w:r>
          </w:p>
          <w:p>
            <w:pPr>
              <w:widowControl/>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cs="宋体"/>
                <w:szCs w:val="21"/>
                <w:lang w:val="en-US" w:eastAsia="zh-CN"/>
              </w:rPr>
              <w:t>4</w:t>
            </w:r>
            <w:r>
              <w:rPr>
                <w:rFonts w:hint="eastAsia" w:ascii="宋体" w:hAnsi="宋体" w:eastAsia="宋体" w:cs="宋体"/>
                <w:szCs w:val="21"/>
              </w:rPr>
              <w:t>分）</w:t>
            </w:r>
          </w:p>
        </w:tc>
        <w:tc>
          <w:tcPr>
            <w:tcW w:w="2163" w:type="dxa"/>
            <w:tcBorders>
              <w:top w:val="single" w:color="auto" w:sz="4" w:space="0"/>
            </w:tcBorders>
            <w:noWrap/>
            <w:vAlign w:val="center"/>
          </w:tcPr>
          <w:p>
            <w:pPr>
              <w:widowControl/>
              <w:jc w:val="center"/>
              <w:rPr>
                <w:rFonts w:hint="default" w:ascii="宋体" w:hAnsi="宋体" w:eastAsia="宋体" w:cs="宋体"/>
                <w:kern w:val="0"/>
                <w:szCs w:val="21"/>
                <w:lang w:val="en-US"/>
              </w:rPr>
            </w:pPr>
            <w:r>
              <w:rPr>
                <w:rFonts w:hint="eastAsia" w:ascii="宋体" w:hAnsi="宋体" w:eastAsia="宋体" w:cs="宋体"/>
                <w:kern w:val="0"/>
                <w:szCs w:val="21"/>
              </w:rPr>
              <w:t>成本</w:t>
            </w:r>
            <w:r>
              <w:rPr>
                <w:rFonts w:hint="eastAsia" w:ascii="宋体" w:hAnsi="宋体" w:cs="宋体"/>
                <w:kern w:val="0"/>
                <w:szCs w:val="21"/>
                <w:lang w:val="en-US" w:eastAsia="zh-CN"/>
              </w:rPr>
              <w:t>节约情况</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cs="宋体"/>
                <w:kern w:val="0"/>
                <w:szCs w:val="21"/>
                <w:lang w:val="en-US" w:eastAsia="zh-CN"/>
              </w:rPr>
              <w:t>所有项目实际成本均不超过计划或预算成本，得4分；若有超过，酌情扣分，</w:t>
            </w:r>
            <w:r>
              <w:rPr>
                <w:rFonts w:hint="eastAsia" w:ascii="宋体" w:hAnsi="宋体" w:eastAsia="宋体" w:cs="宋体"/>
                <w:color w:val="000000"/>
                <w:kern w:val="0"/>
                <w:sz w:val="21"/>
                <w:szCs w:val="21"/>
                <w:lang w:val="en-US" w:eastAsia="zh-CN" w:bidi="ar"/>
              </w:rPr>
              <w:t>严重的此项完全不得分</w:t>
            </w:r>
            <w:r>
              <w:rPr>
                <w:rFonts w:hint="eastAsia" w:ascii="宋体" w:hAnsi="宋体" w:eastAsia="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033" w:type="dxa"/>
            <w:vMerge w:val="restart"/>
            <w:tcBorders>
              <w:top w:val="single" w:color="auto" w:sz="4" w:space="0"/>
              <w:left w:val="single" w:color="auto" w:sz="4" w:space="0"/>
            </w:tcBorders>
            <w:noWrap/>
            <w:vAlign w:val="center"/>
          </w:tcPr>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p>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效益</w:t>
            </w:r>
          </w:p>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w:t>
            </w:r>
            <w:r>
              <w:rPr>
                <w:rFonts w:hint="eastAsia" w:ascii="宋体" w:hAnsi="宋体" w:cs="宋体"/>
                <w:b/>
                <w:bCs/>
                <w:kern w:val="0"/>
                <w:szCs w:val="21"/>
                <w:lang w:val="en-US" w:eastAsia="zh-CN"/>
              </w:rPr>
              <w:t>30</w:t>
            </w:r>
            <w:r>
              <w:rPr>
                <w:rFonts w:hint="eastAsia" w:ascii="宋体" w:hAnsi="宋体" w:eastAsia="宋体" w:cs="宋体"/>
                <w:b/>
                <w:bCs/>
                <w:kern w:val="0"/>
                <w:szCs w:val="21"/>
              </w:rPr>
              <w:t>分）</w:t>
            </w:r>
          </w:p>
        </w:tc>
        <w:tc>
          <w:tcPr>
            <w:tcW w:w="1075" w:type="dxa"/>
            <w:vMerge w:val="restart"/>
            <w:tcBorders>
              <w:top w:val="single" w:color="auto" w:sz="4" w:space="0"/>
            </w:tcBorders>
            <w:noWrap/>
            <w:vAlign w:val="center"/>
          </w:tcPr>
          <w:p>
            <w:pPr>
              <w:widowControl/>
              <w:jc w:val="center"/>
              <w:rPr>
                <w:rFonts w:hint="eastAsia" w:ascii="宋体" w:hAnsi="宋体" w:cs="宋体"/>
                <w:kern w:val="0"/>
                <w:szCs w:val="21"/>
                <w:lang w:val="en-US" w:eastAsia="zh-CN"/>
              </w:rPr>
            </w:pPr>
          </w:p>
          <w:p>
            <w:pPr>
              <w:widowControl/>
              <w:jc w:val="center"/>
              <w:rPr>
                <w:rFonts w:hint="eastAsia" w:ascii="宋体" w:hAnsi="宋体" w:cs="宋体"/>
                <w:kern w:val="0"/>
                <w:szCs w:val="21"/>
                <w:lang w:val="en-US" w:eastAsia="zh-CN"/>
              </w:rPr>
            </w:pPr>
          </w:p>
          <w:p>
            <w:pPr>
              <w:widowControl/>
              <w:jc w:val="center"/>
              <w:rPr>
                <w:rFonts w:hint="eastAsia" w:ascii="宋体" w:hAnsi="宋体" w:cs="宋体"/>
                <w:kern w:val="0"/>
                <w:szCs w:val="21"/>
                <w:lang w:val="en-US" w:eastAsia="zh-CN"/>
              </w:rPr>
            </w:pPr>
          </w:p>
          <w:p>
            <w:pPr>
              <w:widowControl/>
              <w:jc w:val="center"/>
              <w:rPr>
                <w:rFonts w:hint="eastAsia" w:ascii="宋体" w:hAnsi="宋体" w:cs="宋体"/>
                <w:kern w:val="0"/>
                <w:szCs w:val="21"/>
                <w:lang w:val="en-US" w:eastAsia="zh-CN"/>
              </w:rPr>
            </w:pPr>
          </w:p>
          <w:p>
            <w:pPr>
              <w:widowControl/>
              <w:jc w:val="center"/>
              <w:rPr>
                <w:rFonts w:hint="eastAsia" w:ascii="宋体" w:hAnsi="宋体" w:cs="宋体"/>
                <w:kern w:val="0"/>
                <w:szCs w:val="21"/>
                <w:lang w:val="en-US" w:eastAsia="zh-CN"/>
              </w:rPr>
            </w:pPr>
          </w:p>
          <w:p>
            <w:pPr>
              <w:widowControl/>
              <w:jc w:val="center"/>
              <w:rPr>
                <w:rFonts w:hint="eastAsia" w:ascii="宋体" w:hAnsi="宋体" w:cs="宋体"/>
                <w:kern w:val="0"/>
                <w:szCs w:val="21"/>
                <w:lang w:val="en-US" w:eastAsia="zh-CN"/>
              </w:rPr>
            </w:pPr>
          </w:p>
          <w:p>
            <w:pPr>
              <w:widowControl/>
              <w:jc w:val="center"/>
              <w:rPr>
                <w:rFonts w:hint="eastAsia" w:ascii="宋体" w:hAnsi="宋体" w:cs="宋体"/>
                <w:kern w:val="0"/>
                <w:szCs w:val="21"/>
                <w:lang w:val="en-US" w:eastAsia="zh-CN"/>
              </w:rPr>
            </w:pPr>
          </w:p>
          <w:p>
            <w:pPr>
              <w:widowControl/>
              <w:jc w:val="center"/>
              <w:rPr>
                <w:rFonts w:hint="eastAsia" w:ascii="宋体" w:hAnsi="宋体" w:eastAsia="宋体" w:cs="宋体"/>
                <w:kern w:val="0"/>
                <w:szCs w:val="21"/>
              </w:rPr>
            </w:pPr>
            <w:r>
              <w:rPr>
                <w:rFonts w:hint="eastAsia" w:ascii="宋体" w:hAnsi="宋体" w:cs="宋体"/>
                <w:kern w:val="0"/>
                <w:szCs w:val="21"/>
                <w:lang w:val="en-US" w:eastAsia="zh-CN"/>
              </w:rPr>
              <w:t>项目</w:t>
            </w:r>
            <w:r>
              <w:rPr>
                <w:rFonts w:hint="eastAsia" w:ascii="宋体" w:hAnsi="宋体" w:eastAsia="宋体" w:cs="宋体"/>
                <w:kern w:val="0"/>
                <w:szCs w:val="21"/>
              </w:rPr>
              <w:t>效益</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25</w:t>
            </w:r>
            <w:r>
              <w:rPr>
                <w:rFonts w:hint="eastAsia" w:ascii="宋体" w:hAnsi="宋体" w:eastAsia="宋体" w:cs="宋体"/>
                <w:kern w:val="0"/>
                <w:szCs w:val="21"/>
              </w:rPr>
              <w:t>分）</w:t>
            </w:r>
          </w:p>
        </w:tc>
        <w:tc>
          <w:tcPr>
            <w:tcW w:w="2163" w:type="dxa"/>
            <w:tcBorders>
              <w:top w:val="single" w:color="auto" w:sz="4" w:space="0"/>
              <w:bottom w:val="single" w:color="auto" w:sz="4" w:space="0"/>
            </w:tcBorders>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国家</w:t>
            </w:r>
            <w:r>
              <w:rPr>
                <w:rFonts w:hint="eastAsia" w:ascii="宋体" w:hAnsi="宋体" w:eastAsia="宋体" w:cs="宋体"/>
                <w:kern w:val="0"/>
                <w:szCs w:val="21"/>
                <w:lang w:val="en-US" w:eastAsia="zh-CN"/>
              </w:rPr>
              <w:t>高新技术</w:t>
            </w:r>
            <w:r>
              <w:rPr>
                <w:rFonts w:hint="eastAsia" w:ascii="宋体" w:hAnsi="宋体" w:cs="宋体"/>
                <w:kern w:val="0"/>
                <w:szCs w:val="21"/>
                <w:lang w:val="en-US" w:eastAsia="zh-CN"/>
              </w:rPr>
              <w:t>企业实现产值增长率</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ind w:left="-50" w:right="-50"/>
              <w:jc w:val="both"/>
              <w:rPr>
                <w:rFonts w:hint="eastAsia" w:ascii="宋体" w:hAnsi="宋体" w:eastAsia="宋体" w:cs="宋体"/>
                <w:kern w:val="0"/>
                <w:szCs w:val="21"/>
              </w:rPr>
            </w:pPr>
            <w:r>
              <w:rPr>
                <w:rFonts w:hint="eastAsia" w:ascii="宋体" w:hAnsi="宋体" w:cs="宋体"/>
                <w:kern w:val="0"/>
                <w:szCs w:val="21"/>
                <w:lang w:val="en-US" w:eastAsia="zh-CN"/>
              </w:rPr>
              <w:t>国家</w:t>
            </w:r>
            <w:r>
              <w:rPr>
                <w:rFonts w:hint="eastAsia" w:ascii="宋体" w:hAnsi="宋体" w:eastAsia="宋体" w:cs="宋体"/>
                <w:kern w:val="0"/>
                <w:szCs w:val="21"/>
                <w:lang w:val="en-US" w:eastAsia="zh-CN"/>
              </w:rPr>
              <w:t>高新技术</w:t>
            </w:r>
            <w:r>
              <w:rPr>
                <w:rFonts w:hint="eastAsia" w:ascii="宋体" w:hAnsi="宋体" w:cs="宋体"/>
                <w:kern w:val="0"/>
                <w:szCs w:val="21"/>
                <w:lang w:val="en-US" w:eastAsia="zh-CN"/>
              </w:rPr>
              <w:t>企业实现产值年增长率不低于地区生产总值年增长率，得4分，每降低0.5个百分点扣1分，扣完为止。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33" w:type="dxa"/>
            <w:vMerge w:val="continue"/>
            <w:tcBorders>
              <w:left w:val="single" w:color="auto" w:sz="4" w:space="0"/>
            </w:tcBorders>
            <w:noWrap/>
            <w:vAlign w:val="center"/>
          </w:tcPr>
          <w:p>
            <w:pPr>
              <w:widowControl/>
              <w:jc w:val="center"/>
              <w:rPr>
                <w:rFonts w:hint="eastAsia" w:ascii="宋体" w:hAnsi="宋体" w:eastAsia="宋体" w:cs="宋体"/>
                <w:szCs w:val="21"/>
              </w:rPr>
            </w:pPr>
          </w:p>
        </w:tc>
        <w:tc>
          <w:tcPr>
            <w:tcW w:w="1075" w:type="dxa"/>
            <w:vMerge w:val="continue"/>
            <w:noWrap/>
            <w:vAlign w:val="center"/>
          </w:tcPr>
          <w:p>
            <w:pPr>
              <w:widowControl/>
              <w:jc w:val="center"/>
              <w:rPr>
                <w:rFonts w:hint="eastAsia" w:ascii="宋体" w:hAnsi="宋体" w:eastAsia="宋体" w:cs="宋体"/>
                <w:szCs w:val="21"/>
              </w:rPr>
            </w:pPr>
          </w:p>
        </w:tc>
        <w:tc>
          <w:tcPr>
            <w:tcW w:w="2163" w:type="dxa"/>
            <w:tcBorders>
              <w:top w:val="single" w:color="auto" w:sz="4" w:space="0"/>
              <w:bottom w:val="single" w:color="auto" w:sz="4" w:space="0"/>
            </w:tcBorders>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园区内企业纳税金额增长率</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6</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cs="宋体"/>
                <w:kern w:val="0"/>
                <w:szCs w:val="21"/>
                <w:lang w:eastAsia="zh-CN"/>
              </w:rPr>
            </w:pPr>
            <w:r>
              <w:rPr>
                <w:rFonts w:hint="eastAsia" w:ascii="宋体" w:hAnsi="宋体" w:eastAsia="宋体" w:cs="宋体"/>
                <w:b w:val="0"/>
                <w:bCs w:val="0"/>
                <w:kern w:val="0"/>
                <w:sz w:val="21"/>
                <w:szCs w:val="21"/>
                <w:lang w:val="en-US" w:eastAsia="zh-CN"/>
              </w:rPr>
              <w:t>园区内企业纳税金额增长率</w:t>
            </w:r>
            <w:r>
              <w:rPr>
                <w:rFonts w:hint="eastAsia" w:ascii="宋体" w:hAnsi="宋体" w:cs="宋体"/>
                <w:b w:val="0"/>
                <w:bCs w:val="0"/>
                <w:kern w:val="0"/>
                <w:sz w:val="21"/>
                <w:szCs w:val="21"/>
                <w:lang w:val="en-US" w:eastAsia="zh-CN"/>
              </w:rPr>
              <w:t>=</w:t>
            </w:r>
            <w:r>
              <w:rPr>
                <w:rFonts w:hint="eastAsia" w:ascii="宋体" w:hAnsi="宋体" w:cs="宋体"/>
                <w:szCs w:val="21"/>
              </w:rPr>
              <w:t>（当年</w:t>
            </w:r>
            <w:r>
              <w:rPr>
                <w:rFonts w:hint="eastAsia" w:ascii="宋体" w:hAnsi="宋体" w:cs="宋体"/>
                <w:kern w:val="0"/>
                <w:szCs w:val="21"/>
                <w:lang w:val="en-US" w:eastAsia="zh-CN"/>
              </w:rPr>
              <w:t>园区内企业纳税金额</w:t>
            </w:r>
            <w:r>
              <w:rPr>
                <w:rFonts w:hint="eastAsia" w:ascii="宋体" w:hAnsi="宋体" w:cs="宋体"/>
                <w:szCs w:val="21"/>
              </w:rPr>
              <w:t>-上一年</w:t>
            </w:r>
            <w:r>
              <w:rPr>
                <w:rFonts w:hint="eastAsia" w:ascii="宋体" w:hAnsi="宋体" w:cs="宋体"/>
                <w:kern w:val="0"/>
                <w:szCs w:val="21"/>
                <w:lang w:val="en-US" w:eastAsia="zh-CN"/>
              </w:rPr>
              <w:t>园区内企业纳税金额</w:t>
            </w:r>
            <w:r>
              <w:rPr>
                <w:rFonts w:hint="eastAsia" w:ascii="宋体" w:hAnsi="宋体" w:cs="宋体"/>
                <w:szCs w:val="21"/>
              </w:rPr>
              <w:t>）/上一年</w:t>
            </w:r>
            <w:r>
              <w:rPr>
                <w:rFonts w:hint="eastAsia" w:ascii="宋体" w:hAnsi="宋体" w:cs="宋体"/>
                <w:kern w:val="0"/>
                <w:szCs w:val="21"/>
                <w:lang w:val="en-US" w:eastAsia="zh-CN"/>
              </w:rPr>
              <w:t>园区内企业纳税金额</w:t>
            </w:r>
            <w:r>
              <w:rPr>
                <w:rFonts w:hint="eastAsia" w:ascii="宋体" w:hAnsi="宋体" w:cs="宋体"/>
                <w:kern w:val="0"/>
                <w:szCs w:val="21"/>
              </w:rPr>
              <w:t>×100%</w:t>
            </w:r>
            <w:r>
              <w:rPr>
                <w:rFonts w:hint="eastAsia" w:ascii="宋体" w:hAnsi="宋体" w:cs="宋体"/>
                <w:kern w:val="0"/>
                <w:szCs w:val="21"/>
                <w:lang w:eastAsia="zh-CN"/>
              </w:rPr>
              <w:t>。</w:t>
            </w:r>
          </w:p>
          <w:p>
            <w:pPr>
              <w:widowControl/>
              <w:jc w:val="both"/>
              <w:rPr>
                <w:rFonts w:hint="eastAsia" w:ascii="宋体" w:hAnsi="宋体" w:eastAsia="宋体" w:cs="宋体"/>
                <w:kern w:val="0"/>
                <w:szCs w:val="21"/>
              </w:rPr>
            </w:pPr>
            <w:r>
              <w:rPr>
                <w:rFonts w:hint="eastAsia" w:ascii="宋体" w:hAnsi="宋体" w:cs="宋体"/>
                <w:kern w:val="0"/>
                <w:szCs w:val="21"/>
                <w:lang w:val="en-US" w:eastAsia="zh-CN"/>
              </w:rPr>
              <w:t>华创园、北峰数控园和泉州网商（虚拟）产业园分别计算评分，每个园区满分2分。园区内企业纳税金额年增长率</w:t>
            </w:r>
            <w:r>
              <w:rPr>
                <w:rFonts w:hint="eastAsia" w:ascii="宋体" w:hAnsi="宋体" w:eastAsia="宋体" w:cs="宋体"/>
                <w:kern w:val="0"/>
                <w:szCs w:val="21"/>
                <w:lang w:val="en-US" w:eastAsia="zh-CN"/>
              </w:rPr>
              <w:t>≥</w:t>
            </w:r>
            <w:r>
              <w:rPr>
                <w:rFonts w:hint="eastAsia" w:ascii="宋体" w:hAnsi="宋体" w:cs="宋体"/>
                <w:szCs w:val="21"/>
              </w:rPr>
              <w:t>10%</w:t>
            </w:r>
            <w:r>
              <w:rPr>
                <w:rFonts w:hint="eastAsia" w:ascii="宋体" w:hAnsi="宋体" w:cs="宋体"/>
                <w:szCs w:val="21"/>
                <w:lang w:eastAsia="zh-CN"/>
              </w:rPr>
              <w:t>，</w:t>
            </w:r>
            <w:r>
              <w:rPr>
                <w:rFonts w:hint="eastAsia" w:ascii="宋体" w:hAnsi="宋体" w:cs="宋体"/>
                <w:szCs w:val="21"/>
              </w:rPr>
              <w:t>得2分</w:t>
            </w:r>
            <w:r>
              <w:rPr>
                <w:rFonts w:hint="eastAsia" w:ascii="宋体" w:hAnsi="宋体" w:cs="宋体"/>
                <w:szCs w:val="21"/>
                <w:lang w:eastAsia="zh-CN"/>
              </w:rPr>
              <w:t>；</w:t>
            </w:r>
            <w:r>
              <w:rPr>
                <w:rFonts w:hint="eastAsia" w:ascii="宋体" w:hAnsi="宋体" w:cs="宋体"/>
                <w:szCs w:val="21"/>
              </w:rPr>
              <w:t>0</w:t>
            </w:r>
            <w:r>
              <w:rPr>
                <w:rFonts w:hint="eastAsia" w:ascii="宋体" w:hAnsi="宋体" w:cs="宋体"/>
                <w:kern w:val="0"/>
                <w:szCs w:val="21"/>
              </w:rPr>
              <w:t>≤</w:t>
            </w:r>
            <w:r>
              <w:rPr>
                <w:rFonts w:hint="eastAsia" w:ascii="宋体" w:hAnsi="宋体" w:cs="宋体"/>
                <w:kern w:val="0"/>
                <w:szCs w:val="21"/>
                <w:lang w:val="en-US" w:eastAsia="zh-CN"/>
              </w:rPr>
              <w:t>年</w:t>
            </w:r>
            <w:r>
              <w:rPr>
                <w:rFonts w:hint="eastAsia" w:ascii="宋体" w:hAnsi="宋体" w:cs="宋体"/>
                <w:kern w:val="0"/>
                <w:szCs w:val="21"/>
              </w:rPr>
              <w:t>增长率&lt;10%，得1分，</w:t>
            </w:r>
            <w:r>
              <w:rPr>
                <w:rFonts w:hint="eastAsia" w:ascii="宋体" w:hAnsi="宋体" w:cs="宋体"/>
                <w:kern w:val="0"/>
                <w:szCs w:val="21"/>
                <w:lang w:val="en-US" w:eastAsia="zh-CN"/>
              </w:rPr>
              <w:t>年</w:t>
            </w:r>
            <w:r>
              <w:rPr>
                <w:rFonts w:hint="eastAsia" w:ascii="宋体" w:hAnsi="宋体" w:cs="宋体"/>
                <w:kern w:val="0"/>
                <w:szCs w:val="21"/>
              </w:rPr>
              <w:t>增长率&lt;0</w:t>
            </w:r>
            <w:r>
              <w:rPr>
                <w:rFonts w:hint="eastAsia" w:ascii="宋体" w:hAnsi="宋体" w:cs="宋体"/>
                <w:kern w:val="0"/>
                <w:szCs w:val="21"/>
                <w:lang w:eastAsia="zh-CN"/>
              </w:rPr>
              <w:t>，</w:t>
            </w:r>
            <w:r>
              <w:rPr>
                <w:rFonts w:hint="eastAsia" w:ascii="宋体" w:hAnsi="宋体" w:cs="宋体"/>
                <w:szCs w:val="21"/>
              </w:rPr>
              <w:t>得</w:t>
            </w:r>
            <w:r>
              <w:rPr>
                <w:rFonts w:hint="eastAsia" w:ascii="宋体" w:hAnsi="宋体" w:cs="宋体"/>
                <w:szCs w:val="21"/>
                <w:lang w:val="en-US" w:eastAsia="zh-CN"/>
              </w:rPr>
              <w:t>0</w:t>
            </w:r>
            <w:r>
              <w:rPr>
                <w:rFonts w:hint="eastAsia" w:ascii="宋体" w:hAnsi="宋体" w:cs="宋体"/>
                <w:szCs w:val="21"/>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33" w:type="dxa"/>
            <w:vMerge w:val="continue"/>
            <w:tcBorders>
              <w:left w:val="single" w:color="auto" w:sz="4" w:space="0"/>
            </w:tcBorders>
            <w:noWrap/>
            <w:vAlign w:val="center"/>
          </w:tcPr>
          <w:p>
            <w:pPr>
              <w:widowControl/>
            </w:pPr>
          </w:p>
        </w:tc>
        <w:tc>
          <w:tcPr>
            <w:tcW w:w="1075" w:type="dxa"/>
            <w:vMerge w:val="continue"/>
            <w:noWrap/>
            <w:vAlign w:val="center"/>
          </w:tcPr>
          <w:p>
            <w:pPr>
              <w:widowControl/>
            </w:pPr>
          </w:p>
        </w:tc>
        <w:tc>
          <w:tcPr>
            <w:tcW w:w="2163"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规上工业</w:t>
            </w:r>
            <w:r>
              <w:rPr>
                <w:rFonts w:hint="eastAsia" w:ascii="宋体" w:hAnsi="宋体" w:eastAsia="宋体" w:cs="宋体"/>
                <w:kern w:val="0"/>
                <w:szCs w:val="21"/>
              </w:rPr>
              <w:t>R&amp;D</w:t>
            </w:r>
            <w:r>
              <w:rPr>
                <w:rFonts w:hint="eastAsia" w:ascii="宋体" w:hAnsi="宋体" w:cs="宋体"/>
                <w:kern w:val="0"/>
                <w:szCs w:val="21"/>
                <w:lang w:val="en-US" w:eastAsia="zh-CN"/>
              </w:rPr>
              <w:t>经费投入</w:t>
            </w:r>
            <w:r>
              <w:rPr>
                <w:rFonts w:hint="eastAsia" w:ascii="宋体" w:hAnsi="宋体" w:eastAsia="宋体" w:cs="宋体"/>
                <w:kern w:val="0"/>
                <w:szCs w:val="21"/>
              </w:rPr>
              <w:t>占</w:t>
            </w:r>
            <w:r>
              <w:rPr>
                <w:rFonts w:hint="eastAsia" w:ascii="宋体" w:hAnsi="宋体" w:cs="宋体"/>
                <w:kern w:val="0"/>
                <w:szCs w:val="21"/>
                <w:lang w:val="en-US" w:eastAsia="zh-CN"/>
              </w:rPr>
              <w:t>规上工业增加值</w:t>
            </w:r>
            <w:r>
              <w:rPr>
                <w:rFonts w:hint="eastAsia" w:ascii="宋体" w:hAnsi="宋体" w:eastAsia="宋体" w:cs="宋体"/>
                <w:kern w:val="0"/>
                <w:szCs w:val="21"/>
              </w:rPr>
              <w:t>比</w:t>
            </w:r>
            <w:r>
              <w:rPr>
                <w:rFonts w:hint="eastAsia" w:ascii="宋体" w:hAnsi="宋体" w:cs="宋体"/>
                <w:kern w:val="0"/>
                <w:szCs w:val="21"/>
                <w:lang w:val="en-US" w:eastAsia="zh-CN"/>
              </w:rPr>
              <w:t>重</w:t>
            </w:r>
          </w:p>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 w:val="21"/>
                <w:szCs w:val="21"/>
                <w:lang w:val="en-US" w:eastAsia="zh-CN" w:bidi="ar-SA"/>
              </w:rPr>
            </w:pPr>
            <w:r>
              <w:rPr>
                <w:rFonts w:hint="eastAsia" w:ascii="宋体" w:hAnsi="宋体" w:eastAsia="宋体" w:cs="宋体"/>
                <w:kern w:val="0"/>
                <w:szCs w:val="21"/>
              </w:rPr>
              <w:t>以前一年份</w:t>
            </w:r>
            <w:r>
              <w:rPr>
                <w:rFonts w:hint="eastAsia" w:ascii="宋体" w:hAnsi="宋体" w:cs="宋体"/>
                <w:kern w:val="0"/>
                <w:szCs w:val="21"/>
                <w:lang w:val="en-US" w:eastAsia="zh-CN"/>
              </w:rPr>
              <w:t>规上工业</w:t>
            </w:r>
            <w:r>
              <w:rPr>
                <w:rFonts w:hint="eastAsia" w:ascii="宋体" w:hAnsi="宋体" w:eastAsia="宋体" w:cs="宋体"/>
                <w:kern w:val="0"/>
                <w:szCs w:val="21"/>
              </w:rPr>
              <w:t>R&amp;D</w:t>
            </w:r>
            <w:r>
              <w:rPr>
                <w:rFonts w:hint="eastAsia" w:ascii="宋体" w:hAnsi="宋体" w:cs="宋体"/>
                <w:kern w:val="0"/>
                <w:szCs w:val="21"/>
                <w:lang w:val="en-US" w:eastAsia="zh-CN"/>
              </w:rPr>
              <w:t>经费投入</w:t>
            </w:r>
            <w:r>
              <w:rPr>
                <w:rFonts w:hint="eastAsia" w:ascii="宋体" w:hAnsi="宋体" w:eastAsia="宋体" w:cs="宋体"/>
                <w:kern w:val="0"/>
                <w:szCs w:val="21"/>
              </w:rPr>
              <w:t>占</w:t>
            </w:r>
            <w:r>
              <w:rPr>
                <w:rFonts w:hint="eastAsia" w:ascii="宋体" w:hAnsi="宋体" w:cs="宋体"/>
                <w:kern w:val="0"/>
                <w:szCs w:val="21"/>
                <w:lang w:val="en-US" w:eastAsia="zh-CN"/>
              </w:rPr>
              <w:t>规上工业增加值</w:t>
            </w:r>
            <w:r>
              <w:rPr>
                <w:rFonts w:hint="eastAsia" w:ascii="宋体" w:hAnsi="宋体" w:eastAsia="宋体" w:cs="宋体"/>
                <w:kern w:val="0"/>
                <w:szCs w:val="21"/>
              </w:rPr>
              <w:t>比</w:t>
            </w:r>
            <w:r>
              <w:rPr>
                <w:rFonts w:hint="eastAsia" w:ascii="宋体" w:hAnsi="宋体" w:cs="宋体"/>
                <w:kern w:val="0"/>
                <w:szCs w:val="21"/>
                <w:lang w:val="en-US" w:eastAsia="zh-CN"/>
              </w:rPr>
              <w:t>重为标准，持平或超过得4分，每降低1个百分点扣1分，扣完为止。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33" w:type="dxa"/>
            <w:vMerge w:val="continue"/>
            <w:tcBorders>
              <w:left w:val="single" w:color="auto" w:sz="4" w:space="0"/>
            </w:tcBorders>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2163" w:type="dxa"/>
            <w:tcBorders>
              <w:top w:val="single" w:color="auto" w:sz="4" w:space="0"/>
              <w:bottom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技术改造投资增速</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w:t>
            </w:r>
            <w:r>
              <w:rPr>
                <w:rFonts w:hint="eastAsia" w:ascii="宋体" w:hAnsi="宋体" w:cs="宋体"/>
                <w:kern w:val="0"/>
                <w:szCs w:val="21"/>
                <w:lang w:val="en-US" w:eastAsia="zh-CN"/>
              </w:rPr>
              <w:t>当年泉州市技改投资增速为标准，持平或超过得3分，每降低1个百分点扣1分，扣完为止。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33" w:type="dxa"/>
            <w:vMerge w:val="continue"/>
            <w:tcBorders>
              <w:left w:val="single" w:color="auto" w:sz="4" w:space="0"/>
            </w:tcBorders>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2163" w:type="dxa"/>
            <w:tcBorders>
              <w:top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技术合同</w:t>
            </w:r>
            <w:r>
              <w:rPr>
                <w:rFonts w:hint="eastAsia" w:ascii="宋体" w:hAnsi="宋体" w:cs="宋体"/>
                <w:kern w:val="0"/>
                <w:szCs w:val="21"/>
                <w:lang w:val="en-US" w:eastAsia="zh-CN"/>
              </w:rPr>
              <w:t>成交金</w:t>
            </w:r>
            <w:r>
              <w:rPr>
                <w:rFonts w:hint="eastAsia" w:ascii="宋体" w:hAnsi="宋体" w:eastAsia="宋体" w:cs="宋体"/>
                <w:kern w:val="0"/>
                <w:szCs w:val="21"/>
              </w:rPr>
              <w:t>额</w:t>
            </w:r>
          </w:p>
          <w:p>
            <w:pPr>
              <w:widowControl/>
              <w:jc w:val="center"/>
              <w:rPr>
                <w:rFonts w:hint="eastAsia" w:ascii="宋体" w:hAnsi="宋体" w:cs="宋体"/>
                <w:kern w:val="0"/>
                <w:szCs w:val="21"/>
                <w:lang w:val="en-US" w:eastAsia="zh-CN"/>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以前一年份技术合同</w:t>
            </w:r>
            <w:r>
              <w:rPr>
                <w:rFonts w:hint="eastAsia" w:ascii="宋体" w:hAnsi="宋体" w:eastAsia="宋体" w:cs="宋体"/>
                <w:kern w:val="0"/>
                <w:szCs w:val="21"/>
                <w:lang w:val="en-US" w:eastAsia="zh-CN"/>
              </w:rPr>
              <w:t>成交金</w:t>
            </w:r>
            <w:r>
              <w:rPr>
                <w:rFonts w:hint="eastAsia" w:ascii="宋体" w:hAnsi="宋体" w:eastAsia="宋体" w:cs="宋体"/>
                <w:kern w:val="0"/>
                <w:szCs w:val="21"/>
              </w:rPr>
              <w:t>额</w:t>
            </w:r>
            <w:r>
              <w:rPr>
                <w:rFonts w:hint="eastAsia" w:ascii="宋体" w:hAnsi="宋体" w:cs="宋体"/>
                <w:kern w:val="0"/>
                <w:szCs w:val="21"/>
                <w:lang w:val="en-US" w:eastAsia="zh-CN"/>
              </w:rPr>
              <w:t>为标准，持平或减少得0分，每增加3%得1分，最高3分。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033" w:type="dxa"/>
            <w:vMerge w:val="continue"/>
            <w:tcBorders>
              <w:left w:val="single" w:color="auto" w:sz="4" w:space="0"/>
            </w:tcBorders>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2163" w:type="dxa"/>
            <w:tcBorders>
              <w:top w:val="single" w:color="auto" w:sz="4" w:space="0"/>
              <w:bottom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上级政府科技进步</w:t>
            </w:r>
          </w:p>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奖励</w:t>
            </w:r>
          </w:p>
          <w:p>
            <w:pPr>
              <w:widowControl/>
              <w:jc w:val="center"/>
              <w:rPr>
                <w:rFonts w:hint="eastAsia" w:ascii="宋体" w:hAnsi="宋体" w:eastAsia="宋体" w:cs="宋体"/>
                <w:kern w:val="0"/>
                <w:szCs w:val="21"/>
              </w:rPr>
            </w:pPr>
            <w:r>
              <w:rPr>
                <w:rFonts w:hint="eastAsia" w:ascii="宋体" w:hAnsi="宋体" w:cs="宋体"/>
                <w:kern w:val="0"/>
                <w:szCs w:val="21"/>
                <w:lang w:val="en-US" w:eastAsia="zh-CN"/>
              </w:rPr>
              <w:t>（2分）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cs="宋体"/>
                <w:kern w:val="0"/>
                <w:szCs w:val="21"/>
                <w:lang w:val="en-US" w:eastAsia="zh-CN"/>
              </w:rPr>
              <w:t>每获得一项上级政府科技进步奖励，得1分，最高2分。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33" w:type="dxa"/>
            <w:vMerge w:val="continue"/>
            <w:tcBorders>
              <w:left w:val="single" w:color="auto" w:sz="4" w:space="0"/>
            </w:tcBorders>
            <w:noWrap/>
            <w:vAlign w:val="center"/>
          </w:tcPr>
          <w:p>
            <w:pPr>
              <w:widowControl/>
              <w:jc w:val="center"/>
              <w:rPr>
                <w:rFonts w:hint="eastAsia" w:ascii="宋体" w:hAnsi="宋体" w:eastAsia="宋体" w:cs="宋体"/>
                <w:b/>
                <w:bCs/>
                <w:kern w:val="0"/>
                <w:szCs w:val="21"/>
              </w:rPr>
            </w:pPr>
          </w:p>
        </w:tc>
        <w:tc>
          <w:tcPr>
            <w:tcW w:w="1075" w:type="dxa"/>
            <w:vMerge w:val="continue"/>
            <w:noWrap/>
            <w:vAlign w:val="center"/>
          </w:tcPr>
          <w:p>
            <w:pPr>
              <w:widowControl/>
              <w:jc w:val="center"/>
              <w:rPr>
                <w:rFonts w:hint="eastAsia" w:ascii="宋体" w:hAnsi="宋体" w:eastAsia="宋体" w:cs="宋体"/>
                <w:kern w:val="0"/>
                <w:szCs w:val="21"/>
              </w:rPr>
            </w:pPr>
          </w:p>
        </w:tc>
        <w:tc>
          <w:tcPr>
            <w:tcW w:w="2163" w:type="dxa"/>
            <w:tcBorders>
              <w:top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高层次</w:t>
            </w:r>
            <w:r>
              <w:rPr>
                <w:rFonts w:hint="eastAsia" w:ascii="宋体" w:hAnsi="宋体" w:eastAsia="宋体" w:cs="宋体"/>
                <w:kern w:val="0"/>
                <w:szCs w:val="21"/>
              </w:rPr>
              <w:t>人才集聚</w:t>
            </w:r>
          </w:p>
          <w:p>
            <w:pPr>
              <w:widowControl/>
              <w:jc w:val="center"/>
              <w:rPr>
                <w:rFonts w:hint="default" w:ascii="宋体" w:hAnsi="宋体" w:eastAsia="宋体" w:cs="宋体"/>
                <w:kern w:val="0"/>
                <w:szCs w:val="21"/>
                <w:lang w:val="en-US" w:eastAsia="zh-CN"/>
              </w:rPr>
            </w:pPr>
            <w:r>
              <w:rPr>
                <w:rFonts w:hint="eastAsia" w:ascii="宋体" w:hAnsi="宋体" w:cs="宋体"/>
                <w:kern w:val="0"/>
                <w:szCs w:val="21"/>
                <w:lang w:eastAsia="zh-CN"/>
              </w:rPr>
              <w:t>（</w:t>
            </w:r>
            <w:r>
              <w:rPr>
                <w:rFonts w:hint="eastAsia" w:ascii="宋体" w:hAnsi="宋体" w:cs="宋体"/>
                <w:kern w:val="0"/>
                <w:szCs w:val="21"/>
                <w:lang w:val="en-US" w:eastAsia="zh-CN"/>
              </w:rPr>
              <w:t>3分）</w:t>
            </w:r>
          </w:p>
        </w:tc>
        <w:tc>
          <w:tcPr>
            <w:tcW w:w="5446"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cs="宋体"/>
                <w:kern w:val="0"/>
                <w:szCs w:val="21"/>
                <w:lang w:val="en-US" w:eastAsia="zh-CN"/>
              </w:rPr>
              <w:t>高层次人才数为标准，每增加20%得1分，最高3分。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33" w:type="dxa"/>
            <w:vMerge w:val="continue"/>
            <w:tcBorders>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p>
        </w:tc>
        <w:tc>
          <w:tcPr>
            <w:tcW w:w="1075"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满意度</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5</w:t>
            </w:r>
            <w:r>
              <w:rPr>
                <w:rFonts w:hint="eastAsia" w:ascii="宋体" w:hAnsi="宋体" w:eastAsia="宋体" w:cs="宋体"/>
                <w:kern w:val="0"/>
                <w:szCs w:val="21"/>
              </w:rPr>
              <w:t>分）</w:t>
            </w:r>
          </w:p>
        </w:tc>
        <w:tc>
          <w:tcPr>
            <w:tcW w:w="2163"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服务对象</w:t>
            </w:r>
            <w:r>
              <w:rPr>
                <w:rFonts w:hint="eastAsia" w:ascii="宋体" w:hAnsi="宋体" w:eastAsia="宋体" w:cs="宋体"/>
                <w:kern w:val="0"/>
                <w:szCs w:val="21"/>
              </w:rPr>
              <w:t>满意度</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5</w:t>
            </w:r>
            <w:r>
              <w:rPr>
                <w:rFonts w:hint="eastAsia" w:ascii="宋体" w:hAnsi="宋体" w:eastAsia="宋体" w:cs="宋体"/>
                <w:kern w:val="0"/>
                <w:szCs w:val="21"/>
              </w:rPr>
              <w:t>分）</w:t>
            </w:r>
          </w:p>
        </w:tc>
        <w:tc>
          <w:tcPr>
            <w:tcW w:w="5446" w:type="dxa"/>
            <w:tcBorders>
              <w:top w:val="single" w:color="auto" w:sz="4" w:space="0"/>
              <w:bottom w:val="single" w:color="auto" w:sz="4" w:space="0"/>
              <w:right w:val="single" w:color="auto" w:sz="4" w:space="0"/>
            </w:tcBorders>
            <w:noWrap/>
            <w:vAlign w:val="center"/>
          </w:tcPr>
          <w:p>
            <w:pPr>
              <w:widowControl/>
              <w:ind w:left="-50" w:right="-50"/>
              <w:jc w:val="both"/>
              <w:rPr>
                <w:rFonts w:hint="eastAsia" w:ascii="宋体" w:hAnsi="宋体" w:eastAsia="宋体" w:cs="宋体"/>
                <w:kern w:val="0"/>
                <w:szCs w:val="21"/>
              </w:rPr>
            </w:pPr>
            <w:r>
              <w:rPr>
                <w:rFonts w:hint="eastAsia" w:ascii="宋体" w:hAnsi="宋体" w:eastAsia="宋体" w:cs="宋体"/>
                <w:kern w:val="0"/>
                <w:szCs w:val="21"/>
              </w:rPr>
              <w:t>有效调查问卷样本量中，</w:t>
            </w:r>
            <w:r>
              <w:rPr>
                <w:rFonts w:hint="eastAsia" w:ascii="宋体" w:hAnsi="宋体" w:cs="宋体"/>
                <w:kern w:val="0"/>
                <w:szCs w:val="21"/>
                <w:lang w:val="en-US" w:eastAsia="zh-CN"/>
              </w:rPr>
              <w:t>服务对象</w:t>
            </w:r>
            <w:r>
              <w:rPr>
                <w:rFonts w:hint="eastAsia" w:ascii="宋体" w:hAnsi="宋体" w:eastAsia="宋体" w:cs="宋体"/>
                <w:kern w:val="0"/>
                <w:szCs w:val="21"/>
              </w:rPr>
              <w:t>满意度≥95%，得满分；每</w:t>
            </w:r>
            <w:r>
              <w:rPr>
                <w:rFonts w:hint="eastAsia" w:ascii="宋体" w:hAnsi="宋体" w:cs="宋体"/>
                <w:kern w:val="0"/>
                <w:szCs w:val="21"/>
                <w:lang w:val="en-US" w:eastAsia="zh-CN"/>
              </w:rPr>
              <w:t>降低</w:t>
            </w:r>
            <w:r>
              <w:rPr>
                <w:rFonts w:hint="eastAsia" w:ascii="宋体" w:hAnsi="宋体" w:eastAsia="宋体" w:cs="宋体"/>
                <w:kern w:val="0"/>
                <w:szCs w:val="21"/>
              </w:rPr>
              <w:t>5%扣1分，扣完为止。</w:t>
            </w:r>
          </w:p>
        </w:tc>
      </w:tr>
    </w:tbl>
    <w:p>
      <w:pPr>
        <w:bidi w:val="0"/>
        <w:spacing w:line="360" w:lineRule="auto"/>
        <w:rPr>
          <w:rFonts w:hint="eastAsia"/>
          <w:sz w:val="24"/>
          <w:szCs w:val="24"/>
        </w:rPr>
      </w:pPr>
      <w:bookmarkStart w:id="36" w:name="_Toc20847"/>
      <w:bookmarkStart w:id="37" w:name="_Toc16092"/>
      <w:bookmarkStart w:id="38" w:name="_Toc6372"/>
      <w:bookmarkStart w:id="39" w:name="_Toc25267"/>
      <w:bookmarkStart w:id="40" w:name="_Toc2351"/>
      <w:bookmarkStart w:id="41" w:name="_Toc7619"/>
      <w:bookmarkStart w:id="42" w:name="_Toc500226190"/>
    </w:p>
    <w:p>
      <w:pPr>
        <w:pStyle w:val="3"/>
        <w:spacing w:before="0" w:after="0" w:line="360" w:lineRule="auto"/>
        <w:ind w:firstLine="560" w:firstLineChars="200"/>
        <w:rPr>
          <w:rFonts w:hint="eastAsia" w:ascii="宋体" w:hAnsi="宋体" w:eastAsia="方正小标宋_GBK"/>
          <w:b w:val="0"/>
          <w:kern w:val="0"/>
          <w:sz w:val="28"/>
          <w:szCs w:val="28"/>
          <w:lang w:eastAsia="zh-CN"/>
        </w:rPr>
      </w:pPr>
      <w:bookmarkStart w:id="43" w:name="_Toc7106"/>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六）</w:t>
      </w:r>
      <w:r>
        <w:rPr>
          <w:rFonts w:hint="eastAsia" w:ascii="方正小标宋_GBK" w:hAnsi="仿宋" w:eastAsia="方正小标宋_GBK" w:cs="黑体"/>
          <w:sz w:val="28"/>
          <w:szCs w:val="28"/>
        </w:rPr>
        <w:t>绩效评价工作</w:t>
      </w:r>
      <w:r>
        <w:rPr>
          <w:rFonts w:hint="eastAsia" w:ascii="方正小标宋_GBK" w:hAnsi="仿宋" w:eastAsia="方正小标宋_GBK" w:cs="黑体"/>
          <w:sz w:val="28"/>
          <w:szCs w:val="28"/>
          <w:lang w:val="en-US" w:eastAsia="zh-CN"/>
        </w:rPr>
        <w:t>过程</w:t>
      </w:r>
      <w:bookmarkEnd w:id="43"/>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1.按计划与要求对</w:t>
      </w:r>
      <w:r>
        <w:rPr>
          <w:rFonts w:hint="eastAsia" w:ascii="宋体" w:hAnsi="宋体" w:cs="宋体"/>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rPr>
        <w:t>绩效评价工作进行调研方案设计；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2.绩效评价工作组成员到泉州市丰泽区财政局、</w:t>
      </w:r>
      <w:r>
        <w:rPr>
          <w:rFonts w:hint="eastAsia" w:ascii="宋体" w:hAnsi="宋体" w:cs="宋体"/>
          <w:sz w:val="24"/>
          <w:szCs w:val="24"/>
          <w:lang w:val="en-US" w:eastAsia="zh-CN"/>
        </w:rPr>
        <w:t>项目主管部门、产业园区</w:t>
      </w:r>
      <w:r>
        <w:rPr>
          <w:rFonts w:hint="eastAsia" w:ascii="宋体" w:hAnsi="宋体" w:eastAsia="宋体" w:cs="宋体"/>
          <w:sz w:val="24"/>
          <w:szCs w:val="24"/>
        </w:rPr>
        <w:t>等地进行实地调研和座谈，查阅项目有关档案，收集数据、资料等，依据评价工作规范，制订评价工作方案；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3.拟定</w:t>
      </w:r>
      <w:r>
        <w:rPr>
          <w:rFonts w:hint="eastAsia" w:ascii="宋体" w:hAnsi="宋体" w:cs="宋体"/>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rPr>
        <w:t>绩效评价指标体系，与丰泽区财政局、工业信息化和科技局等相关部门商讨指标体系，根据反馈意见，修订绩效评价指标体系；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4.根据修订后的指标体系以及绩效评价过程中出现的问题，绩效评价工作组与丰泽区财政局、工业信息化和科技局等部门负责人进行讨论，进一步搜集绩效评价所需的数据和资料；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5.归纳、分析、综合数据与资料，对泉州市丰泽区201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rPr>
        <w:t>的绩效进行分析，完成泉州市丰泽区201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rPr>
        <w:t>绩效评价报告初稿；</w:t>
      </w:r>
    </w:p>
    <w:p>
      <w:pPr>
        <w:spacing w:line="360" w:lineRule="auto"/>
        <w:ind w:firstLine="480" w:firstLineChars="200"/>
        <w:rPr>
          <w:rFonts w:hint="eastAsia" w:ascii="方正小标宋_GBK" w:hAnsi="仿宋" w:eastAsia="方正小标宋_GBK" w:cs="黑体"/>
          <w:sz w:val="30"/>
          <w:szCs w:val="30"/>
          <w:lang w:val="en-US" w:eastAsia="zh-CN"/>
        </w:rPr>
      </w:pPr>
      <w:r>
        <w:rPr>
          <w:rFonts w:hint="eastAsia" w:ascii="宋体" w:hAnsi="宋体" w:eastAsia="宋体" w:cs="宋体"/>
          <w:sz w:val="24"/>
          <w:szCs w:val="24"/>
        </w:rPr>
        <w:t>6.征询丰泽区财政局、工业信息化和科技局等相关部门的反馈意见，并请专家联合会审对初稿进行修改，完成《泉州市丰泽区201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rPr>
        <w:t>绩效评价报告》。</w:t>
      </w:r>
    </w:p>
    <w:p>
      <w:pPr>
        <w:pStyle w:val="2"/>
        <w:keepNext/>
        <w:keepLines/>
        <w:pageBreakBefore w:val="0"/>
        <w:widowControl w:val="0"/>
        <w:kinsoku/>
        <w:wordWrap/>
        <w:overflowPunct/>
        <w:topLinePunct w:val="0"/>
        <w:autoSpaceDE/>
        <w:autoSpaceDN/>
        <w:bidi w:val="0"/>
        <w:adjustRightInd/>
        <w:snapToGrid/>
        <w:spacing w:beforeLines="100" w:afterLines="100" w:line="360" w:lineRule="auto"/>
        <w:jc w:val="center"/>
        <w:textAlignment w:val="auto"/>
        <w:rPr>
          <w:rFonts w:hint="default" w:ascii="方正小标宋_GBK" w:hAnsi="仿宋" w:eastAsia="方正小标宋_GBK" w:cs="黑体"/>
          <w:sz w:val="30"/>
          <w:szCs w:val="30"/>
          <w:lang w:val="en-US"/>
        </w:rPr>
      </w:pPr>
      <w:bookmarkStart w:id="44" w:name="_Toc22959"/>
      <w:r>
        <w:rPr>
          <w:rFonts w:hint="eastAsia" w:ascii="方正小标宋_GBK" w:hAnsi="仿宋" w:eastAsia="方正小标宋_GBK" w:cs="黑体"/>
          <w:sz w:val="30"/>
          <w:szCs w:val="30"/>
          <w:lang w:val="en-US" w:eastAsia="zh-CN"/>
        </w:rPr>
        <w:t>三</w:t>
      </w:r>
      <w:r>
        <w:rPr>
          <w:rFonts w:hint="eastAsia" w:ascii="方正小标宋_GBK" w:hAnsi="仿宋" w:eastAsia="方正小标宋_GBK" w:cs="黑体"/>
          <w:sz w:val="30"/>
          <w:szCs w:val="30"/>
        </w:rPr>
        <w:t>、</w:t>
      </w:r>
      <w:r>
        <w:rPr>
          <w:rFonts w:hint="eastAsia" w:ascii="方正小标宋_GBK" w:hAnsi="仿宋" w:eastAsia="方正小标宋_GBK" w:cs="黑体"/>
          <w:sz w:val="30"/>
          <w:szCs w:val="30"/>
          <w:lang w:val="en-US" w:eastAsia="zh-CN"/>
        </w:rPr>
        <w:t>综合评价情况及评价结论</w:t>
      </w:r>
      <w:bookmarkEnd w:id="44"/>
    </w:p>
    <w:p>
      <w:pPr>
        <w:widowControl/>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为</w:t>
      </w:r>
      <w:r>
        <w:rPr>
          <w:rFonts w:hint="eastAsia" w:ascii="宋体" w:hAnsi="宋体" w:eastAsia="宋体" w:cs="宋体"/>
          <w:sz w:val="24"/>
          <w:szCs w:val="24"/>
        </w:rPr>
        <w:t>了全面、客观、有效地进行绩效</w:t>
      </w:r>
      <w:r>
        <w:rPr>
          <w:rFonts w:hint="eastAsia" w:ascii="宋体" w:hAnsi="宋体" w:cs="宋体"/>
          <w:sz w:val="24"/>
          <w:szCs w:val="24"/>
          <w:lang w:val="en-US" w:eastAsia="zh-CN"/>
        </w:rPr>
        <w:t>分析</w:t>
      </w:r>
      <w:r>
        <w:rPr>
          <w:rFonts w:hint="eastAsia" w:ascii="宋体" w:hAnsi="宋体" w:eastAsia="宋体" w:cs="宋体"/>
          <w:sz w:val="24"/>
          <w:szCs w:val="24"/>
        </w:rPr>
        <w:t>，</w:t>
      </w:r>
      <w:r>
        <w:rPr>
          <w:rFonts w:hint="eastAsia" w:ascii="宋体" w:hAnsi="宋体" w:cs="宋体"/>
          <w:sz w:val="24"/>
          <w:szCs w:val="24"/>
          <w:lang w:val="en-US" w:eastAsia="zh-CN"/>
        </w:rPr>
        <w:t>绩效</w:t>
      </w:r>
      <w:r>
        <w:rPr>
          <w:rFonts w:hint="eastAsia" w:ascii="宋体" w:hAnsi="宋体" w:eastAsia="宋体" w:cs="宋体"/>
          <w:sz w:val="24"/>
          <w:szCs w:val="24"/>
        </w:rPr>
        <w:t>评价工作组审阅了泉州市</w:t>
      </w:r>
      <w:r>
        <w:rPr>
          <w:rFonts w:hint="eastAsia" w:ascii="宋体" w:hAnsi="宋体" w:cs="宋体"/>
          <w:sz w:val="24"/>
          <w:szCs w:val="24"/>
          <w:lang w:val="en-US" w:eastAsia="zh-CN"/>
        </w:rPr>
        <w:t>丰泽区</w:t>
      </w:r>
      <w:r>
        <w:rPr>
          <w:rFonts w:hint="eastAsia" w:ascii="宋体" w:hAnsi="宋体" w:eastAsia="宋体" w:cs="宋体"/>
          <w:sz w:val="24"/>
          <w:szCs w:val="24"/>
        </w:rPr>
        <w:t>财政局</w:t>
      </w:r>
      <w:r>
        <w:rPr>
          <w:rFonts w:hint="eastAsia" w:ascii="宋体" w:hAnsi="宋体" w:cs="宋体"/>
          <w:sz w:val="24"/>
          <w:szCs w:val="24"/>
          <w:lang w:eastAsia="zh-CN"/>
        </w:rPr>
        <w:t>、</w:t>
      </w:r>
      <w:r>
        <w:rPr>
          <w:rFonts w:hint="eastAsia" w:ascii="宋体" w:hAnsi="宋体" w:cs="宋体"/>
          <w:sz w:val="24"/>
          <w:szCs w:val="24"/>
          <w:lang w:val="en-US" w:eastAsia="zh-CN"/>
        </w:rPr>
        <w:t>工业信息化和科技局</w:t>
      </w:r>
      <w:r>
        <w:rPr>
          <w:rFonts w:hint="eastAsia" w:ascii="宋体" w:hAnsi="宋体" w:eastAsia="宋体" w:cs="宋体"/>
          <w:sz w:val="24"/>
          <w:szCs w:val="24"/>
        </w:rPr>
        <w:t>等部门提供的相关资料，与丰泽区财政局</w:t>
      </w:r>
      <w:r>
        <w:rPr>
          <w:rFonts w:hint="eastAsia" w:ascii="宋体" w:hAnsi="宋体" w:cs="宋体"/>
          <w:sz w:val="24"/>
          <w:szCs w:val="24"/>
          <w:lang w:eastAsia="zh-CN"/>
        </w:rPr>
        <w:t>、</w:t>
      </w:r>
      <w:r>
        <w:rPr>
          <w:rFonts w:hint="eastAsia" w:ascii="宋体" w:hAnsi="宋体" w:cs="宋体"/>
          <w:sz w:val="24"/>
          <w:szCs w:val="24"/>
          <w:lang w:val="en-US" w:eastAsia="zh-CN"/>
        </w:rPr>
        <w:t>工业信息化和科技局</w:t>
      </w:r>
      <w:r>
        <w:rPr>
          <w:rFonts w:hint="eastAsia" w:ascii="宋体" w:hAnsi="宋体" w:eastAsia="宋体" w:cs="宋体"/>
          <w:color w:val="000000"/>
          <w:sz w:val="24"/>
          <w:szCs w:val="24"/>
        </w:rPr>
        <w:t>相关人员</w:t>
      </w:r>
      <w:r>
        <w:rPr>
          <w:rFonts w:hint="eastAsia" w:ascii="宋体" w:hAnsi="宋体" w:eastAsia="宋体" w:cs="宋体"/>
          <w:sz w:val="24"/>
          <w:szCs w:val="24"/>
        </w:rPr>
        <w:t>进行</w:t>
      </w:r>
      <w:r>
        <w:rPr>
          <w:rFonts w:hint="eastAsia" w:ascii="宋体" w:hAnsi="宋体" w:cs="宋体"/>
          <w:sz w:val="24"/>
          <w:szCs w:val="24"/>
          <w:lang w:val="en-US" w:eastAsia="zh-CN"/>
        </w:rPr>
        <w:t>了</w:t>
      </w:r>
      <w:r>
        <w:rPr>
          <w:rFonts w:hint="eastAsia" w:ascii="宋体" w:hAnsi="宋体" w:eastAsia="宋体" w:cs="宋体"/>
          <w:sz w:val="24"/>
          <w:szCs w:val="24"/>
        </w:rPr>
        <w:t>座谈及征求意见，</w:t>
      </w:r>
      <w:r>
        <w:rPr>
          <w:rFonts w:hint="eastAsia" w:ascii="宋体" w:hAnsi="宋体" w:cs="宋体"/>
          <w:sz w:val="24"/>
          <w:szCs w:val="24"/>
          <w:lang w:val="en-US" w:eastAsia="zh-CN"/>
        </w:rPr>
        <w:t>实地</w:t>
      </w:r>
      <w:r>
        <w:rPr>
          <w:rFonts w:hint="eastAsia" w:ascii="宋体" w:hAnsi="宋体" w:eastAsia="宋体" w:cs="宋体"/>
          <w:sz w:val="24"/>
          <w:szCs w:val="24"/>
        </w:rPr>
        <w:t>调研</w:t>
      </w:r>
      <w:r>
        <w:rPr>
          <w:rFonts w:hint="eastAsia" w:ascii="宋体" w:hAnsi="宋体" w:cs="宋体"/>
          <w:sz w:val="24"/>
          <w:szCs w:val="24"/>
          <w:lang w:val="en-US" w:eastAsia="zh-CN"/>
        </w:rPr>
        <w:t>和现场核查</w:t>
      </w:r>
      <w:r>
        <w:rPr>
          <w:rFonts w:hint="eastAsia" w:ascii="宋体" w:hAnsi="宋体" w:eastAsia="宋体" w:cs="宋体"/>
          <w:sz w:val="24"/>
          <w:szCs w:val="24"/>
        </w:rPr>
        <w:t>相关企业，查阅项目档案，收集相关信息资料，采取定性和定量分析方法，对泉州市</w:t>
      </w:r>
      <w:r>
        <w:rPr>
          <w:rFonts w:hint="eastAsia" w:ascii="宋体" w:hAnsi="宋体" w:cs="宋体"/>
          <w:sz w:val="24"/>
          <w:szCs w:val="24"/>
          <w:lang w:val="en-US" w:eastAsia="zh-CN"/>
        </w:rPr>
        <w:t>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rPr>
        <w:t>的</w:t>
      </w:r>
      <w:r>
        <w:rPr>
          <w:rFonts w:hint="eastAsia" w:ascii="宋体" w:hAnsi="宋体" w:cs="宋体"/>
          <w:sz w:val="24"/>
          <w:szCs w:val="24"/>
          <w:lang w:val="en-US" w:eastAsia="zh-CN"/>
        </w:rPr>
        <w:t>决策、过程、产出和</w:t>
      </w:r>
      <w:r>
        <w:rPr>
          <w:rFonts w:hint="eastAsia" w:ascii="宋体" w:hAnsi="宋体" w:eastAsia="宋体" w:cs="宋体"/>
          <w:sz w:val="24"/>
          <w:szCs w:val="24"/>
        </w:rPr>
        <w:t>效益情况进行综合评价。</w:t>
      </w:r>
    </w:p>
    <w:p>
      <w:pPr>
        <w:widowControl/>
        <w:spacing w:line="360" w:lineRule="auto"/>
        <w:ind w:firstLine="480" w:firstLineChars="200"/>
        <w:rPr>
          <w:rFonts w:hint="eastAsia" w:ascii="方正小标宋_GBK" w:hAnsi="仿宋" w:eastAsia="方正小标宋_GBK" w:cs="黑体"/>
          <w:sz w:val="30"/>
          <w:szCs w:val="30"/>
          <w:lang w:val="en-US" w:eastAsia="zh-CN"/>
        </w:rPr>
      </w:pPr>
      <w:r>
        <w:rPr>
          <w:rFonts w:hint="eastAsia" w:ascii="宋体" w:hAnsi="宋体" w:cs="宋体"/>
          <w:sz w:val="24"/>
          <w:szCs w:val="24"/>
          <w:lang w:val="en-US" w:eastAsia="zh-CN"/>
        </w:rPr>
        <w:t>通过对</w:t>
      </w:r>
      <w:r>
        <w:rPr>
          <w:rFonts w:hint="eastAsia" w:ascii="宋体" w:hAnsi="宋体" w:eastAsia="宋体" w:cs="宋体"/>
          <w:sz w:val="24"/>
          <w:szCs w:val="24"/>
        </w:rPr>
        <w:t>泉州市</w:t>
      </w:r>
      <w:r>
        <w:rPr>
          <w:rFonts w:hint="eastAsia" w:ascii="宋体" w:hAnsi="宋体" w:cs="宋体"/>
          <w:sz w:val="24"/>
          <w:szCs w:val="24"/>
          <w:lang w:val="en-US" w:eastAsia="zh-CN"/>
        </w:rPr>
        <w:t>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度扶持企业科技基金及扶持企业发展专项基金4大类31个绩效评价指标的逐项分析，4大类指标得分情况如下：决策</w:t>
      </w:r>
      <w:r>
        <w:rPr>
          <w:rFonts w:hint="eastAsia" w:ascii="宋体" w:hAnsi="宋体" w:eastAsia="宋体" w:cs="宋体"/>
          <w:sz w:val="24"/>
          <w:szCs w:val="24"/>
        </w:rPr>
        <w:t>指标满分</w:t>
      </w:r>
      <w:r>
        <w:rPr>
          <w:rFonts w:hint="eastAsia" w:ascii="宋体" w:hAnsi="宋体" w:cs="宋体"/>
          <w:sz w:val="24"/>
          <w:szCs w:val="24"/>
          <w:lang w:val="en-US" w:eastAsia="zh-CN"/>
        </w:rPr>
        <w:t>15</w:t>
      </w:r>
      <w:r>
        <w:rPr>
          <w:rFonts w:hint="eastAsia" w:ascii="宋体" w:hAnsi="宋体" w:eastAsia="宋体" w:cs="宋体"/>
          <w:sz w:val="24"/>
          <w:szCs w:val="24"/>
        </w:rPr>
        <w:t>分，得</w:t>
      </w:r>
      <w:r>
        <w:rPr>
          <w:rFonts w:hint="eastAsia" w:ascii="宋体" w:hAnsi="宋体" w:cs="宋体"/>
          <w:sz w:val="24"/>
          <w:szCs w:val="24"/>
          <w:lang w:val="en-US" w:eastAsia="zh-CN"/>
        </w:rPr>
        <w:t>7</w:t>
      </w:r>
      <w:r>
        <w:rPr>
          <w:rFonts w:hint="eastAsia" w:ascii="宋体" w:hAnsi="宋体" w:eastAsia="宋体" w:cs="宋体"/>
          <w:sz w:val="24"/>
          <w:szCs w:val="24"/>
        </w:rPr>
        <w:t>分；</w:t>
      </w:r>
      <w:r>
        <w:rPr>
          <w:rFonts w:hint="eastAsia" w:ascii="宋体" w:hAnsi="宋体" w:cs="宋体"/>
          <w:sz w:val="24"/>
          <w:szCs w:val="24"/>
          <w:lang w:val="en-US" w:eastAsia="zh-CN"/>
        </w:rPr>
        <w:t>过程</w:t>
      </w:r>
      <w:r>
        <w:rPr>
          <w:rFonts w:hint="eastAsia" w:ascii="宋体" w:hAnsi="宋体" w:eastAsia="宋体" w:cs="宋体"/>
          <w:sz w:val="24"/>
          <w:szCs w:val="24"/>
        </w:rPr>
        <w:t>指标满分</w:t>
      </w:r>
      <w:r>
        <w:rPr>
          <w:rFonts w:hint="eastAsia" w:ascii="宋体" w:hAnsi="宋体" w:cs="宋体"/>
          <w:sz w:val="24"/>
          <w:szCs w:val="24"/>
          <w:lang w:val="en-US" w:eastAsia="zh-CN"/>
        </w:rPr>
        <w:t>15</w:t>
      </w:r>
      <w:r>
        <w:rPr>
          <w:rFonts w:hint="eastAsia" w:ascii="宋体" w:hAnsi="宋体" w:eastAsia="宋体" w:cs="宋体"/>
          <w:sz w:val="24"/>
          <w:szCs w:val="24"/>
        </w:rPr>
        <w:t>分，得</w:t>
      </w:r>
      <w:r>
        <w:rPr>
          <w:rFonts w:hint="eastAsia" w:ascii="宋体" w:hAnsi="宋体" w:cs="宋体"/>
          <w:sz w:val="24"/>
          <w:szCs w:val="24"/>
          <w:lang w:val="en-US" w:eastAsia="zh-CN"/>
        </w:rPr>
        <w:t>13.38</w:t>
      </w:r>
      <w:r>
        <w:rPr>
          <w:rFonts w:hint="eastAsia" w:ascii="宋体" w:hAnsi="宋体" w:eastAsia="宋体" w:cs="宋体"/>
          <w:sz w:val="24"/>
          <w:szCs w:val="24"/>
        </w:rPr>
        <w:t>分；产出指标满分</w:t>
      </w:r>
      <w:r>
        <w:rPr>
          <w:rFonts w:hint="eastAsia" w:ascii="宋体" w:hAnsi="宋体" w:cs="宋体"/>
          <w:sz w:val="24"/>
          <w:szCs w:val="24"/>
          <w:lang w:val="en-US" w:eastAsia="zh-CN"/>
        </w:rPr>
        <w:t>4</w:t>
      </w:r>
      <w:r>
        <w:rPr>
          <w:rFonts w:hint="eastAsia" w:ascii="宋体" w:hAnsi="宋体" w:eastAsia="宋体" w:cs="宋体"/>
          <w:sz w:val="24"/>
          <w:szCs w:val="24"/>
        </w:rPr>
        <w:t>0分，得</w:t>
      </w:r>
      <w:r>
        <w:rPr>
          <w:rFonts w:hint="eastAsia" w:ascii="宋体" w:hAnsi="宋体" w:cs="宋体"/>
          <w:sz w:val="24"/>
          <w:szCs w:val="24"/>
          <w:lang w:val="en-US" w:eastAsia="zh-CN"/>
        </w:rPr>
        <w:t>36</w:t>
      </w:r>
      <w:r>
        <w:rPr>
          <w:rFonts w:hint="eastAsia" w:ascii="宋体" w:hAnsi="宋体" w:eastAsia="宋体" w:cs="宋体"/>
          <w:sz w:val="24"/>
          <w:szCs w:val="24"/>
        </w:rPr>
        <w:t>分；效益指标满分30分，得</w:t>
      </w:r>
      <w:r>
        <w:rPr>
          <w:rFonts w:hint="eastAsia" w:ascii="宋体" w:hAnsi="宋体" w:cs="宋体"/>
          <w:sz w:val="24"/>
          <w:szCs w:val="24"/>
          <w:lang w:val="en-US" w:eastAsia="zh-CN"/>
        </w:rPr>
        <w:t>25</w:t>
      </w:r>
      <w:r>
        <w:rPr>
          <w:rFonts w:hint="eastAsia" w:ascii="宋体" w:hAnsi="宋体" w:eastAsia="宋体" w:cs="宋体"/>
          <w:sz w:val="24"/>
          <w:szCs w:val="24"/>
        </w:rPr>
        <w:t>分；总计得8</w:t>
      </w:r>
      <w:r>
        <w:rPr>
          <w:rFonts w:hint="eastAsia" w:ascii="宋体" w:hAnsi="宋体" w:cs="宋体"/>
          <w:sz w:val="24"/>
          <w:szCs w:val="24"/>
          <w:lang w:val="en-US" w:eastAsia="zh-CN"/>
        </w:rPr>
        <w:t>1.38</w:t>
      </w:r>
      <w:r>
        <w:rPr>
          <w:rFonts w:hint="eastAsia" w:ascii="宋体" w:hAnsi="宋体" w:eastAsia="宋体" w:cs="宋体"/>
          <w:sz w:val="24"/>
          <w:szCs w:val="24"/>
        </w:rPr>
        <w:t>分，绩效评价</w:t>
      </w:r>
      <w:r>
        <w:rPr>
          <w:rFonts w:hint="eastAsia" w:ascii="宋体" w:hAnsi="宋体" w:cs="宋体"/>
          <w:sz w:val="24"/>
          <w:szCs w:val="24"/>
          <w:lang w:val="en-US" w:eastAsia="zh-CN"/>
        </w:rPr>
        <w:t>等级</w:t>
      </w:r>
      <w:r>
        <w:rPr>
          <w:rFonts w:hint="eastAsia" w:ascii="宋体" w:hAnsi="宋体" w:eastAsia="宋体" w:cs="宋体"/>
          <w:sz w:val="24"/>
          <w:szCs w:val="24"/>
        </w:rPr>
        <w:t>为</w:t>
      </w:r>
      <w:r>
        <w:rPr>
          <w:rFonts w:hint="eastAsia" w:ascii="宋体" w:hAnsi="宋体" w:cs="宋体"/>
          <w:sz w:val="24"/>
          <w:szCs w:val="24"/>
          <w:lang w:eastAsia="zh-CN"/>
        </w:rPr>
        <w:t>“</w:t>
      </w:r>
      <w:r>
        <w:rPr>
          <w:rFonts w:hint="eastAsia" w:ascii="宋体" w:hAnsi="宋体" w:eastAsia="宋体" w:cs="宋体"/>
          <w:sz w:val="24"/>
          <w:szCs w:val="24"/>
        </w:rPr>
        <w:t>良</w:t>
      </w:r>
      <w:r>
        <w:rPr>
          <w:rFonts w:hint="eastAsia" w:ascii="宋体" w:hAnsi="宋体" w:cs="宋体"/>
          <w:sz w:val="24"/>
          <w:szCs w:val="24"/>
          <w:lang w:eastAsia="zh-CN"/>
        </w:rPr>
        <w:t>”</w:t>
      </w:r>
      <w:r>
        <w:rPr>
          <w:rFonts w:hint="eastAsia" w:ascii="宋体" w:hAnsi="宋体" w:eastAsia="宋体" w:cs="宋体"/>
          <w:sz w:val="24"/>
          <w:szCs w:val="24"/>
        </w:rPr>
        <w:t>。</w:t>
      </w:r>
      <w:r>
        <w:rPr>
          <w:rFonts w:hint="eastAsia" w:ascii="宋体" w:hAnsi="宋体" w:cs="宋体"/>
          <w:sz w:val="24"/>
          <w:szCs w:val="24"/>
          <w:lang w:val="en-US" w:eastAsia="zh-CN"/>
        </w:rPr>
        <w:t>总体上，</w:t>
      </w:r>
      <w:r>
        <w:rPr>
          <w:rFonts w:hint="eastAsia" w:ascii="宋体" w:hAnsi="宋体" w:eastAsia="宋体" w:cs="宋体"/>
          <w:sz w:val="24"/>
          <w:szCs w:val="24"/>
        </w:rPr>
        <w:t>泉州市丰泽区201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color w:val="000000"/>
          <w:sz w:val="24"/>
          <w:szCs w:val="24"/>
        </w:rPr>
        <w:t>的使用基本达到了预期目</w:t>
      </w:r>
      <w:r>
        <w:rPr>
          <w:rFonts w:hint="eastAsia" w:ascii="宋体" w:hAnsi="宋体" w:cs="宋体"/>
          <w:color w:val="000000"/>
          <w:sz w:val="24"/>
          <w:szCs w:val="24"/>
          <w:lang w:val="en-US" w:eastAsia="zh-CN"/>
        </w:rPr>
        <w:t>的</w:t>
      </w:r>
      <w:r>
        <w:rPr>
          <w:rFonts w:hint="eastAsia" w:ascii="宋体" w:hAnsi="宋体" w:eastAsia="宋体" w:cs="宋体"/>
          <w:color w:val="000000"/>
          <w:sz w:val="24"/>
          <w:szCs w:val="24"/>
        </w:rPr>
        <w:t>，资金的使用效率和效果</w:t>
      </w:r>
      <w:r>
        <w:rPr>
          <w:rFonts w:hint="eastAsia" w:ascii="宋体" w:hAnsi="宋体" w:cs="宋体"/>
          <w:color w:val="000000"/>
          <w:sz w:val="24"/>
          <w:szCs w:val="24"/>
          <w:lang w:val="en-US" w:eastAsia="zh-CN"/>
        </w:rPr>
        <w:t>基本</w:t>
      </w:r>
      <w:r>
        <w:rPr>
          <w:rFonts w:hint="eastAsia" w:ascii="宋体" w:hAnsi="宋体" w:eastAsia="宋体" w:cs="宋体"/>
          <w:color w:val="000000"/>
          <w:sz w:val="24"/>
          <w:szCs w:val="24"/>
        </w:rPr>
        <w:t>令人满意。</w:t>
      </w:r>
    </w:p>
    <w:p>
      <w:pPr>
        <w:pStyle w:val="2"/>
        <w:spacing w:beforeLines="100" w:afterLines="100" w:line="360" w:lineRule="auto"/>
        <w:jc w:val="center"/>
        <w:rPr>
          <w:rFonts w:hint="default" w:ascii="方正小标宋_GBK" w:hAnsi="仿宋" w:eastAsia="方正小标宋_GBK" w:cs="黑体"/>
          <w:sz w:val="30"/>
          <w:szCs w:val="30"/>
          <w:lang w:val="en-US" w:eastAsia="zh-CN"/>
        </w:rPr>
      </w:pPr>
      <w:bookmarkStart w:id="45" w:name="_Toc521"/>
      <w:r>
        <w:rPr>
          <w:rFonts w:hint="eastAsia" w:ascii="方正小标宋_GBK" w:hAnsi="仿宋" w:eastAsia="方正小标宋_GBK" w:cs="黑体"/>
          <w:sz w:val="30"/>
          <w:szCs w:val="30"/>
          <w:lang w:val="en-US" w:eastAsia="zh-CN"/>
        </w:rPr>
        <w:t>四</w:t>
      </w:r>
      <w:r>
        <w:rPr>
          <w:rFonts w:hint="eastAsia" w:ascii="方正小标宋_GBK" w:hAnsi="仿宋" w:eastAsia="方正小标宋_GBK" w:cs="黑体"/>
          <w:sz w:val="30"/>
          <w:szCs w:val="30"/>
        </w:rPr>
        <w:t>、绩效评价</w:t>
      </w:r>
      <w:r>
        <w:rPr>
          <w:rFonts w:hint="eastAsia" w:ascii="方正小标宋_GBK" w:hAnsi="仿宋" w:eastAsia="方正小标宋_GBK" w:cs="黑体"/>
          <w:sz w:val="30"/>
          <w:szCs w:val="30"/>
          <w:lang w:val="en-US" w:eastAsia="zh-CN"/>
        </w:rPr>
        <w:t>指标分析</w:t>
      </w:r>
      <w:bookmarkEnd w:id="45"/>
    </w:p>
    <w:bookmarkEnd w:id="36"/>
    <w:bookmarkEnd w:id="37"/>
    <w:bookmarkEnd w:id="38"/>
    <w:bookmarkEnd w:id="39"/>
    <w:bookmarkEnd w:id="40"/>
    <w:bookmarkEnd w:id="41"/>
    <w:bookmarkEnd w:id="42"/>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46" w:name="_Toc26161"/>
      <w:bookmarkStart w:id="47" w:name="_Toc15967"/>
      <w:bookmarkStart w:id="48" w:name="_Toc500226193"/>
      <w:bookmarkStart w:id="49" w:name="_Toc3800"/>
      <w:bookmarkStart w:id="50" w:name="_Toc20990"/>
      <w:bookmarkStart w:id="51" w:name="_Toc21892"/>
      <w:bookmarkStart w:id="52" w:name="_Toc12915"/>
      <w:r>
        <w:rPr>
          <w:rFonts w:hint="eastAsia" w:ascii="宋体" w:hAnsi="宋体" w:eastAsia="宋体" w:cs="宋体"/>
          <w:sz w:val="24"/>
          <w:szCs w:val="24"/>
        </w:rPr>
        <w:t>泉州市</w:t>
      </w:r>
      <w:r>
        <w:rPr>
          <w:rFonts w:hint="eastAsia" w:ascii="宋体" w:hAnsi="宋体" w:eastAsia="宋体" w:cs="宋体"/>
          <w:sz w:val="24"/>
          <w:szCs w:val="24"/>
          <w:lang w:val="en-US" w:eastAsia="zh-CN"/>
        </w:rPr>
        <w:t>丰泽区</w:t>
      </w: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年</w:t>
      </w:r>
      <w:r>
        <w:rPr>
          <w:rFonts w:hint="eastAsia" w:ascii="宋体" w:hAnsi="宋体" w:eastAsia="宋体" w:cs="宋体"/>
          <w:sz w:val="24"/>
          <w:szCs w:val="24"/>
          <w:lang w:val="en-US" w:eastAsia="zh-CN"/>
        </w:rPr>
        <w:t>度扶持企业科技基金及扶持企业发展专项基金绩效评价指标体系中4个一级指标、11个二级指标和31个三级指标的具体评价情况如下：</w:t>
      </w:r>
    </w:p>
    <w:p>
      <w:pPr>
        <w:pStyle w:val="3"/>
        <w:spacing w:before="0" w:after="0" w:line="360" w:lineRule="auto"/>
        <w:ind w:firstLine="560" w:firstLineChars="200"/>
        <w:rPr>
          <w:rFonts w:hint="eastAsia" w:ascii="方正小标宋_GBK" w:hAnsi="仿宋" w:eastAsia="方正小标宋_GBK" w:cs="黑体"/>
          <w:sz w:val="28"/>
          <w:szCs w:val="28"/>
        </w:rPr>
      </w:pPr>
      <w:bookmarkStart w:id="53" w:name="_Toc12553"/>
      <w:r>
        <w:rPr>
          <w:rFonts w:hint="eastAsia" w:ascii="方正小标宋_GBK" w:hAnsi="仿宋" w:eastAsia="方正小标宋_GBK" w:cs="黑体"/>
          <w:sz w:val="28"/>
          <w:szCs w:val="28"/>
        </w:rPr>
        <w:t>（一）</w:t>
      </w:r>
      <w:r>
        <w:rPr>
          <w:rFonts w:hint="eastAsia" w:ascii="方正小标宋_GBK" w:hAnsi="仿宋" w:eastAsia="方正小标宋_GBK" w:cs="黑体"/>
          <w:sz w:val="28"/>
          <w:szCs w:val="28"/>
          <w:lang w:val="en-US" w:eastAsia="zh-CN"/>
        </w:rPr>
        <w:t>项目决策情况</w:t>
      </w:r>
      <w:r>
        <w:rPr>
          <w:rFonts w:hint="eastAsia" w:ascii="方正小标宋_GBK" w:hAnsi="仿宋" w:eastAsia="方正小标宋_GBK" w:cs="黑体"/>
          <w:sz w:val="28"/>
          <w:szCs w:val="28"/>
        </w:rPr>
        <w:t>得</w:t>
      </w:r>
      <w:r>
        <w:rPr>
          <w:rFonts w:hint="eastAsia" w:ascii="方正小标宋_GBK" w:hAnsi="仿宋" w:eastAsia="方正小标宋_GBK" w:cs="黑体"/>
          <w:sz w:val="28"/>
          <w:szCs w:val="28"/>
          <w:lang w:val="en-US" w:eastAsia="zh-CN"/>
        </w:rPr>
        <w:t>7</w:t>
      </w:r>
      <w:r>
        <w:rPr>
          <w:rFonts w:hint="eastAsia" w:ascii="方正小标宋_GBK" w:hAnsi="仿宋" w:eastAsia="方正小标宋_GBK" w:cs="黑体"/>
          <w:sz w:val="28"/>
          <w:szCs w:val="28"/>
        </w:rPr>
        <w:t>分（共</w:t>
      </w:r>
      <w:r>
        <w:rPr>
          <w:rFonts w:hint="eastAsia" w:ascii="方正小标宋_GBK" w:hAnsi="仿宋" w:eastAsia="方正小标宋_GBK" w:cs="黑体"/>
          <w:sz w:val="28"/>
          <w:szCs w:val="28"/>
          <w:lang w:val="en-US" w:eastAsia="zh-CN"/>
        </w:rPr>
        <w:t>15</w:t>
      </w:r>
      <w:r>
        <w:rPr>
          <w:rFonts w:hint="eastAsia" w:ascii="方正小标宋_GBK" w:hAnsi="仿宋" w:eastAsia="方正小标宋_GBK" w:cs="黑体"/>
          <w:sz w:val="28"/>
          <w:szCs w:val="28"/>
        </w:rPr>
        <w:t>分）</w:t>
      </w:r>
      <w:bookmarkEnd w:id="5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一级指标“</w:t>
      </w:r>
      <w:r>
        <w:rPr>
          <w:rFonts w:hint="eastAsia"/>
          <w:sz w:val="24"/>
          <w:szCs w:val="24"/>
          <w:lang w:val="en-US" w:eastAsia="zh-CN"/>
        </w:rPr>
        <w:t>决策</w:t>
      </w:r>
      <w:r>
        <w:rPr>
          <w:rFonts w:hint="eastAsia"/>
          <w:sz w:val="24"/>
          <w:szCs w:val="24"/>
        </w:rPr>
        <w:t>”下设“</w:t>
      </w:r>
      <w:r>
        <w:rPr>
          <w:rFonts w:hint="eastAsia"/>
          <w:sz w:val="24"/>
          <w:szCs w:val="24"/>
          <w:lang w:val="en-US" w:eastAsia="zh-CN"/>
        </w:rPr>
        <w:t>项目立项</w:t>
      </w:r>
      <w:r>
        <w:rPr>
          <w:rFonts w:hint="eastAsia"/>
          <w:sz w:val="24"/>
          <w:szCs w:val="24"/>
        </w:rPr>
        <w:t>”“</w:t>
      </w:r>
      <w:r>
        <w:rPr>
          <w:rFonts w:hint="eastAsia"/>
          <w:sz w:val="24"/>
          <w:szCs w:val="24"/>
          <w:lang w:val="en-US" w:eastAsia="zh-CN"/>
        </w:rPr>
        <w:t>绩效目标</w:t>
      </w:r>
      <w:r>
        <w:rPr>
          <w:rFonts w:hint="eastAsia"/>
          <w:sz w:val="24"/>
          <w:szCs w:val="24"/>
        </w:rPr>
        <w:t>”和“</w:t>
      </w:r>
      <w:r>
        <w:rPr>
          <w:rFonts w:hint="eastAsia"/>
          <w:sz w:val="24"/>
          <w:szCs w:val="24"/>
          <w:lang w:val="en-US" w:eastAsia="zh-CN"/>
        </w:rPr>
        <w:t>资金投入</w:t>
      </w:r>
      <w:r>
        <w:rPr>
          <w:rFonts w:hint="eastAsia"/>
          <w:sz w:val="24"/>
          <w:szCs w:val="24"/>
        </w:rPr>
        <w:t>”</w:t>
      </w:r>
      <w:r>
        <w:rPr>
          <w:rFonts w:hint="eastAsia"/>
          <w:sz w:val="24"/>
          <w:szCs w:val="24"/>
          <w:lang w:val="en-US" w:eastAsia="zh-CN"/>
        </w:rPr>
        <w:t>三个</w:t>
      </w:r>
      <w:r>
        <w:rPr>
          <w:rFonts w:hint="eastAsia"/>
          <w:sz w:val="24"/>
          <w:szCs w:val="24"/>
        </w:rPr>
        <w:t>二级指标。</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项目立项</w:t>
      </w:r>
      <w:r>
        <w:rPr>
          <w:rFonts w:hint="eastAsia" w:ascii="宋体" w:hAnsi="宋体" w:eastAsia="宋体" w:cs="宋体"/>
          <w:b/>
          <w:bCs/>
          <w:sz w:val="24"/>
          <w:szCs w:val="24"/>
        </w:rPr>
        <w:t>得5分（共</w:t>
      </w:r>
      <w:r>
        <w:rPr>
          <w:rFonts w:hint="eastAsia" w:ascii="宋体" w:hAnsi="宋体" w:cs="宋体"/>
          <w:b/>
          <w:bCs/>
          <w:sz w:val="24"/>
          <w:szCs w:val="24"/>
          <w:lang w:val="en-US" w:eastAsia="zh-CN"/>
        </w:rPr>
        <w:t>6</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sz w:val="24"/>
          <w:szCs w:val="24"/>
          <w:lang w:val="en-US" w:eastAsia="zh-CN"/>
        </w:rPr>
        <w:t>项目立项</w:t>
      </w:r>
      <w:r>
        <w:rPr>
          <w:rFonts w:hint="eastAsia" w:ascii="宋体" w:hAnsi="宋体" w:eastAsia="宋体" w:cs="宋体"/>
          <w:sz w:val="24"/>
          <w:szCs w:val="24"/>
        </w:rPr>
        <w:t>”分解为“</w:t>
      </w:r>
      <w:r>
        <w:rPr>
          <w:rFonts w:hint="eastAsia" w:ascii="宋体" w:hAnsi="宋体" w:eastAsia="宋体" w:cs="宋体"/>
          <w:sz w:val="24"/>
          <w:szCs w:val="24"/>
          <w:lang w:val="en-US" w:eastAsia="zh-CN"/>
        </w:rPr>
        <w:t>立项依据充分性</w:t>
      </w:r>
      <w:r>
        <w:rPr>
          <w:rFonts w:hint="eastAsia" w:ascii="宋体" w:hAnsi="宋体" w:eastAsia="宋体" w:cs="宋体"/>
          <w:sz w:val="24"/>
          <w:szCs w:val="24"/>
        </w:rPr>
        <w:t>”和“</w:t>
      </w:r>
      <w:r>
        <w:rPr>
          <w:rFonts w:hint="eastAsia" w:ascii="宋体" w:hAnsi="宋体" w:eastAsia="宋体" w:cs="宋体"/>
          <w:sz w:val="24"/>
          <w:szCs w:val="24"/>
          <w:lang w:val="en-US" w:eastAsia="zh-CN"/>
        </w:rPr>
        <w:t>立项程序规范性</w:t>
      </w:r>
      <w:r>
        <w:rPr>
          <w:rFonts w:hint="eastAsia" w:ascii="宋体" w:hAnsi="宋体" w:eastAsia="宋体" w:cs="宋体"/>
          <w:sz w:val="24"/>
          <w:szCs w:val="24"/>
        </w:rPr>
        <w:t>”</w:t>
      </w:r>
      <w:r>
        <w:rPr>
          <w:rFonts w:hint="eastAsia" w:ascii="宋体" w:hAnsi="宋体" w:cs="宋体"/>
          <w:sz w:val="24"/>
          <w:szCs w:val="24"/>
          <w:lang w:val="en-US" w:eastAsia="zh-CN"/>
        </w:rPr>
        <w:t>两</w:t>
      </w:r>
      <w:r>
        <w:rPr>
          <w:rFonts w:hint="eastAsia" w:ascii="宋体" w:hAnsi="宋体" w:eastAsia="宋体" w:cs="宋体"/>
          <w:sz w:val="24"/>
          <w:szCs w:val="24"/>
        </w:rPr>
        <w:t>个三级指标。</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sz w:val="24"/>
          <w:szCs w:val="24"/>
          <w:lang w:val="en-US" w:eastAsia="zh-CN"/>
        </w:rPr>
        <w:t>立项依据充分性</w:t>
      </w:r>
      <w:r>
        <w:rPr>
          <w:rFonts w:hint="eastAsia" w:ascii="宋体" w:hAnsi="宋体" w:eastAsia="宋体" w:cs="宋体"/>
          <w:sz w:val="24"/>
          <w:szCs w:val="24"/>
        </w:rPr>
        <w:t>”得</w:t>
      </w:r>
      <w:r>
        <w:rPr>
          <w:rFonts w:hint="eastAsia" w:ascii="宋体" w:hAnsi="宋体" w:cs="宋体"/>
          <w:sz w:val="24"/>
          <w:szCs w:val="24"/>
          <w:lang w:val="en-US" w:eastAsia="zh-CN"/>
        </w:rPr>
        <w:t>2</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立项依据充分性</w:t>
      </w:r>
      <w:r>
        <w:rPr>
          <w:rFonts w:hint="eastAsia" w:ascii="宋体" w:hAnsi="宋体" w:eastAsia="宋体" w:cs="宋体"/>
          <w:sz w:val="24"/>
          <w:szCs w:val="24"/>
        </w:rPr>
        <w:t>”</w:t>
      </w:r>
      <w:r>
        <w:rPr>
          <w:rFonts w:hint="eastAsia" w:ascii="宋体" w:hAnsi="宋体" w:cs="宋体"/>
          <w:sz w:val="24"/>
          <w:szCs w:val="24"/>
          <w:lang w:val="en-US" w:eastAsia="zh-CN"/>
        </w:rPr>
        <w:t>指标用于评价项目立项是否符合国家法律法规、国民经济发展规划和相关政策；是否符合行业发展规划和政策要求；是否与部门职责范围相符，属于部门履职所需；是否属于公共财政支持范围，是否符合中央、地方事权支出责任划分原则；是否与相关部门同类项目或部门内部相关项目重复。通过调研得知，</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的立项符合国家法律法规、国民经济发展规划、相关政策、行业发展规划以及部门职责，属于公共财政支持范围，但专项资金的用途不明确，与部门内部相关项目有重复之嫌。比如，华创园2019年下半年经营场所租赁费用643.58万元是从两个专项资金中列支的，扶持企业发展专项基金中仅支付了193.58万元，另外450万元从其他专项资金列支。</w:t>
      </w:r>
      <w:r>
        <w:rPr>
          <w:rFonts w:hint="eastAsia" w:ascii="宋体" w:hAnsi="宋体" w:eastAsia="宋体" w:cs="宋体"/>
          <w:sz w:val="24"/>
          <w:szCs w:val="24"/>
          <w:lang w:val="en-US" w:eastAsia="zh-CN"/>
        </w:rPr>
        <w:t>根据评分标准，</w:t>
      </w:r>
      <w:r>
        <w:rPr>
          <w:rFonts w:hint="eastAsia" w:ascii="宋体" w:hAnsi="宋体" w:cs="宋体"/>
          <w:sz w:val="24"/>
          <w:szCs w:val="24"/>
          <w:lang w:val="en-US" w:eastAsia="zh-CN"/>
        </w:rPr>
        <w:t>扣1分，</w:t>
      </w:r>
      <w:r>
        <w:rPr>
          <w:rFonts w:hint="eastAsia" w:ascii="宋体" w:hAnsi="宋体" w:eastAsia="宋体" w:cs="宋体"/>
          <w:sz w:val="24"/>
          <w:szCs w:val="24"/>
        </w:rPr>
        <w:t>“</w:t>
      </w:r>
      <w:r>
        <w:rPr>
          <w:rFonts w:hint="eastAsia" w:ascii="宋体" w:hAnsi="宋体" w:eastAsia="宋体" w:cs="宋体"/>
          <w:sz w:val="24"/>
          <w:szCs w:val="24"/>
          <w:lang w:val="en-US" w:eastAsia="zh-CN"/>
        </w:rPr>
        <w:t>立项依据充分性</w:t>
      </w:r>
      <w:r>
        <w:rPr>
          <w:rFonts w:hint="eastAsia" w:ascii="宋体" w:hAnsi="宋体" w:eastAsia="宋体" w:cs="宋体"/>
          <w:sz w:val="24"/>
          <w:szCs w:val="24"/>
        </w:rPr>
        <w:t>”</w:t>
      </w:r>
      <w:r>
        <w:rPr>
          <w:rFonts w:hint="eastAsia" w:ascii="宋体" w:hAnsi="宋体" w:eastAsia="宋体" w:cs="宋体"/>
          <w:sz w:val="24"/>
          <w:szCs w:val="24"/>
          <w:lang w:eastAsia="zh-CN"/>
        </w:rPr>
        <w:t>得</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分。</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立项程序规范性”得3分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满分3</w:t>
      </w:r>
      <w:r>
        <w:rPr>
          <w:rFonts w:hint="eastAsia" w:ascii="宋体" w:hAnsi="宋体" w:eastAsia="宋体" w:cs="宋体"/>
          <w:sz w:val="24"/>
          <w:szCs w:val="24"/>
          <w:lang w:eastAsia="zh-CN"/>
        </w:rPr>
        <w:t>分）</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“立项程序规范性”指标用于评价项目是否按照规定的程序申请设立；审批文件、材料是否符合相关要求；事前是否已经过必要的论证或集体决策。</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w:t>
      </w:r>
      <w:r>
        <w:rPr>
          <w:rFonts w:hint="eastAsia" w:ascii="宋体" w:hAnsi="宋体" w:cs="宋体"/>
          <w:color w:val="000000"/>
          <w:sz w:val="24"/>
          <w:szCs w:val="24"/>
          <w:lang w:val="en-US" w:eastAsia="zh-CN"/>
        </w:rPr>
        <w:t>是根据《福建省科学技术进步条例》第四十七条设立，扶持企业发展专项基金是丰泽区财政局预留专项资金，这两个基金主要用于年中各单位跟惠企有关的追加支出，以及执行中上级政府要求配套的惠企资金等。</w:t>
      </w:r>
      <w:r>
        <w:rPr>
          <w:rFonts w:hint="eastAsia" w:ascii="宋体" w:hAnsi="宋体" w:cs="宋体"/>
          <w:sz w:val="24"/>
          <w:szCs w:val="24"/>
          <w:lang w:val="en-US" w:eastAsia="zh-CN"/>
        </w:rPr>
        <w:t>专项资金</w:t>
      </w:r>
      <w:r>
        <w:rPr>
          <w:rFonts w:hint="eastAsia" w:ascii="宋体" w:hAnsi="宋体" w:cs="宋体"/>
          <w:color w:val="000000"/>
          <w:sz w:val="24"/>
          <w:szCs w:val="24"/>
          <w:lang w:val="en-US" w:eastAsia="zh-CN"/>
        </w:rPr>
        <w:t>在拨付之前必须向区政府请示，审批通过后财政局再拨付。专项资金扶持</w:t>
      </w:r>
      <w:r>
        <w:rPr>
          <w:rFonts w:hint="eastAsia" w:ascii="宋体" w:hAnsi="宋体" w:eastAsia="宋体" w:cs="宋体"/>
          <w:sz w:val="24"/>
          <w:szCs w:val="24"/>
          <w:lang w:val="en-US" w:eastAsia="zh-CN"/>
        </w:rPr>
        <w:t>项目</w:t>
      </w:r>
      <w:r>
        <w:rPr>
          <w:rFonts w:hint="eastAsia" w:ascii="宋体" w:hAnsi="宋体" w:cs="宋体"/>
          <w:sz w:val="24"/>
          <w:szCs w:val="24"/>
          <w:lang w:val="en-US" w:eastAsia="zh-CN"/>
        </w:rPr>
        <w:t>均根据有关扶持政策或专题会议精神，</w:t>
      </w:r>
      <w:r>
        <w:rPr>
          <w:rFonts w:hint="eastAsia" w:ascii="宋体" w:hAnsi="宋体" w:eastAsia="宋体" w:cs="宋体"/>
          <w:sz w:val="24"/>
          <w:szCs w:val="24"/>
          <w:lang w:val="en-US" w:eastAsia="zh-CN"/>
        </w:rPr>
        <w:t>审批文件、材料符合相关要求</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事前已经过必要的论证或集体决策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根据评分标准，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立项程序规范性”得3分</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项目立项</w:t>
      </w:r>
      <w:r>
        <w:rPr>
          <w:rFonts w:hint="eastAsia" w:ascii="宋体" w:hAnsi="宋体" w:eastAsia="宋体" w:cs="宋体"/>
          <w:sz w:val="24"/>
          <w:szCs w:val="24"/>
          <w:lang w:eastAsia="zh-CN"/>
        </w:rPr>
        <w:t>指标合计得</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分。</w:t>
      </w:r>
    </w:p>
    <w:p>
      <w:pPr>
        <w:spacing w:line="360" w:lineRule="auto"/>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2</w:t>
      </w:r>
      <w:r>
        <w:rPr>
          <w:rFonts w:hint="eastAsia" w:ascii="宋体" w:hAnsi="宋体" w:eastAsia="宋体" w:cs="宋体"/>
          <w:b/>
          <w:bCs/>
          <w:sz w:val="24"/>
          <w:szCs w:val="24"/>
        </w:rPr>
        <w:t>.</w:t>
      </w:r>
      <w:r>
        <w:rPr>
          <w:rFonts w:hint="eastAsia" w:ascii="宋体" w:hAnsi="宋体" w:cs="宋体"/>
          <w:b/>
          <w:bCs/>
          <w:sz w:val="24"/>
          <w:szCs w:val="24"/>
          <w:lang w:val="en-US" w:eastAsia="zh-CN"/>
        </w:rPr>
        <w:t>绩效目标</w:t>
      </w:r>
      <w:r>
        <w:rPr>
          <w:rFonts w:hint="eastAsia" w:ascii="宋体" w:hAnsi="宋体" w:eastAsia="宋体" w:cs="宋体"/>
          <w:b/>
          <w:bCs/>
          <w:sz w:val="24"/>
          <w:szCs w:val="24"/>
        </w:rPr>
        <w:t>得</w:t>
      </w:r>
      <w:r>
        <w:rPr>
          <w:rFonts w:hint="eastAsia" w:ascii="宋体" w:hAnsi="宋体" w:cs="宋体"/>
          <w:b/>
          <w:bCs/>
          <w:sz w:val="24"/>
          <w:szCs w:val="24"/>
          <w:lang w:val="en-US" w:eastAsia="zh-CN"/>
        </w:rPr>
        <w:t>0</w:t>
      </w:r>
      <w:r>
        <w:rPr>
          <w:rFonts w:hint="eastAsia" w:ascii="宋体" w:hAnsi="宋体" w:eastAsia="宋体" w:cs="宋体"/>
          <w:b/>
          <w:bCs/>
          <w:sz w:val="24"/>
          <w:szCs w:val="24"/>
        </w:rPr>
        <w:t>分（共</w:t>
      </w:r>
      <w:r>
        <w:rPr>
          <w:rFonts w:hint="eastAsia" w:ascii="宋体" w:hAnsi="宋体" w:cs="宋体"/>
          <w:b/>
          <w:bCs/>
          <w:sz w:val="24"/>
          <w:szCs w:val="24"/>
          <w:lang w:val="en-US" w:eastAsia="zh-CN"/>
        </w:rPr>
        <w:t>5</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绩效目标</w:t>
      </w:r>
      <w:r>
        <w:rPr>
          <w:rFonts w:hint="eastAsia" w:ascii="宋体" w:hAnsi="宋体" w:eastAsia="宋体" w:cs="宋体"/>
          <w:sz w:val="24"/>
          <w:szCs w:val="24"/>
        </w:rPr>
        <w:t>”分解为“</w:t>
      </w:r>
      <w:r>
        <w:rPr>
          <w:rFonts w:hint="eastAsia" w:ascii="宋体" w:hAnsi="宋体" w:eastAsia="宋体" w:cs="宋体"/>
          <w:sz w:val="24"/>
          <w:szCs w:val="24"/>
          <w:lang w:val="en-US" w:eastAsia="zh-CN"/>
        </w:rPr>
        <w:t>绩效目标合理性</w:t>
      </w:r>
      <w:r>
        <w:rPr>
          <w:rFonts w:hint="eastAsia" w:ascii="宋体" w:hAnsi="宋体" w:eastAsia="宋体" w:cs="宋体"/>
          <w:sz w:val="24"/>
          <w:szCs w:val="24"/>
        </w:rPr>
        <w:t>”和“绩效指标明确性”</w:t>
      </w:r>
      <w:r>
        <w:rPr>
          <w:rFonts w:hint="eastAsia" w:ascii="宋体" w:hAnsi="宋体" w:cs="宋体"/>
          <w:sz w:val="24"/>
          <w:szCs w:val="24"/>
          <w:lang w:val="en-US" w:eastAsia="zh-CN"/>
        </w:rPr>
        <w:t>两</w:t>
      </w:r>
      <w:r>
        <w:rPr>
          <w:rFonts w:hint="eastAsia" w:ascii="宋体" w:hAnsi="宋体" w:eastAsia="宋体" w:cs="宋体"/>
          <w:sz w:val="24"/>
          <w:szCs w:val="24"/>
        </w:rPr>
        <w:t>个三级指标。</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绩效目标合理性”得0分（满分3分）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绩效目标合理性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指标用于</w:t>
      </w:r>
      <w:r>
        <w:rPr>
          <w:rFonts w:hint="eastAsia" w:ascii="宋体" w:hAnsi="宋体" w:eastAsia="宋体" w:cs="宋体"/>
          <w:sz w:val="24"/>
          <w:szCs w:val="24"/>
        </w:rPr>
        <w:t>评价</w:t>
      </w:r>
      <w:r>
        <w:rPr>
          <w:rFonts w:hint="eastAsia" w:ascii="宋体" w:hAnsi="宋体" w:eastAsia="宋体" w:cs="宋体"/>
          <w:sz w:val="24"/>
          <w:szCs w:val="24"/>
          <w:lang w:val="en-US" w:eastAsia="zh-CN"/>
        </w:rPr>
        <w:t>项目是否有绩效目标，绩效目标与实际工作内容是否具有相关性，预期产出效益和效果是否符合正常的业绩水平，是否与预算确定的项目投资额或资金量相匹配。</w:t>
      </w:r>
      <w:r>
        <w:rPr>
          <w:rFonts w:hint="eastAsia" w:ascii="宋体" w:hAnsi="宋体" w:eastAsia="宋体" w:cs="宋体"/>
          <w:sz w:val="24"/>
          <w:lang w:val="en-US" w:eastAsia="zh-CN"/>
        </w:rPr>
        <w:t>通过调研得知，</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度扶持企业科技基金及扶持企业发展专项基金没有设定绩效目标，也没有明确规定资金的具体用途，只是根据财力和上下年惠企政策兑现情况安排资金支出。</w:t>
      </w:r>
      <w:r>
        <w:rPr>
          <w:rFonts w:hint="eastAsia" w:ascii="宋体" w:hAnsi="宋体" w:eastAsia="宋体" w:cs="宋体"/>
          <w:sz w:val="24"/>
          <w:szCs w:val="24"/>
          <w:lang w:val="en-US" w:eastAsia="zh-CN"/>
        </w:rPr>
        <w:t>根据评分标准，扣3分，“绩效目标合理性”</w:t>
      </w:r>
      <w:r>
        <w:rPr>
          <w:rFonts w:hint="eastAsia" w:ascii="宋体" w:hAnsi="宋体" w:eastAsia="宋体" w:cs="宋体"/>
          <w:sz w:val="24"/>
          <w:szCs w:val="24"/>
        </w:rPr>
        <w:t>得</w:t>
      </w:r>
      <w:r>
        <w:rPr>
          <w:rFonts w:hint="eastAsia" w:ascii="宋体" w:hAnsi="宋体" w:eastAsia="宋体" w:cs="宋体"/>
          <w:sz w:val="24"/>
          <w:szCs w:val="24"/>
          <w:lang w:val="en-US" w:eastAsia="zh-CN"/>
        </w:rPr>
        <w:t>0</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绩效指标明确性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得0分（满分2分）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绩效指标明确性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指标用于</w:t>
      </w:r>
      <w:r>
        <w:rPr>
          <w:rFonts w:hint="eastAsia" w:ascii="宋体" w:hAnsi="宋体" w:eastAsia="宋体" w:cs="宋体"/>
          <w:sz w:val="24"/>
          <w:szCs w:val="24"/>
        </w:rPr>
        <w:t>评价</w:t>
      </w:r>
      <w:r>
        <w:rPr>
          <w:rFonts w:hint="eastAsia" w:ascii="宋体" w:hAnsi="宋体" w:eastAsia="宋体" w:cs="宋体"/>
          <w:sz w:val="24"/>
          <w:szCs w:val="24"/>
          <w:lang w:val="en-US" w:eastAsia="zh-CN"/>
        </w:rPr>
        <w:t>是否将</w:t>
      </w:r>
      <w:r>
        <w:rPr>
          <w:rFonts w:hint="eastAsia" w:ascii="宋体" w:hAnsi="宋体" w:eastAsia="宋体" w:cs="宋体"/>
          <w:sz w:val="24"/>
          <w:szCs w:val="24"/>
        </w:rPr>
        <w:t>项目绩效目标细化分解为具体的绩效指标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是否通过清晰、可衡量的指标值予以体现，是否与项目目标任务数或计划数相对应</w:t>
      </w:r>
      <w:r>
        <w:rPr>
          <w:rFonts w:hint="eastAsia" w:ascii="宋体" w:hAnsi="宋体" w:eastAsia="宋体" w:cs="宋体"/>
          <w:sz w:val="24"/>
          <w:szCs w:val="24"/>
        </w:rPr>
        <w:t>。</w:t>
      </w:r>
      <w:r>
        <w:rPr>
          <w:rFonts w:hint="eastAsia" w:ascii="宋体" w:hAnsi="宋体" w:cs="宋体"/>
          <w:sz w:val="24"/>
          <w:lang w:val="en-US" w:eastAsia="zh-CN"/>
        </w:rPr>
        <w:t>由于</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度扶持企业科技基金及扶持企业发展专项基金没有设置绩效目标，因此，也没有设置绩效指标及指标值。</w:t>
      </w:r>
      <w:r>
        <w:rPr>
          <w:rFonts w:hint="eastAsia" w:ascii="宋体" w:hAnsi="宋体" w:eastAsia="宋体" w:cs="宋体"/>
          <w:sz w:val="24"/>
          <w:szCs w:val="24"/>
          <w:lang w:val="en-US" w:eastAsia="zh-CN"/>
        </w:rPr>
        <w:t>根据评分标准，扣2分，“绩效指标明确性”</w:t>
      </w:r>
      <w:r>
        <w:rPr>
          <w:rFonts w:hint="eastAsia" w:ascii="宋体" w:hAnsi="宋体" w:eastAsia="宋体" w:cs="宋体"/>
          <w:sz w:val="24"/>
          <w:szCs w:val="24"/>
        </w:rPr>
        <w:t>得</w:t>
      </w:r>
      <w:r>
        <w:rPr>
          <w:rFonts w:hint="eastAsia" w:ascii="宋体" w:hAnsi="宋体" w:eastAsia="宋体" w:cs="宋体"/>
          <w:sz w:val="24"/>
          <w:szCs w:val="24"/>
          <w:lang w:val="en-US" w:eastAsia="zh-CN"/>
        </w:rPr>
        <w:t>0</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绩效目标</w:t>
      </w:r>
      <w:r>
        <w:rPr>
          <w:rFonts w:hint="eastAsia" w:ascii="宋体" w:hAnsi="宋体" w:eastAsia="宋体" w:cs="宋体"/>
          <w:sz w:val="24"/>
          <w:szCs w:val="24"/>
          <w:lang w:eastAsia="zh-CN"/>
        </w:rPr>
        <w:t>指标合计得</w:t>
      </w:r>
      <w:r>
        <w:rPr>
          <w:rFonts w:hint="eastAsia" w:ascii="宋体" w:hAnsi="宋体" w:cs="宋体"/>
          <w:sz w:val="24"/>
          <w:szCs w:val="24"/>
          <w:lang w:val="en-US" w:eastAsia="zh-CN"/>
        </w:rPr>
        <w:t>0</w:t>
      </w:r>
      <w:r>
        <w:rPr>
          <w:rFonts w:hint="eastAsia" w:ascii="宋体" w:hAnsi="宋体" w:eastAsia="宋体" w:cs="宋体"/>
          <w:sz w:val="24"/>
          <w:szCs w:val="24"/>
          <w:lang w:eastAsia="zh-CN"/>
        </w:rPr>
        <w:t>分。</w:t>
      </w:r>
    </w:p>
    <w:p>
      <w:pPr>
        <w:spacing w:line="360" w:lineRule="auto"/>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3</w:t>
      </w:r>
      <w:r>
        <w:rPr>
          <w:rFonts w:hint="eastAsia" w:ascii="宋体" w:hAnsi="宋体" w:eastAsia="宋体" w:cs="宋体"/>
          <w:b/>
          <w:bCs/>
          <w:sz w:val="24"/>
          <w:szCs w:val="24"/>
        </w:rPr>
        <w:t>.</w:t>
      </w:r>
      <w:r>
        <w:rPr>
          <w:rFonts w:hint="eastAsia" w:ascii="宋体" w:hAnsi="宋体" w:cs="宋体"/>
          <w:b/>
          <w:bCs/>
          <w:sz w:val="24"/>
          <w:szCs w:val="24"/>
          <w:lang w:val="en-US" w:eastAsia="zh-CN"/>
        </w:rPr>
        <w:t>资金投入</w:t>
      </w:r>
      <w:r>
        <w:rPr>
          <w:rFonts w:hint="eastAsia" w:ascii="宋体" w:hAnsi="宋体" w:eastAsia="宋体" w:cs="宋体"/>
          <w:b/>
          <w:bCs/>
          <w:sz w:val="24"/>
          <w:szCs w:val="24"/>
        </w:rPr>
        <w:t>得</w:t>
      </w:r>
      <w:r>
        <w:rPr>
          <w:rFonts w:hint="eastAsia" w:ascii="宋体" w:hAnsi="宋体" w:cs="宋体"/>
          <w:b/>
          <w:bCs/>
          <w:sz w:val="24"/>
          <w:szCs w:val="24"/>
          <w:lang w:val="en-US" w:eastAsia="zh-CN"/>
        </w:rPr>
        <w:t>2</w:t>
      </w:r>
      <w:r>
        <w:rPr>
          <w:rFonts w:hint="eastAsia" w:ascii="宋体" w:hAnsi="宋体" w:eastAsia="宋体" w:cs="宋体"/>
          <w:b/>
          <w:bCs/>
          <w:sz w:val="24"/>
          <w:szCs w:val="24"/>
        </w:rPr>
        <w:t>分（共</w:t>
      </w:r>
      <w:r>
        <w:rPr>
          <w:rFonts w:hint="eastAsia" w:ascii="宋体" w:hAnsi="宋体" w:cs="宋体"/>
          <w:b/>
          <w:bCs/>
          <w:sz w:val="24"/>
          <w:szCs w:val="24"/>
          <w:lang w:val="en-US" w:eastAsia="zh-CN"/>
        </w:rPr>
        <w:t>4</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资金投入</w:t>
      </w:r>
      <w:r>
        <w:rPr>
          <w:rFonts w:hint="eastAsia" w:ascii="宋体" w:hAnsi="宋体" w:eastAsia="宋体" w:cs="宋体"/>
          <w:sz w:val="24"/>
          <w:szCs w:val="24"/>
        </w:rPr>
        <w:t>”分解为“</w:t>
      </w:r>
      <w:r>
        <w:rPr>
          <w:rFonts w:hint="eastAsia" w:ascii="宋体" w:hAnsi="宋体" w:eastAsia="宋体" w:cs="宋体"/>
          <w:sz w:val="24"/>
          <w:szCs w:val="24"/>
          <w:lang w:val="en-US" w:eastAsia="zh-CN"/>
        </w:rPr>
        <w:t>预算编制科学性</w:t>
      </w:r>
      <w:r>
        <w:rPr>
          <w:rFonts w:hint="eastAsia" w:ascii="宋体" w:hAnsi="宋体" w:eastAsia="宋体" w:cs="宋体"/>
          <w:sz w:val="24"/>
          <w:szCs w:val="24"/>
        </w:rPr>
        <w:t>”和“</w:t>
      </w:r>
      <w:r>
        <w:rPr>
          <w:rFonts w:hint="eastAsia" w:ascii="宋体" w:hAnsi="宋体" w:eastAsia="宋体" w:cs="宋体"/>
          <w:sz w:val="24"/>
          <w:szCs w:val="24"/>
          <w:lang w:val="en-US" w:eastAsia="zh-CN"/>
        </w:rPr>
        <w:t>资金分配合理性</w:t>
      </w:r>
      <w:r>
        <w:rPr>
          <w:rFonts w:hint="eastAsia" w:ascii="宋体" w:hAnsi="宋体" w:eastAsia="宋体" w:cs="宋体"/>
          <w:sz w:val="24"/>
          <w:szCs w:val="24"/>
        </w:rPr>
        <w:t>”</w:t>
      </w:r>
      <w:r>
        <w:rPr>
          <w:rFonts w:hint="eastAsia" w:ascii="宋体" w:hAnsi="宋体" w:cs="宋体"/>
          <w:sz w:val="24"/>
          <w:szCs w:val="24"/>
          <w:lang w:val="en-US" w:eastAsia="zh-CN"/>
        </w:rPr>
        <w:t>两</w:t>
      </w:r>
      <w:r>
        <w:rPr>
          <w:rFonts w:hint="eastAsia" w:ascii="宋体" w:hAnsi="宋体" w:eastAsia="宋体" w:cs="宋体"/>
          <w:sz w:val="24"/>
          <w:szCs w:val="24"/>
        </w:rPr>
        <w:t>个三级指标。</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预算编制科学性”得</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分（满分</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预算编制科学性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指标用于</w:t>
      </w:r>
      <w:r>
        <w:rPr>
          <w:rFonts w:hint="eastAsia" w:ascii="宋体" w:hAnsi="宋体" w:eastAsia="宋体" w:cs="宋体"/>
          <w:sz w:val="24"/>
          <w:szCs w:val="24"/>
        </w:rPr>
        <w:t>评价</w:t>
      </w:r>
      <w:r>
        <w:rPr>
          <w:rFonts w:hint="eastAsia" w:ascii="宋体" w:hAnsi="宋体" w:cs="宋体"/>
          <w:sz w:val="24"/>
          <w:szCs w:val="24"/>
          <w:lang w:val="en-US" w:eastAsia="zh-CN"/>
        </w:rPr>
        <w:t>项目</w:t>
      </w:r>
      <w:r>
        <w:rPr>
          <w:rFonts w:hint="eastAsia" w:ascii="宋体" w:hAnsi="宋体" w:eastAsia="宋体" w:cs="宋体"/>
          <w:sz w:val="24"/>
          <w:szCs w:val="24"/>
          <w:lang w:val="en-US" w:eastAsia="zh-CN"/>
        </w:rPr>
        <w:t>预算编制是否经过科学论证</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预算内容与项目内容是否匹配</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预算额度测算依据是否充分，是否按照标准编制</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预算确定的项目投资额或资金量是否与工作任务相匹配</w:t>
      </w:r>
      <w:r>
        <w:rPr>
          <w:rFonts w:hint="eastAsia" w:ascii="宋体" w:hAnsi="宋体" w:eastAsia="宋体" w:cs="宋体"/>
          <w:sz w:val="24"/>
          <w:szCs w:val="24"/>
        </w:rPr>
        <w:t>。</w:t>
      </w:r>
      <w:r>
        <w:rPr>
          <w:rFonts w:hint="eastAsia" w:ascii="宋体" w:hAnsi="宋体" w:eastAsia="宋体" w:cs="宋体"/>
          <w:sz w:val="24"/>
          <w:lang w:val="en-US" w:eastAsia="zh-CN"/>
        </w:rPr>
        <w:t>通过调研得知，</w:t>
      </w:r>
      <w:r>
        <w:rPr>
          <w:rFonts w:hint="eastAsia" w:ascii="宋体" w:hAnsi="宋体" w:cs="宋体"/>
          <w:sz w:val="24"/>
          <w:lang w:val="en-US" w:eastAsia="zh-CN"/>
        </w:rPr>
        <w:t>泉州市</w:t>
      </w:r>
      <w:r>
        <w:rPr>
          <w:rFonts w:hint="eastAsia" w:ascii="宋体" w:hAnsi="宋体" w:cs="宋体"/>
          <w:color w:val="000000"/>
          <w:sz w:val="24"/>
          <w:szCs w:val="24"/>
          <w:lang w:val="en-US" w:eastAsia="zh-CN"/>
        </w:rPr>
        <w:t>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度扶持企业科技基金及扶持企业发展专项基金没有单独的预算批复文件，只是在区本级财政预算报告，作为区财政局预留专项。该专项资金由于没有明确的用途，</w:t>
      </w:r>
      <w:r>
        <w:rPr>
          <w:rFonts w:hint="eastAsia" w:ascii="宋体" w:hAnsi="宋体" w:eastAsia="宋体" w:cs="宋体"/>
          <w:sz w:val="24"/>
          <w:szCs w:val="24"/>
          <w:lang w:val="en-US" w:eastAsia="zh-CN"/>
        </w:rPr>
        <w:t>预算</w:t>
      </w:r>
      <w:r>
        <w:rPr>
          <w:rFonts w:hint="eastAsia" w:ascii="宋体" w:hAnsi="宋体" w:cs="宋体"/>
          <w:sz w:val="24"/>
          <w:szCs w:val="24"/>
          <w:lang w:val="en-US" w:eastAsia="zh-CN"/>
        </w:rPr>
        <w:t>编制没有细化到部门或项目，且</w:t>
      </w:r>
      <w:r>
        <w:rPr>
          <w:rFonts w:hint="eastAsia" w:ascii="宋体" w:hAnsi="宋体" w:eastAsia="宋体" w:cs="宋体"/>
          <w:sz w:val="24"/>
          <w:szCs w:val="24"/>
          <w:lang w:val="en-US" w:eastAsia="zh-CN"/>
        </w:rPr>
        <w:t>额度测算</w:t>
      </w:r>
      <w:r>
        <w:rPr>
          <w:rFonts w:hint="eastAsia" w:ascii="宋体" w:hAnsi="宋体" w:cs="宋体"/>
          <w:sz w:val="24"/>
          <w:szCs w:val="24"/>
          <w:lang w:val="en-US" w:eastAsia="zh-CN"/>
        </w:rPr>
        <w:t>不太准确：2019</w:t>
      </w:r>
      <w:r>
        <w:rPr>
          <w:rFonts w:hint="eastAsia" w:ascii="宋体" w:hAnsi="宋体" w:cs="宋体"/>
          <w:color w:val="000000"/>
          <w:sz w:val="24"/>
          <w:szCs w:val="24"/>
          <w:lang w:val="en-US" w:eastAsia="zh-CN"/>
        </w:rPr>
        <w:t>年初丰泽区财政局预算安排</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科技三项费用）4000万元、</w:t>
      </w:r>
      <w:r>
        <w:rPr>
          <w:rFonts w:hint="eastAsia" w:ascii="宋体" w:hAnsi="宋体" w:eastAsia="宋体" w:cs="宋体"/>
          <w:color w:val="000000"/>
          <w:sz w:val="24"/>
          <w:szCs w:val="24"/>
        </w:rPr>
        <w:t>扶持企业发展专项基金</w:t>
      </w:r>
      <w:r>
        <w:rPr>
          <w:rFonts w:hint="eastAsia" w:ascii="宋体" w:hAnsi="宋体" w:cs="宋体"/>
          <w:color w:val="000000"/>
          <w:sz w:val="24"/>
          <w:szCs w:val="24"/>
          <w:lang w:val="en-US" w:eastAsia="zh-CN"/>
        </w:rPr>
        <w:t>2500万元，年中，</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科技三项费用）调减为2950万元，余下的1050万元调整至扶持企业发展专项基金，最后</w:t>
      </w:r>
      <w:r>
        <w:rPr>
          <w:rFonts w:hint="eastAsia" w:ascii="宋体" w:hAnsi="宋体" w:eastAsia="宋体" w:cs="宋体"/>
          <w:color w:val="000000"/>
          <w:sz w:val="24"/>
          <w:szCs w:val="24"/>
        </w:rPr>
        <w:t>扶持企业发展专项基金</w:t>
      </w:r>
      <w:r>
        <w:rPr>
          <w:rFonts w:hint="eastAsia" w:ascii="宋体" w:hAnsi="宋体" w:cs="宋体"/>
          <w:color w:val="000000"/>
          <w:sz w:val="24"/>
          <w:szCs w:val="24"/>
          <w:lang w:val="en-US" w:eastAsia="zh-CN"/>
        </w:rPr>
        <w:t>年度预算金额为3550万元。此外，这笔预算调整也没有履行相应审批手续。</w:t>
      </w:r>
      <w:r>
        <w:rPr>
          <w:rFonts w:hint="eastAsia" w:ascii="宋体" w:hAnsi="宋体" w:eastAsia="宋体" w:cs="宋体"/>
          <w:sz w:val="24"/>
          <w:szCs w:val="24"/>
          <w:lang w:val="en-US" w:eastAsia="zh-CN"/>
        </w:rPr>
        <w:t>根据评分标准，扣</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分，“预算编制科学性”</w:t>
      </w:r>
      <w:r>
        <w:rPr>
          <w:rFonts w:hint="eastAsia" w:ascii="宋体" w:hAnsi="宋体" w:eastAsia="宋体" w:cs="宋体"/>
          <w:sz w:val="24"/>
          <w:szCs w:val="24"/>
        </w:rPr>
        <w:t>得</w:t>
      </w:r>
      <w:r>
        <w:rPr>
          <w:rFonts w:hint="eastAsia" w:ascii="宋体" w:hAnsi="宋体" w:cs="宋体"/>
          <w:sz w:val="24"/>
          <w:szCs w:val="24"/>
          <w:lang w:val="en-US" w:eastAsia="zh-CN"/>
        </w:rPr>
        <w:t>0</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资金分配合理性”得</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分（满分</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资金分配合理性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指标用于</w:t>
      </w:r>
      <w:r>
        <w:rPr>
          <w:rFonts w:hint="eastAsia" w:ascii="宋体" w:hAnsi="宋体" w:eastAsia="宋体" w:cs="宋体"/>
          <w:sz w:val="24"/>
          <w:szCs w:val="24"/>
        </w:rPr>
        <w:t>评价</w:t>
      </w:r>
      <w:r>
        <w:rPr>
          <w:rFonts w:hint="eastAsia" w:ascii="宋体" w:hAnsi="宋体" w:cs="宋体"/>
          <w:sz w:val="24"/>
          <w:szCs w:val="24"/>
          <w:lang w:val="en-US" w:eastAsia="zh-CN"/>
        </w:rPr>
        <w:t>项目预算资金分配依据是否充分，资金分配额度是否合理，与项目单位或地方实际是否相适应</w:t>
      </w:r>
      <w:r>
        <w:rPr>
          <w:rFonts w:hint="eastAsia" w:ascii="宋体" w:hAnsi="宋体" w:eastAsia="宋体" w:cs="宋体"/>
          <w:sz w:val="24"/>
          <w:szCs w:val="24"/>
        </w:rPr>
        <w:t>。</w:t>
      </w:r>
      <w:r>
        <w:rPr>
          <w:rFonts w:hint="eastAsia" w:ascii="宋体" w:hAnsi="宋体" w:eastAsia="宋体" w:cs="宋体"/>
          <w:sz w:val="24"/>
          <w:lang w:val="en-US" w:eastAsia="zh-CN"/>
        </w:rPr>
        <w:t>通过调研得知，</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度扶持企业科技基金及扶持企业发展专项基金的资金分配主要依据区政府相关会议纪要精神及有关惠企政策文件，资金分配依据充分，分配额度合理，与项目单位或地方实际相适应</w:t>
      </w:r>
      <w:r>
        <w:rPr>
          <w:rFonts w:hint="eastAsia" w:ascii="宋体" w:hAnsi="宋体" w:cs="宋体"/>
          <w:color w:val="000000"/>
          <w:sz w:val="24"/>
          <w:szCs w:val="24"/>
          <w:lang w:val="en-US" w:eastAsia="zh-CN"/>
        </w:rPr>
        <w:t>。</w:t>
      </w:r>
      <w:r>
        <w:rPr>
          <w:rFonts w:hint="eastAsia" w:ascii="宋体" w:hAnsi="宋体" w:eastAsia="宋体" w:cs="宋体"/>
          <w:sz w:val="24"/>
          <w:szCs w:val="24"/>
          <w:lang w:val="en-US" w:eastAsia="zh-CN"/>
        </w:rPr>
        <w:t>根据评分标准，“资金分配合理性”</w:t>
      </w:r>
      <w:r>
        <w:rPr>
          <w:rFonts w:hint="eastAsia" w:ascii="宋体" w:hAnsi="宋体" w:eastAsia="宋体" w:cs="宋体"/>
          <w:sz w:val="24"/>
          <w:szCs w:val="24"/>
        </w:rPr>
        <w:t>得</w:t>
      </w:r>
      <w:r>
        <w:rPr>
          <w:rFonts w:hint="eastAsia" w:ascii="宋体" w:hAnsi="宋体" w:cs="宋体"/>
          <w:sz w:val="24"/>
          <w:szCs w:val="24"/>
          <w:lang w:val="en-US" w:eastAsia="zh-CN"/>
        </w:rPr>
        <w:t>2</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资金投入</w:t>
      </w:r>
      <w:r>
        <w:rPr>
          <w:rFonts w:hint="eastAsia" w:ascii="宋体" w:hAnsi="宋体" w:eastAsia="宋体" w:cs="宋体"/>
          <w:sz w:val="24"/>
          <w:szCs w:val="24"/>
          <w:lang w:eastAsia="zh-CN"/>
        </w:rPr>
        <w:t>指标合计得</w:t>
      </w:r>
      <w:r>
        <w:rPr>
          <w:rFonts w:hint="eastAsia" w:ascii="宋体" w:hAnsi="宋体" w:cs="宋体"/>
          <w:sz w:val="24"/>
          <w:szCs w:val="24"/>
          <w:lang w:val="en-US" w:eastAsia="zh-CN"/>
        </w:rPr>
        <w:t>2</w:t>
      </w:r>
      <w:r>
        <w:rPr>
          <w:rFonts w:hint="eastAsia" w:ascii="宋体" w:hAnsi="宋体" w:eastAsia="宋体" w:cs="宋体"/>
          <w:sz w:val="24"/>
          <w:szCs w:val="24"/>
          <w:lang w:eastAsia="zh-CN"/>
        </w:rPr>
        <w:t>分。</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最后，决策指标总得分为7分。</w:t>
      </w:r>
    </w:p>
    <w:p>
      <w:pPr>
        <w:pStyle w:val="3"/>
        <w:spacing w:before="0" w:after="0" w:line="360" w:lineRule="auto"/>
        <w:ind w:firstLine="560" w:firstLineChars="200"/>
        <w:rPr>
          <w:rFonts w:hint="eastAsia" w:ascii="方正小标宋_GBK" w:hAnsi="仿宋" w:eastAsia="方正小标宋_GBK" w:cs="黑体"/>
          <w:sz w:val="28"/>
          <w:szCs w:val="28"/>
        </w:rPr>
      </w:pPr>
      <w:bookmarkStart w:id="54" w:name="_Toc145"/>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二</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项目过程情况</w:t>
      </w:r>
      <w:r>
        <w:rPr>
          <w:rFonts w:hint="eastAsia" w:ascii="方正小标宋_GBK" w:hAnsi="仿宋" w:eastAsia="方正小标宋_GBK" w:cs="黑体"/>
          <w:sz w:val="28"/>
          <w:szCs w:val="28"/>
        </w:rPr>
        <w:t>得</w:t>
      </w:r>
      <w:r>
        <w:rPr>
          <w:rFonts w:hint="eastAsia" w:ascii="方正小标宋_GBK" w:hAnsi="仿宋" w:eastAsia="方正小标宋_GBK" w:cs="黑体"/>
          <w:sz w:val="28"/>
          <w:szCs w:val="28"/>
          <w:lang w:val="en-US" w:eastAsia="zh-CN"/>
        </w:rPr>
        <w:t>13.38</w:t>
      </w:r>
      <w:r>
        <w:rPr>
          <w:rFonts w:hint="eastAsia" w:ascii="方正小标宋_GBK" w:hAnsi="仿宋" w:eastAsia="方正小标宋_GBK" w:cs="黑体"/>
          <w:sz w:val="28"/>
          <w:szCs w:val="28"/>
        </w:rPr>
        <w:t>分（共</w:t>
      </w:r>
      <w:r>
        <w:rPr>
          <w:rFonts w:hint="eastAsia" w:ascii="方正小标宋_GBK" w:hAnsi="仿宋" w:eastAsia="方正小标宋_GBK" w:cs="黑体"/>
          <w:sz w:val="28"/>
          <w:szCs w:val="28"/>
          <w:lang w:val="en-US" w:eastAsia="zh-CN"/>
        </w:rPr>
        <w:t>15</w:t>
      </w:r>
      <w:r>
        <w:rPr>
          <w:rFonts w:hint="eastAsia" w:ascii="方正小标宋_GBK" w:hAnsi="仿宋" w:eastAsia="方正小标宋_GBK" w:cs="黑体"/>
          <w:sz w:val="28"/>
          <w:szCs w:val="28"/>
        </w:rPr>
        <w:t>分）</w:t>
      </w:r>
      <w:bookmarkEnd w:id="5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一级指标“</w:t>
      </w:r>
      <w:r>
        <w:rPr>
          <w:rFonts w:hint="eastAsia"/>
          <w:sz w:val="24"/>
          <w:szCs w:val="24"/>
          <w:lang w:val="en-US" w:eastAsia="zh-CN"/>
        </w:rPr>
        <w:t>过程</w:t>
      </w:r>
      <w:r>
        <w:rPr>
          <w:rFonts w:hint="eastAsia"/>
          <w:sz w:val="24"/>
          <w:szCs w:val="24"/>
        </w:rPr>
        <w:t>”下设“</w:t>
      </w:r>
      <w:r>
        <w:rPr>
          <w:rFonts w:hint="eastAsia"/>
          <w:sz w:val="24"/>
          <w:szCs w:val="24"/>
          <w:lang w:val="en-US" w:eastAsia="zh-CN"/>
        </w:rPr>
        <w:t>资金管理</w:t>
      </w:r>
      <w:r>
        <w:rPr>
          <w:rFonts w:hint="eastAsia"/>
          <w:sz w:val="24"/>
          <w:szCs w:val="24"/>
        </w:rPr>
        <w:t>”和“</w:t>
      </w:r>
      <w:r>
        <w:rPr>
          <w:rFonts w:hint="eastAsia"/>
          <w:sz w:val="24"/>
          <w:szCs w:val="24"/>
          <w:lang w:val="en-US" w:eastAsia="zh-CN"/>
        </w:rPr>
        <w:t>组织实施</w:t>
      </w:r>
      <w:r>
        <w:rPr>
          <w:rFonts w:hint="eastAsia"/>
          <w:sz w:val="24"/>
          <w:szCs w:val="24"/>
        </w:rPr>
        <w:t>”</w:t>
      </w:r>
      <w:r>
        <w:rPr>
          <w:rFonts w:hint="eastAsia"/>
          <w:sz w:val="24"/>
          <w:szCs w:val="24"/>
          <w:lang w:val="en-US" w:eastAsia="zh-CN"/>
        </w:rPr>
        <w:t>两</w:t>
      </w:r>
      <w:r>
        <w:rPr>
          <w:rFonts w:hint="eastAsia"/>
          <w:sz w:val="24"/>
          <w:szCs w:val="24"/>
        </w:rPr>
        <w:t>个二级指标。</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cs="宋体"/>
          <w:b/>
          <w:bCs/>
          <w:sz w:val="24"/>
          <w:szCs w:val="24"/>
          <w:lang w:val="en-US" w:eastAsia="zh-CN"/>
        </w:rPr>
        <w:t>资金管理</w:t>
      </w:r>
      <w:r>
        <w:rPr>
          <w:rFonts w:hint="eastAsia" w:ascii="宋体" w:hAnsi="宋体" w:eastAsia="宋体" w:cs="宋体"/>
          <w:b/>
          <w:bCs/>
          <w:sz w:val="24"/>
          <w:szCs w:val="24"/>
        </w:rPr>
        <w:t>得</w:t>
      </w:r>
      <w:r>
        <w:rPr>
          <w:rFonts w:hint="eastAsia" w:ascii="宋体" w:hAnsi="宋体" w:cs="宋体"/>
          <w:b/>
          <w:bCs/>
          <w:sz w:val="24"/>
          <w:szCs w:val="24"/>
          <w:lang w:val="en-US" w:eastAsia="zh-CN"/>
        </w:rPr>
        <w:t>9.38</w:t>
      </w:r>
      <w:r>
        <w:rPr>
          <w:rFonts w:hint="eastAsia" w:ascii="宋体" w:hAnsi="宋体" w:eastAsia="宋体" w:cs="宋体"/>
          <w:b/>
          <w:bCs/>
          <w:sz w:val="24"/>
          <w:szCs w:val="24"/>
        </w:rPr>
        <w:t>分（共</w:t>
      </w:r>
      <w:r>
        <w:rPr>
          <w:rFonts w:hint="eastAsia" w:ascii="宋体" w:hAnsi="宋体" w:cs="宋体"/>
          <w:b/>
          <w:bCs/>
          <w:sz w:val="24"/>
          <w:szCs w:val="24"/>
          <w:lang w:val="en-US" w:eastAsia="zh-CN"/>
        </w:rPr>
        <w:t>10</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资金管理</w:t>
      </w:r>
      <w:r>
        <w:rPr>
          <w:rFonts w:hint="eastAsia" w:ascii="宋体" w:hAnsi="宋体" w:eastAsia="宋体" w:cs="宋体"/>
          <w:sz w:val="24"/>
          <w:szCs w:val="24"/>
        </w:rPr>
        <w:t>”分解为“</w:t>
      </w:r>
      <w:r>
        <w:rPr>
          <w:rFonts w:hint="eastAsia" w:ascii="宋体" w:hAnsi="宋体" w:cs="宋体"/>
          <w:sz w:val="24"/>
          <w:szCs w:val="24"/>
          <w:lang w:val="en-US" w:eastAsia="zh-CN"/>
        </w:rPr>
        <w:t>资金到位率</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预算执行率</w:t>
      </w:r>
      <w:r>
        <w:rPr>
          <w:rFonts w:hint="eastAsia" w:ascii="宋体" w:hAnsi="宋体" w:cs="宋体"/>
          <w:sz w:val="24"/>
          <w:szCs w:val="24"/>
          <w:lang w:eastAsia="zh-CN"/>
        </w:rPr>
        <w:t>”</w:t>
      </w:r>
      <w:r>
        <w:rPr>
          <w:rFonts w:hint="eastAsia" w:ascii="宋体" w:hAnsi="宋体" w:eastAsia="宋体" w:cs="宋体"/>
          <w:sz w:val="24"/>
          <w:szCs w:val="24"/>
        </w:rPr>
        <w:t>和“</w:t>
      </w:r>
      <w:r>
        <w:rPr>
          <w:rFonts w:hint="eastAsia" w:ascii="宋体" w:hAnsi="宋体" w:cs="宋体"/>
          <w:sz w:val="24"/>
          <w:szCs w:val="24"/>
          <w:lang w:val="en-US" w:eastAsia="zh-CN"/>
        </w:rPr>
        <w:t>资金使用合规</w:t>
      </w:r>
      <w:r>
        <w:rPr>
          <w:rFonts w:hint="eastAsia" w:ascii="宋体" w:hAnsi="宋体" w:eastAsia="宋体" w:cs="宋体"/>
          <w:sz w:val="24"/>
          <w:szCs w:val="24"/>
          <w:lang w:val="en-US" w:eastAsia="zh-CN"/>
        </w:rPr>
        <w:t>性</w:t>
      </w:r>
      <w:r>
        <w:rPr>
          <w:rFonts w:hint="eastAsia" w:ascii="宋体" w:hAnsi="宋体" w:eastAsia="宋体" w:cs="宋体"/>
          <w:sz w:val="24"/>
          <w:szCs w:val="24"/>
        </w:rPr>
        <w:t>”</w:t>
      </w:r>
      <w:r>
        <w:rPr>
          <w:rFonts w:hint="eastAsia" w:ascii="宋体" w:hAnsi="宋体" w:cs="宋体"/>
          <w:sz w:val="24"/>
          <w:szCs w:val="24"/>
          <w:lang w:val="en-US" w:eastAsia="zh-CN"/>
        </w:rPr>
        <w:t>三</w:t>
      </w:r>
      <w:r>
        <w:rPr>
          <w:rFonts w:hint="eastAsia" w:ascii="宋体" w:hAnsi="宋体" w:eastAsia="宋体" w:cs="宋体"/>
          <w:sz w:val="24"/>
          <w:szCs w:val="24"/>
        </w:rPr>
        <w:t>个三级指标。</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eastAsia="宋体" w:cs="宋体"/>
          <w:sz w:val="24"/>
          <w:szCs w:val="24"/>
        </w:rPr>
        <w:t>“</w:t>
      </w:r>
      <w:r>
        <w:rPr>
          <w:rFonts w:hint="eastAsia" w:ascii="宋体" w:hAnsi="宋体" w:cs="宋体"/>
          <w:sz w:val="24"/>
          <w:szCs w:val="24"/>
          <w:lang w:val="en-US" w:eastAsia="zh-CN"/>
        </w:rPr>
        <w:t>资金到位率</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分（满分</w:t>
      </w:r>
      <w:r>
        <w:rPr>
          <w:rFonts w:hint="eastAsia" w:ascii="宋体" w:hAnsi="宋体" w:cs="宋体"/>
          <w:sz w:val="24"/>
          <w:szCs w:val="24"/>
          <w:lang w:val="en-US" w:eastAsia="zh-CN"/>
        </w:rPr>
        <w:t>4</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rPr>
        <w:t>资金到位率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指标反映和考核资金落实情况对项目实施的总体保障程度</w:t>
      </w:r>
      <w:r>
        <w:rPr>
          <w:rFonts w:hint="eastAsia" w:ascii="宋体" w:hAnsi="宋体" w:eastAsia="宋体" w:cs="宋体"/>
          <w:sz w:val="24"/>
          <w:szCs w:val="24"/>
        </w:rPr>
        <w:t>，</w:t>
      </w:r>
      <w:r>
        <w:rPr>
          <w:rFonts w:hint="eastAsia" w:ascii="宋体" w:hAnsi="宋体" w:eastAsia="宋体" w:cs="宋体"/>
          <w:sz w:val="24"/>
          <w:szCs w:val="24"/>
          <w:lang w:val="en-US" w:eastAsia="zh-CN"/>
        </w:rPr>
        <w:t>资金到位率=（实际到位资金/预算资金）×100%。</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lang w:val="en-US" w:eastAsia="zh-CN"/>
        </w:rPr>
        <w:t>预算</w:t>
      </w:r>
      <w:r>
        <w:rPr>
          <w:rFonts w:hint="eastAsia" w:ascii="宋体" w:hAnsi="宋体" w:cs="宋体"/>
          <w:sz w:val="24"/>
          <w:szCs w:val="24"/>
          <w:lang w:val="en-US" w:eastAsia="zh-CN"/>
        </w:rPr>
        <w:t>金额</w:t>
      </w:r>
      <w:r>
        <w:rPr>
          <w:rFonts w:hint="eastAsia" w:ascii="宋体" w:hAnsi="宋体" w:eastAsia="宋体" w:cs="宋体"/>
          <w:sz w:val="24"/>
          <w:szCs w:val="24"/>
          <w:lang w:val="en-US" w:eastAsia="zh-CN"/>
        </w:rPr>
        <w:t>为6500万元，实际到位6500万元</w:t>
      </w:r>
      <w:r>
        <w:rPr>
          <w:rFonts w:hint="eastAsia" w:ascii="宋体" w:hAnsi="宋体" w:eastAsia="宋体" w:cs="宋体"/>
          <w:sz w:val="24"/>
          <w:szCs w:val="24"/>
        </w:rPr>
        <w:t>，资金到位率</w:t>
      </w:r>
      <w:r>
        <w:rPr>
          <w:rFonts w:hint="eastAsia" w:ascii="宋体" w:hAnsi="宋体" w:eastAsia="宋体" w:cs="宋体"/>
          <w:sz w:val="24"/>
          <w:szCs w:val="24"/>
          <w:lang w:val="en-US" w:eastAsia="zh-CN"/>
        </w:rPr>
        <w:t>为</w:t>
      </w:r>
      <w:r>
        <w:rPr>
          <w:rFonts w:hint="eastAsia" w:ascii="宋体" w:hAnsi="宋体" w:eastAsia="宋体" w:cs="宋体"/>
          <w:sz w:val="24"/>
          <w:szCs w:val="24"/>
        </w:rPr>
        <w:t>100%。根据评分标准，</w:t>
      </w:r>
      <w:r>
        <w:rPr>
          <w:rFonts w:hint="eastAsia" w:ascii="宋体" w:hAnsi="宋体" w:eastAsia="宋体" w:cs="宋体"/>
          <w:sz w:val="24"/>
          <w:szCs w:val="24"/>
          <w:lang w:eastAsia="zh-CN"/>
        </w:rPr>
        <w:t>“</w:t>
      </w:r>
      <w:r>
        <w:rPr>
          <w:rFonts w:hint="eastAsia" w:ascii="宋体" w:hAnsi="宋体" w:eastAsia="宋体" w:cs="宋体"/>
          <w:sz w:val="24"/>
          <w:szCs w:val="24"/>
        </w:rPr>
        <w:t>资金到位率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得4分。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（2）“预算执行率”得</w:t>
      </w:r>
      <w:r>
        <w:rPr>
          <w:rFonts w:hint="eastAsia" w:ascii="宋体" w:hAnsi="宋体" w:cs="宋体"/>
          <w:sz w:val="24"/>
          <w:szCs w:val="24"/>
          <w:lang w:val="en-US" w:eastAsia="zh-CN"/>
        </w:rPr>
        <w:t>3.88</w:t>
      </w:r>
      <w:r>
        <w:rPr>
          <w:rFonts w:hint="eastAsia" w:ascii="宋体" w:hAnsi="宋体" w:eastAsia="宋体" w:cs="宋体"/>
          <w:sz w:val="24"/>
          <w:szCs w:val="24"/>
        </w:rPr>
        <w:t>分（满分</w:t>
      </w:r>
      <w:r>
        <w:rPr>
          <w:rFonts w:hint="eastAsia" w:ascii="宋体" w:hAnsi="宋体" w:cs="宋体"/>
          <w:sz w:val="24"/>
          <w:szCs w:val="24"/>
          <w:lang w:val="en-US" w:eastAsia="zh-CN"/>
        </w:rPr>
        <w:t>4</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“预算执行率”指标评价项目预算资金是否按照计划执行，用以反映或考核项目预算执行情况</w:t>
      </w:r>
      <w:r>
        <w:rPr>
          <w:rFonts w:hint="eastAsia" w:ascii="宋体" w:hAnsi="宋体" w:cs="宋体"/>
          <w:sz w:val="24"/>
          <w:szCs w:val="24"/>
          <w:lang w:eastAsia="zh-CN"/>
        </w:rPr>
        <w:t>，</w:t>
      </w:r>
      <w:r>
        <w:rPr>
          <w:rFonts w:hint="eastAsia" w:ascii="宋体" w:hAnsi="宋体" w:cs="宋体"/>
          <w:sz w:val="24"/>
          <w:szCs w:val="24"/>
          <w:lang w:val="en-US" w:eastAsia="zh-CN"/>
        </w:rPr>
        <w:t>预算执行率=（实际支出资金/实际到位资金）×100%。</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lang w:val="en-US" w:eastAsia="zh-CN"/>
        </w:rPr>
        <w:t>实际到位</w:t>
      </w:r>
      <w:r>
        <w:rPr>
          <w:rFonts w:hint="eastAsia" w:ascii="宋体" w:hAnsi="宋体" w:cs="宋体"/>
          <w:sz w:val="24"/>
          <w:szCs w:val="24"/>
          <w:lang w:val="en-US" w:eastAsia="zh-CN"/>
        </w:rPr>
        <w:t>资金</w:t>
      </w:r>
      <w:r>
        <w:rPr>
          <w:rFonts w:hint="eastAsia" w:ascii="宋体" w:hAnsi="宋体" w:eastAsia="宋体" w:cs="宋体"/>
          <w:sz w:val="24"/>
          <w:szCs w:val="24"/>
          <w:lang w:val="en-US" w:eastAsia="zh-CN"/>
        </w:rPr>
        <w:t>6500万元</w:t>
      </w:r>
      <w:r>
        <w:rPr>
          <w:rFonts w:hint="eastAsia" w:ascii="宋体" w:hAnsi="宋体" w:eastAsia="宋体" w:cs="宋体"/>
          <w:sz w:val="24"/>
          <w:szCs w:val="24"/>
        </w:rPr>
        <w:t>，</w:t>
      </w:r>
      <w:r>
        <w:rPr>
          <w:rFonts w:hint="eastAsia" w:ascii="宋体" w:hAnsi="宋体" w:cs="宋体"/>
          <w:sz w:val="24"/>
          <w:szCs w:val="24"/>
          <w:lang w:val="en-US" w:eastAsia="zh-CN"/>
        </w:rPr>
        <w:t>实际支出资金6310.895万元，预算执行率为97.09%</w:t>
      </w:r>
      <w:r>
        <w:rPr>
          <w:rFonts w:hint="eastAsia" w:ascii="宋体" w:hAnsi="宋体" w:eastAsia="宋体" w:cs="宋体"/>
          <w:sz w:val="24"/>
          <w:szCs w:val="24"/>
        </w:rPr>
        <w:t>。根据评分标准，</w:t>
      </w:r>
      <w:r>
        <w:rPr>
          <w:rFonts w:hint="eastAsia" w:ascii="宋体" w:hAnsi="宋体" w:eastAsia="宋体" w:cs="宋体"/>
          <w:sz w:val="24"/>
          <w:szCs w:val="24"/>
          <w:lang w:eastAsia="zh-CN"/>
        </w:rPr>
        <w:t>“</w:t>
      </w:r>
      <w:r>
        <w:rPr>
          <w:rFonts w:hint="eastAsia" w:ascii="宋体" w:hAnsi="宋体" w:cs="宋体"/>
          <w:sz w:val="24"/>
          <w:szCs w:val="24"/>
          <w:lang w:val="en-US" w:eastAsia="zh-CN"/>
        </w:rPr>
        <w:t>预算执行</w:t>
      </w:r>
      <w:r>
        <w:rPr>
          <w:rFonts w:hint="eastAsia" w:ascii="宋体" w:hAnsi="宋体" w:eastAsia="宋体" w:cs="宋体"/>
          <w:sz w:val="24"/>
          <w:szCs w:val="24"/>
        </w:rPr>
        <w:t>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得</w:t>
      </w:r>
      <w:r>
        <w:rPr>
          <w:rFonts w:hint="eastAsia" w:ascii="宋体" w:hAnsi="宋体" w:cs="宋体"/>
          <w:sz w:val="24"/>
          <w:szCs w:val="24"/>
          <w:lang w:val="en-US" w:eastAsia="zh-CN"/>
        </w:rPr>
        <w:t>3.88（97.09%×4）</w:t>
      </w:r>
      <w:r>
        <w:rPr>
          <w:rFonts w:hint="eastAsia" w:ascii="宋体" w:hAnsi="宋体" w:eastAsia="宋体" w:cs="宋体"/>
          <w:sz w:val="24"/>
          <w:szCs w:val="24"/>
          <w:lang w:val="en-US" w:eastAsia="zh-CN"/>
        </w:rPr>
        <w:t>分。</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（3）“资金使用合规性”得1.5分（满分2分）</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资金使用合规性”指标用于评价项目资金使用是否符合国家财经法规和财务管理制度以及有关专项资金管理办法的规定，资金的拨付是否有完整的审批程序和手续，是否符合项目预算批复或合同规定的用途，是否存在截留、挤占、挪用、虚列支出等情况。根据绩效评价工作组的调研，</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的使用符合相关法规和制度规定，资金的拨付有完整的审批程序和手续，没发现截留、挤占、挪用、虚列支出等情况，但个别扶持项目不符合专项资金设立的目的，比如划拨丰泽区城市安全信息系统项目2019年度监控点光纤链路租金，该笔资金</w:t>
      </w:r>
      <w:bookmarkStart w:id="102" w:name="_GoBack"/>
      <w:bookmarkEnd w:id="102"/>
      <w:r>
        <w:rPr>
          <w:rFonts w:hint="eastAsia" w:ascii="宋体" w:hAnsi="宋体" w:cs="宋体"/>
          <w:sz w:val="24"/>
          <w:szCs w:val="24"/>
          <w:lang w:val="en-US" w:eastAsia="zh-CN"/>
        </w:rPr>
        <w:t>主要用于支付全区1812条前端监控点光纤链路租金，与科技三项费用设立的目的不太匹配。根据评分标准，扣0.5分，“资金使用合规性”得1.5分。</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资金管理</w:t>
      </w:r>
      <w:r>
        <w:rPr>
          <w:rFonts w:hint="eastAsia" w:ascii="宋体" w:hAnsi="宋体" w:eastAsia="宋体" w:cs="宋体"/>
          <w:sz w:val="24"/>
          <w:szCs w:val="24"/>
          <w:lang w:eastAsia="zh-CN"/>
        </w:rPr>
        <w:t>指标合计得</w:t>
      </w:r>
      <w:r>
        <w:rPr>
          <w:rFonts w:hint="eastAsia" w:ascii="宋体" w:hAnsi="宋体" w:cs="宋体"/>
          <w:sz w:val="24"/>
          <w:szCs w:val="24"/>
          <w:lang w:val="en-US" w:eastAsia="zh-CN"/>
        </w:rPr>
        <w:t>9.38</w:t>
      </w:r>
      <w:r>
        <w:rPr>
          <w:rFonts w:hint="eastAsia" w:ascii="宋体" w:hAnsi="宋体" w:eastAsia="宋体" w:cs="宋体"/>
          <w:sz w:val="24"/>
          <w:szCs w:val="24"/>
          <w:lang w:eastAsia="zh-CN"/>
        </w:rPr>
        <w:t>分。</w:t>
      </w:r>
    </w:p>
    <w:p>
      <w:pPr>
        <w:spacing w:line="360" w:lineRule="auto"/>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2</w:t>
      </w:r>
      <w:r>
        <w:rPr>
          <w:rFonts w:hint="eastAsia" w:ascii="宋体" w:hAnsi="宋体" w:eastAsia="宋体" w:cs="宋体"/>
          <w:b/>
          <w:bCs/>
          <w:sz w:val="24"/>
          <w:szCs w:val="24"/>
        </w:rPr>
        <w:t>.</w:t>
      </w:r>
      <w:r>
        <w:rPr>
          <w:rFonts w:hint="eastAsia" w:ascii="宋体" w:hAnsi="宋体" w:cs="宋体"/>
          <w:b/>
          <w:bCs/>
          <w:sz w:val="24"/>
          <w:szCs w:val="24"/>
          <w:lang w:val="en-US" w:eastAsia="zh-CN"/>
        </w:rPr>
        <w:t>组织实施</w:t>
      </w:r>
      <w:r>
        <w:rPr>
          <w:rFonts w:hint="eastAsia" w:ascii="宋体" w:hAnsi="宋体" w:eastAsia="宋体" w:cs="宋体"/>
          <w:b/>
          <w:bCs/>
          <w:sz w:val="24"/>
          <w:szCs w:val="24"/>
        </w:rPr>
        <w:t>得</w:t>
      </w:r>
      <w:r>
        <w:rPr>
          <w:rFonts w:hint="eastAsia" w:ascii="宋体" w:hAnsi="宋体" w:cs="宋体"/>
          <w:b/>
          <w:bCs/>
          <w:sz w:val="24"/>
          <w:szCs w:val="24"/>
          <w:lang w:val="en-US" w:eastAsia="zh-CN"/>
        </w:rPr>
        <w:t>4</w:t>
      </w:r>
      <w:r>
        <w:rPr>
          <w:rFonts w:hint="eastAsia" w:ascii="宋体" w:hAnsi="宋体" w:eastAsia="宋体" w:cs="宋体"/>
          <w:b/>
          <w:bCs/>
          <w:sz w:val="24"/>
          <w:szCs w:val="24"/>
        </w:rPr>
        <w:t>分（共</w:t>
      </w:r>
      <w:r>
        <w:rPr>
          <w:rFonts w:hint="eastAsia" w:ascii="宋体" w:hAnsi="宋体" w:cs="宋体"/>
          <w:b/>
          <w:bCs/>
          <w:sz w:val="24"/>
          <w:szCs w:val="24"/>
          <w:lang w:val="en-US" w:eastAsia="zh-CN"/>
        </w:rPr>
        <w:t>5</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组织实施</w:t>
      </w:r>
      <w:r>
        <w:rPr>
          <w:rFonts w:hint="eastAsia" w:ascii="宋体" w:hAnsi="宋体" w:eastAsia="宋体" w:cs="宋体"/>
          <w:sz w:val="24"/>
          <w:szCs w:val="24"/>
        </w:rPr>
        <w:t>”分解为“</w:t>
      </w:r>
      <w:r>
        <w:rPr>
          <w:rFonts w:hint="eastAsia" w:ascii="宋体" w:hAnsi="宋体" w:eastAsia="宋体" w:cs="宋体"/>
          <w:sz w:val="24"/>
          <w:szCs w:val="24"/>
          <w:lang w:val="en-US" w:eastAsia="zh-CN"/>
        </w:rPr>
        <w:t>管理制度健全性</w:t>
      </w:r>
      <w:r>
        <w:rPr>
          <w:rFonts w:hint="eastAsia" w:ascii="宋体" w:hAnsi="宋体" w:eastAsia="宋体" w:cs="宋体"/>
          <w:sz w:val="24"/>
          <w:szCs w:val="24"/>
        </w:rPr>
        <w:t>”和“</w:t>
      </w:r>
      <w:r>
        <w:rPr>
          <w:rFonts w:hint="eastAsia" w:ascii="宋体" w:hAnsi="宋体" w:eastAsia="宋体" w:cs="宋体"/>
          <w:sz w:val="24"/>
          <w:szCs w:val="24"/>
          <w:lang w:val="en-US" w:eastAsia="zh-CN"/>
        </w:rPr>
        <w:t>制度执行有效性</w:t>
      </w:r>
      <w:r>
        <w:rPr>
          <w:rFonts w:hint="eastAsia" w:ascii="宋体" w:hAnsi="宋体" w:eastAsia="宋体" w:cs="宋体"/>
          <w:sz w:val="24"/>
          <w:szCs w:val="24"/>
        </w:rPr>
        <w:t>”</w:t>
      </w:r>
      <w:r>
        <w:rPr>
          <w:rFonts w:hint="eastAsia" w:ascii="宋体" w:hAnsi="宋体" w:cs="宋体"/>
          <w:sz w:val="24"/>
          <w:szCs w:val="24"/>
          <w:lang w:val="en-US" w:eastAsia="zh-CN"/>
        </w:rPr>
        <w:t>两</w:t>
      </w:r>
      <w:r>
        <w:rPr>
          <w:rFonts w:hint="eastAsia" w:ascii="宋体" w:hAnsi="宋体" w:eastAsia="宋体" w:cs="宋体"/>
          <w:sz w:val="24"/>
          <w:szCs w:val="24"/>
        </w:rPr>
        <w:t>个三级指标。</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sz w:val="24"/>
          <w:szCs w:val="24"/>
          <w:lang w:val="en-US" w:eastAsia="zh-CN"/>
        </w:rPr>
        <w:t>管理制度健全性</w:t>
      </w:r>
      <w:r>
        <w:rPr>
          <w:rFonts w:hint="eastAsia" w:ascii="宋体" w:hAnsi="宋体" w:eastAsia="宋体" w:cs="宋体"/>
          <w:sz w:val="24"/>
          <w:szCs w:val="24"/>
        </w:rPr>
        <w:t>”得</w:t>
      </w:r>
      <w:r>
        <w:rPr>
          <w:rFonts w:hint="eastAsia" w:ascii="宋体" w:hAnsi="宋体" w:cs="宋体"/>
          <w:sz w:val="24"/>
          <w:szCs w:val="24"/>
          <w:lang w:val="en-US" w:eastAsia="zh-CN"/>
        </w:rPr>
        <w:t>1</w:t>
      </w:r>
      <w:r>
        <w:rPr>
          <w:rFonts w:hint="eastAsia" w:ascii="宋体" w:hAnsi="宋体" w:eastAsia="宋体" w:cs="宋体"/>
          <w:sz w:val="24"/>
          <w:szCs w:val="24"/>
        </w:rPr>
        <w:t>分（满分</w:t>
      </w:r>
      <w:r>
        <w:rPr>
          <w:rFonts w:hint="eastAsia" w:ascii="宋体" w:hAnsi="宋体" w:cs="宋体"/>
          <w:sz w:val="24"/>
          <w:szCs w:val="24"/>
          <w:lang w:val="en-US" w:eastAsia="zh-CN"/>
        </w:rPr>
        <w:t>2</w:t>
      </w:r>
      <w:r>
        <w:rPr>
          <w:rFonts w:hint="eastAsia" w:ascii="宋体" w:hAnsi="宋体" w:eastAsia="宋体" w:cs="宋体"/>
          <w:sz w:val="24"/>
          <w:szCs w:val="24"/>
        </w:rPr>
        <w:t>分）</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管理制度健全性</w:t>
      </w:r>
      <w:r>
        <w:rPr>
          <w:rFonts w:hint="eastAsia" w:ascii="宋体" w:hAnsi="宋体" w:eastAsia="宋体" w:cs="宋体"/>
          <w:sz w:val="24"/>
          <w:szCs w:val="24"/>
        </w:rPr>
        <w:t>”</w:t>
      </w:r>
      <w:r>
        <w:rPr>
          <w:rFonts w:hint="eastAsia" w:ascii="宋体" w:hAnsi="宋体" w:cs="宋体"/>
          <w:sz w:val="24"/>
          <w:szCs w:val="24"/>
          <w:lang w:val="en-US" w:eastAsia="zh-CN"/>
        </w:rPr>
        <w:t>指标用于评价项目</w:t>
      </w:r>
      <w:r>
        <w:rPr>
          <w:rFonts w:hint="eastAsia" w:ascii="宋体" w:hAnsi="宋体" w:eastAsia="宋体" w:cs="宋体"/>
          <w:sz w:val="24"/>
          <w:szCs w:val="24"/>
          <w:lang w:val="en-US" w:eastAsia="zh-CN"/>
        </w:rPr>
        <w:t>是否己制定或具有相应的财务和业务管理制度</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财务和业务管理制度是否合法、合规、完整。</w:t>
      </w:r>
      <w:r>
        <w:rPr>
          <w:rFonts w:hint="eastAsia" w:ascii="宋体" w:hAnsi="宋体" w:cs="宋体"/>
          <w:sz w:val="24"/>
          <w:szCs w:val="24"/>
          <w:lang w:val="en-US" w:eastAsia="zh-CN"/>
        </w:rPr>
        <w:t>根据绩效评价工作组的调研，</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虽没有制定专门的财务和业务管理制度，但专项资金扶持的项目要么制定了相应的管理制度，如《丰泽区科技计划项目实施意见》《华侨大学（丰泽）创新创业园建设暂行规定（试行）》《北峰数控一代智能制造装备产业园运行管理方案（试行）》《关于印发“知识产权护航计划”（2019年修订）的通知》《关于加快产业转型升级 推进民营企业“二次创业”的实施意见》《关于落实人才“港湾计划”促进人才优先发展的若干意见（试行）》《丰泽区实施科技领航计划的若干措施》（2019年修订）等，要么根据有关会议纪要精神拨付。根据评分标准，酌情扣1分，“</w:t>
      </w:r>
      <w:r>
        <w:rPr>
          <w:rFonts w:hint="eastAsia" w:ascii="宋体" w:hAnsi="宋体" w:eastAsia="宋体" w:cs="宋体"/>
          <w:sz w:val="24"/>
          <w:szCs w:val="24"/>
          <w:lang w:val="en-US" w:eastAsia="zh-CN"/>
        </w:rPr>
        <w:t>管理制度健全性</w:t>
      </w:r>
      <w:r>
        <w:rPr>
          <w:rFonts w:hint="eastAsia" w:ascii="宋体" w:hAnsi="宋体" w:cs="宋体"/>
          <w:sz w:val="24"/>
          <w:szCs w:val="24"/>
          <w:lang w:val="en-US" w:eastAsia="zh-CN"/>
        </w:rPr>
        <w:t>”得1分。</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制度</w:t>
      </w:r>
      <w:r>
        <w:rPr>
          <w:rFonts w:hint="eastAsia" w:ascii="宋体" w:hAnsi="宋体" w:cs="宋体"/>
          <w:sz w:val="24"/>
          <w:szCs w:val="24"/>
          <w:lang w:val="en-US" w:eastAsia="zh-CN"/>
        </w:rPr>
        <w:t>执行有效性</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制度</w:t>
      </w:r>
      <w:r>
        <w:rPr>
          <w:rFonts w:hint="eastAsia" w:ascii="宋体" w:hAnsi="宋体" w:cs="宋体"/>
          <w:sz w:val="24"/>
          <w:szCs w:val="24"/>
          <w:lang w:val="en-US" w:eastAsia="zh-CN"/>
        </w:rPr>
        <w:t>执行有效性</w:t>
      </w:r>
      <w:r>
        <w:rPr>
          <w:rFonts w:hint="eastAsia" w:ascii="宋体" w:hAnsi="宋体" w:eastAsia="宋体" w:cs="宋体"/>
          <w:sz w:val="24"/>
          <w:szCs w:val="24"/>
        </w:rPr>
        <w:t>”</w:t>
      </w:r>
      <w:r>
        <w:rPr>
          <w:rFonts w:hint="eastAsia" w:ascii="宋体" w:hAnsi="宋体" w:cs="宋体"/>
          <w:sz w:val="24"/>
          <w:szCs w:val="24"/>
          <w:lang w:val="en-US" w:eastAsia="zh-CN"/>
        </w:rPr>
        <w:t>指标用于评价项目是否遵守相关法律法规和相关管理规定，项目调整及支出调整手续是否完备，项目合同书、验收报告、技术鉴定等资料是否齐全并及时归档，项目实施的人员条件、场地设备、信息支撑等是否落实到位。根据绩效评价工作组的调研，</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遵守相关法律法规和相关管理规定，项目调整及支出调整手续完备，项目合同书、验收报告、技术鉴定等资料齐全并及时归档，项目实施的人员条件、场地设备、信息支撑落实到位。根据评分标准，“</w:t>
      </w:r>
      <w:r>
        <w:rPr>
          <w:rFonts w:hint="eastAsia" w:ascii="宋体" w:hAnsi="宋体" w:eastAsia="宋体" w:cs="宋体"/>
          <w:sz w:val="24"/>
          <w:szCs w:val="24"/>
          <w:lang w:val="en-US" w:eastAsia="zh-CN"/>
        </w:rPr>
        <w:t>制度</w:t>
      </w:r>
      <w:r>
        <w:rPr>
          <w:rFonts w:hint="eastAsia" w:ascii="宋体" w:hAnsi="宋体" w:cs="宋体"/>
          <w:sz w:val="24"/>
          <w:szCs w:val="24"/>
          <w:lang w:val="en-US" w:eastAsia="zh-CN"/>
        </w:rPr>
        <w:t>执行有效性”得3分。</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组织实施</w:t>
      </w:r>
      <w:r>
        <w:rPr>
          <w:rFonts w:hint="eastAsia" w:ascii="宋体" w:hAnsi="宋体" w:eastAsia="宋体" w:cs="宋体"/>
          <w:sz w:val="24"/>
          <w:szCs w:val="24"/>
          <w:lang w:eastAsia="zh-CN"/>
        </w:rPr>
        <w:t>指标合计得</w:t>
      </w:r>
      <w:r>
        <w:rPr>
          <w:rFonts w:hint="eastAsia" w:ascii="宋体" w:hAnsi="宋体" w:cs="宋体"/>
          <w:sz w:val="24"/>
          <w:szCs w:val="24"/>
          <w:lang w:val="en-US" w:eastAsia="zh-CN"/>
        </w:rPr>
        <w:t>4</w:t>
      </w:r>
      <w:r>
        <w:rPr>
          <w:rFonts w:hint="eastAsia" w:ascii="宋体" w:hAnsi="宋体" w:eastAsia="宋体" w:cs="宋体"/>
          <w:sz w:val="24"/>
          <w:szCs w:val="24"/>
          <w:lang w:eastAsia="zh-CN"/>
        </w:rPr>
        <w:t>分。</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最后，过程指标总得分为13.38分。</w:t>
      </w:r>
    </w:p>
    <w:p>
      <w:pPr>
        <w:pStyle w:val="3"/>
        <w:spacing w:before="0" w:after="0" w:line="360" w:lineRule="auto"/>
        <w:ind w:firstLine="560" w:firstLineChars="200"/>
        <w:rPr>
          <w:rFonts w:hint="eastAsia" w:ascii="方正小标宋_GBK" w:hAnsi="仿宋" w:eastAsia="方正小标宋_GBK" w:cs="黑体"/>
          <w:sz w:val="28"/>
          <w:szCs w:val="28"/>
        </w:rPr>
      </w:pPr>
      <w:bookmarkStart w:id="55" w:name="_Toc15952"/>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三</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项目产出情况</w:t>
      </w:r>
      <w:r>
        <w:rPr>
          <w:rFonts w:hint="eastAsia" w:ascii="方正小标宋_GBK" w:hAnsi="仿宋" w:eastAsia="方正小标宋_GBK" w:cs="黑体"/>
          <w:sz w:val="28"/>
          <w:szCs w:val="28"/>
        </w:rPr>
        <w:t>得</w:t>
      </w:r>
      <w:r>
        <w:rPr>
          <w:rFonts w:hint="eastAsia" w:ascii="方正小标宋_GBK" w:hAnsi="仿宋" w:eastAsia="方正小标宋_GBK" w:cs="黑体"/>
          <w:sz w:val="28"/>
          <w:szCs w:val="28"/>
          <w:lang w:val="en-US" w:eastAsia="zh-CN"/>
        </w:rPr>
        <w:t>36</w:t>
      </w:r>
      <w:r>
        <w:rPr>
          <w:rFonts w:hint="eastAsia" w:ascii="方正小标宋_GBK" w:hAnsi="仿宋" w:eastAsia="方正小标宋_GBK" w:cs="黑体"/>
          <w:sz w:val="28"/>
          <w:szCs w:val="28"/>
        </w:rPr>
        <w:t>分（共</w:t>
      </w:r>
      <w:r>
        <w:rPr>
          <w:rFonts w:hint="eastAsia" w:ascii="方正小标宋_GBK" w:hAnsi="仿宋" w:eastAsia="方正小标宋_GBK" w:cs="黑体"/>
          <w:sz w:val="28"/>
          <w:szCs w:val="28"/>
          <w:lang w:val="en-US" w:eastAsia="zh-CN"/>
        </w:rPr>
        <w:t>40</w:t>
      </w:r>
      <w:r>
        <w:rPr>
          <w:rFonts w:hint="eastAsia" w:ascii="方正小标宋_GBK" w:hAnsi="仿宋" w:eastAsia="方正小标宋_GBK" w:cs="黑体"/>
          <w:sz w:val="28"/>
          <w:szCs w:val="28"/>
        </w:rPr>
        <w:t>分）</w:t>
      </w:r>
      <w:bookmarkEnd w:id="55"/>
    </w:p>
    <w:bookmarkEnd w:id="46"/>
    <w:bookmarkEnd w:id="47"/>
    <w:bookmarkEnd w:id="48"/>
    <w:bookmarkEnd w:id="49"/>
    <w:bookmarkEnd w:id="50"/>
    <w:bookmarkEnd w:id="51"/>
    <w:bookmarkEnd w:id="52"/>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一级指标“产出”下设“产出数量”“产出质量”“产出时效”和“产出成本”四个二级指标。</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1.产出数量得1</w:t>
      </w:r>
      <w:r>
        <w:rPr>
          <w:rFonts w:hint="eastAsia" w:ascii="宋体" w:hAnsi="宋体" w:cs="宋体"/>
          <w:b/>
          <w:bCs/>
          <w:sz w:val="24"/>
          <w:szCs w:val="24"/>
          <w:lang w:val="en-US" w:eastAsia="zh-CN"/>
        </w:rPr>
        <w:t>7</w:t>
      </w:r>
      <w:r>
        <w:rPr>
          <w:rFonts w:hint="eastAsia" w:ascii="宋体" w:hAnsi="宋体" w:eastAsia="宋体" w:cs="宋体"/>
          <w:b/>
          <w:bCs/>
          <w:sz w:val="24"/>
          <w:szCs w:val="24"/>
        </w:rPr>
        <w:t>分（共</w:t>
      </w:r>
      <w:r>
        <w:rPr>
          <w:rFonts w:hint="eastAsia" w:ascii="宋体" w:hAnsi="宋体" w:cs="宋体"/>
          <w:b/>
          <w:bCs/>
          <w:sz w:val="24"/>
          <w:szCs w:val="24"/>
          <w:lang w:val="en-US" w:eastAsia="zh-CN"/>
        </w:rPr>
        <w:t>20</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“产出数量”分解为“</w:t>
      </w:r>
      <w:r>
        <w:rPr>
          <w:rFonts w:hint="eastAsia" w:ascii="宋体" w:hAnsi="宋体" w:eastAsia="宋体" w:cs="宋体"/>
          <w:sz w:val="24"/>
          <w:szCs w:val="24"/>
          <w:lang w:val="en-US" w:eastAsia="zh-CN"/>
        </w:rPr>
        <w:t>园区入驻率</w:t>
      </w:r>
      <w:r>
        <w:rPr>
          <w:rFonts w:hint="eastAsia" w:ascii="宋体" w:hAnsi="宋体" w:eastAsia="宋体" w:cs="宋体"/>
          <w:sz w:val="24"/>
          <w:szCs w:val="24"/>
        </w:rPr>
        <w:t>”“</w:t>
      </w:r>
      <w:r>
        <w:rPr>
          <w:rFonts w:hint="eastAsia" w:ascii="宋体" w:hAnsi="宋体" w:eastAsia="宋体" w:cs="宋体"/>
          <w:sz w:val="24"/>
          <w:szCs w:val="24"/>
          <w:lang w:val="en-US" w:eastAsia="zh-CN"/>
        </w:rPr>
        <w:t>高新技术企业和科技小巨人领军企业数</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孵化器和众创空间数</w:t>
      </w:r>
      <w:r>
        <w:rPr>
          <w:rFonts w:hint="eastAsia" w:ascii="宋体" w:hAnsi="宋体" w:cs="宋体"/>
          <w:sz w:val="24"/>
          <w:szCs w:val="24"/>
          <w:lang w:eastAsia="zh-CN"/>
        </w:rPr>
        <w:t>”“</w:t>
      </w:r>
      <w:r>
        <w:rPr>
          <w:rFonts w:hint="eastAsia" w:ascii="宋体" w:hAnsi="宋体" w:cs="宋体"/>
          <w:sz w:val="24"/>
          <w:szCs w:val="24"/>
          <w:lang w:val="en-US" w:eastAsia="zh-CN"/>
        </w:rPr>
        <w:t>科技创新平台数</w:t>
      </w:r>
      <w:r>
        <w:rPr>
          <w:rFonts w:hint="eastAsia" w:ascii="宋体" w:hAnsi="宋体" w:cs="宋体"/>
          <w:sz w:val="24"/>
          <w:szCs w:val="24"/>
          <w:lang w:eastAsia="zh-CN"/>
        </w:rPr>
        <w:t>”“</w:t>
      </w:r>
      <w:r>
        <w:rPr>
          <w:rFonts w:hint="eastAsia" w:ascii="宋体" w:hAnsi="宋体" w:cs="宋体"/>
          <w:sz w:val="24"/>
          <w:szCs w:val="24"/>
          <w:lang w:val="en-US" w:eastAsia="zh-CN"/>
        </w:rPr>
        <w:t>专利授权数</w:t>
      </w:r>
      <w:r>
        <w:rPr>
          <w:rFonts w:hint="eastAsia" w:ascii="宋体" w:hAnsi="宋体" w:cs="宋体"/>
          <w:sz w:val="24"/>
          <w:szCs w:val="24"/>
          <w:lang w:eastAsia="zh-CN"/>
        </w:rPr>
        <w:t>”</w:t>
      </w:r>
      <w:r>
        <w:rPr>
          <w:rFonts w:hint="eastAsia" w:ascii="宋体" w:hAnsi="宋体" w:eastAsia="宋体" w:cs="宋体"/>
          <w:sz w:val="24"/>
          <w:szCs w:val="24"/>
        </w:rPr>
        <w:t>和“</w:t>
      </w:r>
      <w:r>
        <w:rPr>
          <w:rFonts w:hint="eastAsia" w:ascii="宋体" w:hAnsi="宋体" w:eastAsia="宋体" w:cs="宋体"/>
          <w:sz w:val="24"/>
          <w:szCs w:val="24"/>
          <w:lang w:val="en-US" w:eastAsia="zh-CN"/>
        </w:rPr>
        <w:t>泉州南京大学环保产业研究院科技成果</w:t>
      </w:r>
      <w:r>
        <w:rPr>
          <w:rFonts w:hint="eastAsia" w:ascii="宋体" w:hAnsi="宋体" w:eastAsia="宋体" w:cs="宋体"/>
          <w:sz w:val="24"/>
          <w:szCs w:val="24"/>
        </w:rPr>
        <w:t>”</w:t>
      </w:r>
      <w:r>
        <w:rPr>
          <w:rFonts w:hint="eastAsia" w:ascii="宋体" w:hAnsi="宋体" w:cs="宋体"/>
          <w:sz w:val="24"/>
          <w:szCs w:val="24"/>
          <w:lang w:val="en-US" w:eastAsia="zh-CN"/>
        </w:rPr>
        <w:t>六</w:t>
      </w:r>
      <w:r>
        <w:rPr>
          <w:rFonts w:hint="eastAsia" w:ascii="宋体" w:hAnsi="宋体" w:eastAsia="宋体" w:cs="宋体"/>
          <w:sz w:val="24"/>
          <w:szCs w:val="24"/>
        </w:rPr>
        <w:t>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园区入驻率</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4</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园区入驻率</w:t>
      </w:r>
      <w:r>
        <w:rPr>
          <w:rFonts w:hint="eastAsia" w:ascii="宋体" w:hAnsi="宋体" w:eastAsia="宋体" w:cs="宋体"/>
          <w:sz w:val="24"/>
          <w:szCs w:val="24"/>
        </w:rPr>
        <w:t>”指标用于评价</w:t>
      </w:r>
      <w:r>
        <w:rPr>
          <w:rFonts w:hint="eastAsia" w:ascii="宋体" w:hAnsi="宋体" w:cs="宋体"/>
          <w:sz w:val="24"/>
          <w:szCs w:val="24"/>
          <w:lang w:val="en-US" w:eastAsia="zh-CN"/>
        </w:rPr>
        <w:t>泉州市丰泽区华创园和北峰数控园区企业的入驻情况</w:t>
      </w:r>
      <w:r>
        <w:rPr>
          <w:rFonts w:hint="eastAsia" w:ascii="宋体" w:hAnsi="宋体" w:eastAsia="宋体" w:cs="宋体"/>
          <w:sz w:val="24"/>
          <w:szCs w:val="24"/>
        </w:rPr>
        <w:t>。根据</w:t>
      </w:r>
      <w:r>
        <w:rPr>
          <w:rFonts w:hint="eastAsia" w:ascii="宋体" w:hAnsi="宋体" w:cs="宋体"/>
          <w:sz w:val="24"/>
          <w:szCs w:val="24"/>
          <w:lang w:val="en-US" w:eastAsia="zh-CN"/>
        </w:rPr>
        <w:t>这两个产业园区提供的数据资料，2019年华创园入驻企业149家，入驻率为94%；北峰数控园区入驻企业6家，入驻率为28%，与2018年度持平</w:t>
      </w:r>
      <w:r>
        <w:rPr>
          <w:rFonts w:hint="eastAsia" w:ascii="宋体" w:hAnsi="宋体" w:eastAsia="宋体" w:cs="宋体"/>
          <w:sz w:val="24"/>
          <w:szCs w:val="24"/>
        </w:rPr>
        <w:t>。根据评分标准，</w:t>
      </w:r>
      <w:r>
        <w:rPr>
          <w:rFonts w:hint="eastAsia" w:ascii="宋体" w:hAnsi="宋体" w:cs="宋体"/>
          <w:sz w:val="24"/>
          <w:szCs w:val="24"/>
          <w:lang w:val="en-US" w:eastAsia="zh-CN"/>
        </w:rPr>
        <w:t>华创园入驻率得2分，北峰数控园区入驻率得1分，最后，</w:t>
      </w:r>
      <w:r>
        <w:rPr>
          <w:rFonts w:hint="eastAsia" w:ascii="宋体" w:hAnsi="宋体" w:eastAsia="宋体" w:cs="宋体"/>
          <w:sz w:val="24"/>
          <w:szCs w:val="24"/>
        </w:rPr>
        <w:t>“</w:t>
      </w:r>
      <w:r>
        <w:rPr>
          <w:rFonts w:hint="eastAsia" w:ascii="宋体" w:hAnsi="宋体" w:eastAsia="宋体" w:cs="宋体"/>
          <w:sz w:val="24"/>
          <w:szCs w:val="24"/>
          <w:lang w:val="en-US" w:eastAsia="zh-CN"/>
        </w:rPr>
        <w:t>园区入驻率</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高新技术企业和科技小巨人领军企业数</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分（满分</w:t>
      </w:r>
      <w:r>
        <w:rPr>
          <w:rFonts w:hint="eastAsia" w:ascii="宋体" w:hAnsi="宋体" w:cs="宋体"/>
          <w:sz w:val="24"/>
          <w:szCs w:val="24"/>
          <w:lang w:val="en-US" w:eastAsia="zh-CN"/>
        </w:rPr>
        <w:t>4</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高新技术企业和科技小巨人领军企业数</w:t>
      </w:r>
      <w:r>
        <w:rPr>
          <w:rFonts w:hint="eastAsia" w:ascii="宋体" w:hAnsi="宋体" w:eastAsia="宋体" w:cs="宋体"/>
          <w:sz w:val="24"/>
          <w:szCs w:val="24"/>
        </w:rPr>
        <w:t>”指标用于评价201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泉州市丰泽区</w:t>
      </w:r>
      <w:r>
        <w:rPr>
          <w:rFonts w:hint="eastAsia" w:ascii="宋体" w:hAnsi="宋体" w:eastAsia="宋体" w:cs="宋体"/>
          <w:sz w:val="24"/>
          <w:szCs w:val="24"/>
          <w:lang w:val="en-US" w:eastAsia="zh-CN"/>
        </w:rPr>
        <w:t>国家、省级高新技术企业和省级科技小巨人领军企业</w:t>
      </w:r>
      <w:r>
        <w:rPr>
          <w:rFonts w:hint="eastAsia" w:ascii="宋体" w:hAnsi="宋体" w:cs="宋体"/>
          <w:sz w:val="24"/>
          <w:szCs w:val="24"/>
          <w:lang w:val="en-US" w:eastAsia="zh-CN"/>
        </w:rPr>
        <w:t>数量的增长情况</w:t>
      </w:r>
      <w:r>
        <w:rPr>
          <w:rFonts w:hint="eastAsia" w:ascii="宋体" w:hAnsi="宋体" w:eastAsia="宋体" w:cs="宋体"/>
          <w:sz w:val="24"/>
          <w:szCs w:val="24"/>
        </w:rPr>
        <w:t>。根据</w:t>
      </w:r>
      <w:r>
        <w:rPr>
          <w:rFonts w:hint="eastAsia" w:ascii="宋体" w:hAnsi="宋体" w:cs="宋体"/>
          <w:sz w:val="24"/>
          <w:szCs w:val="24"/>
          <w:lang w:val="en-US" w:eastAsia="zh-CN"/>
        </w:rPr>
        <w:t>丰泽区工业信息化和科技局</w:t>
      </w:r>
      <w:r>
        <w:rPr>
          <w:rFonts w:hint="eastAsia" w:ascii="宋体" w:hAnsi="宋体" w:eastAsia="宋体" w:cs="宋体"/>
          <w:sz w:val="24"/>
          <w:szCs w:val="24"/>
        </w:rPr>
        <w:t>提供的数据</w:t>
      </w:r>
      <w:r>
        <w:rPr>
          <w:rFonts w:hint="eastAsia" w:ascii="宋体" w:hAnsi="宋体" w:cs="宋体"/>
          <w:sz w:val="24"/>
          <w:szCs w:val="24"/>
          <w:lang w:val="en-US" w:eastAsia="zh-CN"/>
        </w:rPr>
        <w:t>资料</w:t>
      </w:r>
      <w:r>
        <w:rPr>
          <w:rFonts w:hint="eastAsia" w:ascii="宋体" w:hAnsi="宋体" w:eastAsia="宋体" w:cs="宋体"/>
          <w:sz w:val="24"/>
          <w:szCs w:val="24"/>
        </w:rPr>
        <w:t>，</w:t>
      </w:r>
      <w:r>
        <w:rPr>
          <w:rFonts w:hint="eastAsia" w:ascii="宋体" w:hAnsi="宋体" w:cs="宋体"/>
          <w:sz w:val="24"/>
          <w:szCs w:val="24"/>
          <w:lang w:val="en-US" w:eastAsia="zh-CN"/>
        </w:rPr>
        <w:t>2019年丰泽区拥有国家高新技术企业83家、省级高新技术企业67家、省级科技小巨人领军企业34家，分别比2018年增加27家、45家、6家，合计增加78家（具体数据详见图1）。</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高新技术企业和科技小巨人领军企业数</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b/>
          <w:bCs/>
          <w:sz w:val="24"/>
          <w:szCs w:val="24"/>
        </w:rPr>
      </w:pPr>
      <w:r>
        <w:drawing>
          <wp:inline distT="0" distB="0" distL="114300" distR="114300">
            <wp:extent cx="5647690" cy="1943100"/>
            <wp:effectExtent l="4445" t="4445" r="12065" b="825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default" w:ascii="宋体" w:hAnsi="宋体" w:eastAsia="宋体" w:cs="宋体"/>
          <w:b/>
          <w:bCs/>
          <w:sz w:val="24"/>
          <w:szCs w:val="24"/>
          <w:lang w:val="en-US"/>
        </w:rPr>
      </w:pPr>
      <w:r>
        <w:rPr>
          <w:rFonts w:hint="eastAsia" w:ascii="宋体" w:hAnsi="宋体" w:eastAsia="宋体" w:cs="宋体"/>
          <w:b/>
          <w:bCs/>
          <w:sz w:val="24"/>
          <w:szCs w:val="24"/>
        </w:rPr>
        <w:t>图</w:t>
      </w:r>
      <w:r>
        <w:rPr>
          <w:rFonts w:hint="eastAsia" w:ascii="宋体" w:hAnsi="宋体" w:cs="宋体"/>
          <w:b/>
          <w:bCs/>
          <w:sz w:val="24"/>
          <w:szCs w:val="24"/>
          <w:lang w:val="en-US" w:eastAsia="zh-CN"/>
        </w:rPr>
        <w:t xml:space="preserve">1 </w:t>
      </w:r>
      <w:r>
        <w:rPr>
          <w:rFonts w:hint="eastAsia" w:ascii="宋体" w:hAnsi="宋体" w:eastAsia="宋体" w:cs="宋体"/>
          <w:b/>
          <w:bCs/>
          <w:sz w:val="24"/>
          <w:szCs w:val="24"/>
          <w:lang w:val="en-US" w:eastAsia="zh-CN"/>
        </w:rPr>
        <w:t xml:space="preserve"> </w:t>
      </w:r>
      <w:r>
        <w:rPr>
          <w:rFonts w:hint="eastAsia" w:ascii="宋体" w:hAnsi="宋体" w:cs="宋体"/>
          <w:b/>
          <w:bCs/>
          <w:sz w:val="24"/>
          <w:szCs w:val="24"/>
          <w:lang w:val="en-US" w:eastAsia="zh-CN"/>
        </w:rPr>
        <w:t>2018-2019年泉州市丰泽区</w:t>
      </w:r>
      <w:r>
        <w:rPr>
          <w:rFonts w:hint="eastAsia" w:ascii="宋体" w:hAnsi="宋体" w:eastAsia="宋体" w:cs="宋体"/>
          <w:b/>
          <w:bCs/>
          <w:sz w:val="24"/>
          <w:szCs w:val="24"/>
          <w:lang w:val="en-US" w:eastAsia="zh-CN"/>
        </w:rPr>
        <w:t>高新技术企业和科技小巨人领军企业</w:t>
      </w:r>
      <w:r>
        <w:rPr>
          <w:rFonts w:hint="eastAsia" w:ascii="宋体" w:hAnsi="宋体" w:cs="宋体"/>
          <w:b/>
          <w:bCs/>
          <w:sz w:val="24"/>
          <w:szCs w:val="24"/>
          <w:lang w:val="en-US" w:eastAsia="zh-CN"/>
        </w:rPr>
        <w:t>数一览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孵化器和众创空间数</w:t>
      </w:r>
      <w:r>
        <w:rPr>
          <w:rFonts w:hint="eastAsia" w:ascii="宋体" w:hAnsi="宋体" w:eastAsia="宋体" w:cs="宋体"/>
          <w:sz w:val="24"/>
          <w:szCs w:val="24"/>
        </w:rPr>
        <w:t>”得4分（满分4分）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孵化器和众创空间数</w:t>
      </w:r>
      <w:r>
        <w:rPr>
          <w:rFonts w:hint="eastAsia" w:ascii="宋体" w:hAnsi="宋体" w:eastAsia="宋体" w:cs="宋体"/>
          <w:sz w:val="24"/>
          <w:szCs w:val="24"/>
        </w:rPr>
        <w:t>”指标用于评价201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泉州市丰泽区国家级、省级、市级科技企业孵化器和众创空间，以及</w:t>
      </w:r>
      <w:r>
        <w:rPr>
          <w:rFonts w:hint="eastAsia" w:ascii="宋体" w:hAnsi="宋体" w:eastAsia="宋体" w:cs="宋体"/>
          <w:sz w:val="24"/>
          <w:szCs w:val="24"/>
          <w:lang w:val="en-US" w:eastAsia="zh-CN"/>
        </w:rPr>
        <w:t>省级互联网孵化器</w:t>
      </w:r>
      <w:r>
        <w:rPr>
          <w:rFonts w:hint="eastAsia" w:ascii="宋体" w:hAnsi="宋体" w:cs="宋体"/>
          <w:sz w:val="24"/>
          <w:szCs w:val="24"/>
          <w:lang w:val="en-US" w:eastAsia="zh-CN"/>
        </w:rPr>
        <w:t>的增长情况</w:t>
      </w:r>
      <w:r>
        <w:rPr>
          <w:rFonts w:hint="eastAsia" w:ascii="宋体" w:hAnsi="宋体" w:eastAsia="宋体" w:cs="宋体"/>
          <w:sz w:val="24"/>
          <w:szCs w:val="24"/>
        </w:rPr>
        <w:t>。根据</w:t>
      </w:r>
      <w:r>
        <w:rPr>
          <w:rFonts w:hint="eastAsia" w:ascii="宋体" w:hAnsi="宋体" w:cs="宋体"/>
          <w:sz w:val="24"/>
          <w:szCs w:val="24"/>
          <w:lang w:val="en-US" w:eastAsia="zh-CN"/>
        </w:rPr>
        <w:t>丰泽区工业信息化和科技局</w:t>
      </w:r>
      <w:r>
        <w:rPr>
          <w:rFonts w:hint="eastAsia" w:ascii="宋体" w:hAnsi="宋体" w:eastAsia="宋体" w:cs="宋体"/>
          <w:sz w:val="24"/>
          <w:szCs w:val="24"/>
        </w:rPr>
        <w:t>提供的数据</w:t>
      </w:r>
      <w:r>
        <w:rPr>
          <w:rFonts w:hint="eastAsia" w:ascii="宋体" w:hAnsi="宋体" w:cs="宋体"/>
          <w:sz w:val="24"/>
          <w:szCs w:val="24"/>
          <w:lang w:val="en-US" w:eastAsia="zh-CN"/>
        </w:rPr>
        <w:t>资料</w:t>
      </w:r>
      <w:r>
        <w:rPr>
          <w:rFonts w:hint="eastAsia" w:ascii="宋体" w:hAnsi="宋体" w:eastAsia="宋体" w:cs="宋体"/>
          <w:sz w:val="24"/>
          <w:szCs w:val="24"/>
        </w:rPr>
        <w:t>，</w:t>
      </w:r>
      <w:r>
        <w:rPr>
          <w:rFonts w:hint="eastAsia" w:ascii="宋体" w:hAnsi="宋体" w:cs="宋体"/>
          <w:sz w:val="24"/>
          <w:szCs w:val="24"/>
          <w:lang w:val="en-US" w:eastAsia="zh-CN"/>
        </w:rPr>
        <w:t>2019年丰泽区拥有国家级、省级、市级科技企业孵化器分别为2家、4家、6家，省级互联网孵化器2家，国家级、省级、市级众创空间分别为5家、12家、17家，</w:t>
      </w:r>
      <w:r>
        <w:rPr>
          <w:rFonts w:hint="eastAsia" w:ascii="宋体" w:hAnsi="宋体" w:eastAsia="宋体" w:cs="宋体"/>
          <w:sz w:val="24"/>
          <w:szCs w:val="24"/>
          <w:lang w:val="en-US" w:eastAsia="zh-CN"/>
        </w:rPr>
        <w:t>孵化器和众创空间数</w:t>
      </w:r>
      <w:r>
        <w:rPr>
          <w:rFonts w:hint="eastAsia" w:ascii="宋体" w:hAnsi="宋体" w:cs="宋体"/>
          <w:sz w:val="24"/>
          <w:szCs w:val="24"/>
          <w:lang w:val="en-US" w:eastAsia="zh-CN"/>
        </w:rPr>
        <w:t>合计48家；而2018年丰泽区拥有国家级、省级、市级科技企业孵化器11家，省级互联网孵化器2家，国家级、省级、市级众创空间31家，</w:t>
      </w:r>
      <w:r>
        <w:rPr>
          <w:rFonts w:hint="eastAsia" w:ascii="宋体" w:hAnsi="宋体" w:eastAsia="宋体" w:cs="宋体"/>
          <w:sz w:val="24"/>
          <w:szCs w:val="24"/>
          <w:lang w:val="en-US" w:eastAsia="zh-CN"/>
        </w:rPr>
        <w:t>孵化器和众创空间数</w:t>
      </w:r>
      <w:r>
        <w:rPr>
          <w:rFonts w:hint="eastAsia" w:ascii="宋体" w:hAnsi="宋体" w:cs="宋体"/>
          <w:sz w:val="24"/>
          <w:szCs w:val="24"/>
          <w:lang w:val="en-US" w:eastAsia="zh-CN"/>
        </w:rPr>
        <w:t>合计44家；2019年</w:t>
      </w:r>
      <w:r>
        <w:rPr>
          <w:rFonts w:hint="eastAsia" w:ascii="宋体" w:hAnsi="宋体" w:eastAsia="宋体" w:cs="宋体"/>
          <w:sz w:val="24"/>
          <w:szCs w:val="24"/>
          <w:lang w:val="en-US" w:eastAsia="zh-CN"/>
        </w:rPr>
        <w:t>孵化器和众创空间数</w:t>
      </w:r>
      <w:r>
        <w:rPr>
          <w:rFonts w:hint="eastAsia" w:ascii="宋体" w:hAnsi="宋体" w:cs="宋体"/>
          <w:sz w:val="24"/>
          <w:szCs w:val="24"/>
          <w:lang w:val="en-US" w:eastAsia="zh-CN"/>
        </w:rPr>
        <w:t>增加4家（具体数据详见表3）。</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孵化器和众创空间数</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b w:val="0"/>
          <w:bCs w:val="0"/>
          <w:sz w:val="21"/>
          <w:szCs w:val="21"/>
          <w:lang w:val="en-US" w:eastAsia="zh-CN"/>
        </w:rPr>
      </w:pPr>
      <w:r>
        <w:rPr>
          <w:rFonts w:hint="eastAsia" w:ascii="宋体" w:hAnsi="宋体" w:eastAsia="宋体" w:cs="宋体"/>
          <w:b/>
          <w:bCs/>
          <w:sz w:val="24"/>
          <w:szCs w:val="24"/>
        </w:rPr>
        <w:t>表</w:t>
      </w:r>
      <w:r>
        <w:rPr>
          <w:rFonts w:hint="eastAsia" w:ascii="宋体" w:hAnsi="宋体" w:cs="宋体"/>
          <w:b/>
          <w:bCs/>
          <w:sz w:val="24"/>
          <w:szCs w:val="24"/>
          <w:lang w:val="en-US" w:eastAsia="zh-CN"/>
        </w:rPr>
        <w:t>3</w:t>
      </w:r>
      <w:r>
        <w:rPr>
          <w:rFonts w:hint="eastAsia" w:ascii="宋体" w:hAnsi="宋体" w:eastAsia="宋体" w:cs="宋体"/>
          <w:b/>
          <w:bCs/>
          <w:sz w:val="24"/>
          <w:szCs w:val="24"/>
        </w:rPr>
        <w:t xml:space="preserve"> </w:t>
      </w:r>
      <w:r>
        <w:rPr>
          <w:rFonts w:hint="eastAsia" w:ascii="宋体" w:hAnsi="宋体" w:cs="宋体"/>
          <w:b/>
          <w:bCs/>
          <w:sz w:val="24"/>
          <w:szCs w:val="24"/>
          <w:lang w:val="en-US" w:eastAsia="zh-CN"/>
        </w:rPr>
        <w:t xml:space="preserve"> 2018-2019年泉州市丰泽区孵化器和众创空间数一览     </w:t>
      </w:r>
      <w:r>
        <w:rPr>
          <w:rFonts w:hint="eastAsia" w:ascii="宋体" w:hAnsi="宋体" w:cs="宋体"/>
          <w:b w:val="0"/>
          <w:bCs w:val="0"/>
          <w:sz w:val="21"/>
          <w:szCs w:val="21"/>
          <w:lang w:val="en-US" w:eastAsia="zh-CN"/>
        </w:rPr>
        <w:t>单位：家</w:t>
      </w:r>
    </w:p>
    <w:tbl>
      <w:tblPr>
        <w:tblStyle w:val="14"/>
        <w:tblW w:w="0" w:type="auto"/>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1875"/>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3024"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left="840" w:hanging="840" w:hangingChars="40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年份</w:t>
            </w:r>
          </w:p>
          <w:p>
            <w:pPr>
              <w:keepNext w:val="0"/>
              <w:keepLines w:val="0"/>
              <w:pageBreakBefore w:val="0"/>
              <w:widowControl w:val="0"/>
              <w:kinsoku/>
              <w:wordWrap/>
              <w:overflowPunct/>
              <w:topLinePunct w:val="0"/>
              <w:autoSpaceDE/>
              <w:autoSpaceDN/>
              <w:bidi w:val="0"/>
              <w:adjustRightInd/>
              <w:snapToGrid/>
              <w:ind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指标</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2018</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2019</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2019年增加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国家级科技企业孵化器</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省级科技企业孵化器</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市级科技企业孵化器</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省级互联网孵化器</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国家级众创空间</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省级众创空间</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市级众创空间</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合计</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 sum(B2:B8) \* MERGEFORMAT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44</w:t>
            </w:r>
            <w:r>
              <w:rPr>
                <w:rFonts w:hint="eastAsia" w:ascii="宋体" w:hAnsi="宋体" w:eastAsia="宋体" w:cs="宋体"/>
                <w:sz w:val="21"/>
                <w:szCs w:val="21"/>
                <w:lang w:val="en-US" w:eastAsia="zh-CN"/>
              </w:rPr>
              <w:fldChar w:fldCharType="end"/>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 sum(C2:C8) \* MERGEFORMAT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48</w:t>
            </w:r>
            <w:r>
              <w:rPr>
                <w:rFonts w:hint="eastAsia" w:ascii="宋体" w:hAnsi="宋体" w:eastAsia="宋体" w:cs="宋体"/>
                <w:sz w:val="21"/>
                <w:szCs w:val="21"/>
                <w:lang w:val="en-US" w:eastAsia="zh-CN"/>
              </w:rPr>
              <w:fldChar w:fldCharType="end"/>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w:t>
            </w:r>
          </w:p>
        </w:tc>
      </w:tr>
    </w:tbl>
    <w:p>
      <w:pPr>
        <w:spacing w:line="240" w:lineRule="auto"/>
        <w:ind w:firstLine="420" w:firstLineChars="200"/>
        <w:rPr>
          <w:rFonts w:hint="eastAsia" w:ascii="宋体" w:hAnsi="宋体" w:eastAsia="宋体" w:cs="宋体"/>
          <w:kern w:val="0"/>
          <w:sz w:val="21"/>
          <w:szCs w:val="21"/>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cs="宋体"/>
          <w:sz w:val="24"/>
          <w:szCs w:val="24"/>
          <w:lang w:val="en-US" w:eastAsia="zh-CN"/>
        </w:rPr>
        <w:t>科技创新平台数</w:t>
      </w:r>
      <w:r>
        <w:rPr>
          <w:rFonts w:hint="eastAsia" w:ascii="宋体" w:hAnsi="宋体" w:eastAsia="宋体" w:cs="宋体"/>
          <w:sz w:val="24"/>
          <w:szCs w:val="24"/>
        </w:rPr>
        <w:t>”得</w:t>
      </w:r>
      <w:r>
        <w:rPr>
          <w:rFonts w:hint="eastAsia" w:ascii="宋体" w:hAnsi="宋体" w:cs="宋体"/>
          <w:sz w:val="24"/>
          <w:szCs w:val="24"/>
          <w:lang w:val="en-US" w:eastAsia="zh-CN"/>
        </w:rPr>
        <w:t>1</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科技创新平台数</w:t>
      </w:r>
      <w:r>
        <w:rPr>
          <w:rFonts w:hint="eastAsia" w:ascii="宋体" w:hAnsi="宋体" w:eastAsia="宋体" w:cs="宋体"/>
          <w:sz w:val="24"/>
          <w:szCs w:val="24"/>
        </w:rPr>
        <w:t>”指标用于评价201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泉州市丰泽区国家级、省级、市级科技创新平台的增长情况</w:t>
      </w:r>
      <w:r>
        <w:rPr>
          <w:rFonts w:hint="eastAsia" w:ascii="宋体" w:hAnsi="宋体" w:eastAsia="宋体" w:cs="宋体"/>
          <w:sz w:val="24"/>
          <w:szCs w:val="24"/>
        </w:rPr>
        <w:t>。根据</w:t>
      </w:r>
      <w:r>
        <w:rPr>
          <w:rFonts w:hint="eastAsia" w:ascii="宋体" w:hAnsi="宋体" w:cs="宋体"/>
          <w:sz w:val="24"/>
          <w:szCs w:val="24"/>
          <w:lang w:val="en-US" w:eastAsia="zh-CN"/>
        </w:rPr>
        <w:t>丰泽区工业信息化和科技局</w:t>
      </w:r>
      <w:r>
        <w:rPr>
          <w:rFonts w:hint="eastAsia" w:ascii="宋体" w:hAnsi="宋体" w:eastAsia="宋体" w:cs="宋体"/>
          <w:sz w:val="24"/>
          <w:szCs w:val="24"/>
        </w:rPr>
        <w:t>提供的数据</w:t>
      </w:r>
      <w:r>
        <w:rPr>
          <w:rFonts w:hint="eastAsia" w:ascii="宋体" w:hAnsi="宋体" w:cs="宋体"/>
          <w:sz w:val="24"/>
          <w:szCs w:val="24"/>
          <w:lang w:val="en-US" w:eastAsia="zh-CN"/>
        </w:rPr>
        <w:t>资料</w:t>
      </w:r>
      <w:r>
        <w:rPr>
          <w:rFonts w:hint="eastAsia" w:ascii="宋体" w:hAnsi="宋体" w:eastAsia="宋体" w:cs="宋体"/>
          <w:sz w:val="24"/>
          <w:szCs w:val="24"/>
        </w:rPr>
        <w:t>，</w:t>
      </w:r>
      <w:r>
        <w:rPr>
          <w:rFonts w:hint="eastAsia" w:ascii="宋体" w:hAnsi="宋体" w:cs="宋体"/>
          <w:sz w:val="24"/>
          <w:szCs w:val="24"/>
          <w:lang w:val="en-US" w:eastAsia="zh-CN"/>
        </w:rPr>
        <w:t>2019年丰泽区拥有省级重点实验室1家，省级企业工程技术研究中心4家，省级、市级新型研发机构分别为2家、8家，科技创新平台数合计为15家；而2018年丰泽区拥有省级重点实验室1家，省级企业工程技术研究中心4家，省级、市级新型研发机构分别为2家、7家，科技创新平台数合计为14家；2019年科技创新平台数增加1家（具体数据详见表4）。</w:t>
      </w:r>
      <w:r>
        <w:rPr>
          <w:rFonts w:hint="eastAsia" w:ascii="宋体" w:hAnsi="宋体" w:eastAsia="宋体" w:cs="宋体"/>
          <w:sz w:val="24"/>
          <w:szCs w:val="24"/>
        </w:rPr>
        <w:t>根据评分标准，“</w:t>
      </w:r>
      <w:r>
        <w:rPr>
          <w:rFonts w:hint="eastAsia" w:ascii="宋体" w:hAnsi="宋体" w:cs="宋体"/>
          <w:sz w:val="24"/>
          <w:szCs w:val="24"/>
          <w:lang w:val="en-US" w:eastAsia="zh-CN"/>
        </w:rPr>
        <w:t>科技创新平台数</w:t>
      </w:r>
      <w:r>
        <w:rPr>
          <w:rFonts w:hint="eastAsia" w:ascii="宋体" w:hAnsi="宋体" w:eastAsia="宋体" w:cs="宋体"/>
          <w:sz w:val="24"/>
          <w:szCs w:val="24"/>
        </w:rPr>
        <w:t>”得</w:t>
      </w:r>
      <w:r>
        <w:rPr>
          <w:rFonts w:hint="eastAsia" w:ascii="宋体" w:hAnsi="宋体" w:cs="宋体"/>
          <w:sz w:val="24"/>
          <w:szCs w:val="24"/>
          <w:lang w:val="en-US" w:eastAsia="zh-CN"/>
        </w:rPr>
        <w:t>1</w:t>
      </w:r>
      <w:r>
        <w:rPr>
          <w:rFonts w:hint="eastAsia" w:ascii="宋体" w:hAnsi="宋体" w:eastAsia="宋体" w:cs="宋体"/>
          <w:sz w:val="24"/>
          <w:szCs w:val="24"/>
        </w:rPr>
        <w:t>分</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b w:val="0"/>
          <w:bCs w:val="0"/>
          <w:sz w:val="21"/>
          <w:szCs w:val="21"/>
          <w:lang w:val="en-US" w:eastAsia="zh-CN"/>
        </w:rPr>
      </w:pPr>
      <w:r>
        <w:rPr>
          <w:rFonts w:hint="eastAsia" w:ascii="宋体" w:hAnsi="宋体" w:eastAsia="宋体" w:cs="宋体"/>
          <w:b/>
          <w:bCs/>
          <w:sz w:val="24"/>
          <w:szCs w:val="24"/>
        </w:rPr>
        <w:t>表</w:t>
      </w:r>
      <w:r>
        <w:rPr>
          <w:rFonts w:hint="eastAsia" w:ascii="宋体" w:hAnsi="宋体" w:cs="宋体"/>
          <w:b/>
          <w:bCs/>
          <w:sz w:val="24"/>
          <w:szCs w:val="24"/>
          <w:lang w:val="en-US" w:eastAsia="zh-CN"/>
        </w:rPr>
        <w:t>4</w:t>
      </w:r>
      <w:r>
        <w:rPr>
          <w:rFonts w:hint="eastAsia" w:ascii="宋体" w:hAnsi="宋体" w:eastAsia="宋体" w:cs="宋体"/>
          <w:b/>
          <w:bCs/>
          <w:sz w:val="24"/>
          <w:szCs w:val="24"/>
        </w:rPr>
        <w:t xml:space="preserve"> </w:t>
      </w:r>
      <w:r>
        <w:rPr>
          <w:rFonts w:hint="eastAsia" w:ascii="宋体" w:hAnsi="宋体" w:cs="宋体"/>
          <w:b/>
          <w:bCs/>
          <w:sz w:val="24"/>
          <w:szCs w:val="24"/>
          <w:lang w:val="en-US" w:eastAsia="zh-CN"/>
        </w:rPr>
        <w:t xml:space="preserve"> 2018-2019年泉州市丰泽区科技创新平台数一览     </w:t>
      </w:r>
      <w:r>
        <w:rPr>
          <w:rFonts w:hint="eastAsia" w:ascii="宋体" w:hAnsi="宋体" w:cs="宋体"/>
          <w:b w:val="0"/>
          <w:bCs w:val="0"/>
          <w:sz w:val="21"/>
          <w:szCs w:val="21"/>
          <w:lang w:val="en-US" w:eastAsia="zh-CN"/>
        </w:rPr>
        <w:t>单位：家</w:t>
      </w:r>
    </w:p>
    <w:tbl>
      <w:tblPr>
        <w:tblStyle w:val="14"/>
        <w:tblW w:w="0" w:type="auto"/>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1875"/>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3024"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left="840" w:hanging="840" w:hangingChars="40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年份</w:t>
            </w:r>
          </w:p>
          <w:p>
            <w:pPr>
              <w:keepNext w:val="0"/>
              <w:keepLines w:val="0"/>
              <w:pageBreakBefore w:val="0"/>
              <w:widowControl w:val="0"/>
              <w:kinsoku/>
              <w:wordWrap/>
              <w:overflowPunct/>
              <w:topLinePunct w:val="0"/>
              <w:autoSpaceDE/>
              <w:autoSpaceDN/>
              <w:bidi w:val="0"/>
              <w:adjustRightInd/>
              <w:snapToGrid/>
              <w:ind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指标</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2018</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2019</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2019年增加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省级重点实验室</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省级企业工程技术研究中心</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省级新型研发机构</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市级新型研发机构</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7</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8</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合计</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 sum(B2:B5) \* MERGEFORMAT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14</w:t>
            </w:r>
            <w:r>
              <w:rPr>
                <w:rFonts w:hint="eastAsia" w:ascii="宋体" w:hAnsi="宋体" w:eastAsia="宋体" w:cs="宋体"/>
                <w:sz w:val="21"/>
                <w:szCs w:val="21"/>
                <w:lang w:val="en-US" w:eastAsia="zh-CN"/>
              </w:rPr>
              <w:fldChar w:fldCharType="end"/>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 sum(C2:C5) \* MERGEFORMAT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15</w:t>
            </w:r>
            <w:r>
              <w:rPr>
                <w:rFonts w:hint="eastAsia" w:ascii="宋体" w:hAnsi="宋体" w:eastAsia="宋体" w:cs="宋体"/>
                <w:sz w:val="21"/>
                <w:szCs w:val="21"/>
                <w:lang w:val="en-US" w:eastAsia="zh-CN"/>
              </w:rPr>
              <w:fldChar w:fldCharType="end"/>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r>
    </w:tbl>
    <w:p>
      <w:pPr>
        <w:spacing w:line="240" w:lineRule="auto"/>
        <w:ind w:firstLine="480" w:firstLineChars="200"/>
        <w:rPr>
          <w:rFonts w:hint="eastAsia" w:ascii="宋体" w:hAnsi="宋体" w:cs="宋体"/>
          <w:sz w:val="24"/>
          <w:szCs w:val="24"/>
          <w:lang w:val="en-US" w:eastAsia="zh-CN"/>
        </w:rPr>
      </w:pP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专利授权数</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专利授权数</w:t>
      </w:r>
      <w:r>
        <w:rPr>
          <w:rFonts w:hint="eastAsia" w:ascii="宋体" w:hAnsi="宋体" w:eastAsia="宋体" w:cs="宋体"/>
          <w:sz w:val="24"/>
          <w:szCs w:val="24"/>
        </w:rPr>
        <w:t>”指标用于评价201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泉州市丰泽区专利授权数的增长情况</w:t>
      </w:r>
      <w:r>
        <w:rPr>
          <w:rFonts w:hint="eastAsia" w:ascii="宋体" w:hAnsi="宋体" w:eastAsia="宋体" w:cs="宋体"/>
          <w:sz w:val="24"/>
          <w:szCs w:val="24"/>
        </w:rPr>
        <w:t>。根据</w:t>
      </w:r>
      <w:r>
        <w:rPr>
          <w:rFonts w:hint="eastAsia" w:ascii="宋体" w:hAnsi="宋体" w:cs="宋体"/>
          <w:sz w:val="24"/>
          <w:szCs w:val="24"/>
          <w:lang w:val="en-US" w:eastAsia="zh-CN"/>
        </w:rPr>
        <w:t>丰泽区工业信息化和科技局</w:t>
      </w:r>
      <w:r>
        <w:rPr>
          <w:rFonts w:hint="eastAsia" w:ascii="宋体" w:hAnsi="宋体" w:eastAsia="宋体" w:cs="宋体"/>
          <w:sz w:val="24"/>
          <w:szCs w:val="24"/>
        </w:rPr>
        <w:t>提供的数据</w:t>
      </w:r>
      <w:r>
        <w:rPr>
          <w:rFonts w:hint="eastAsia" w:ascii="宋体" w:hAnsi="宋体" w:cs="宋体"/>
          <w:sz w:val="24"/>
          <w:szCs w:val="24"/>
          <w:lang w:val="en-US" w:eastAsia="zh-CN"/>
        </w:rPr>
        <w:t>资料</w:t>
      </w:r>
      <w:r>
        <w:rPr>
          <w:rFonts w:hint="eastAsia" w:ascii="宋体" w:hAnsi="宋体" w:eastAsia="宋体" w:cs="宋体"/>
          <w:sz w:val="24"/>
          <w:szCs w:val="24"/>
        </w:rPr>
        <w:t>，</w:t>
      </w:r>
      <w:r>
        <w:rPr>
          <w:rFonts w:hint="eastAsia" w:ascii="宋体" w:hAnsi="宋体" w:cs="宋体"/>
          <w:sz w:val="24"/>
          <w:szCs w:val="24"/>
          <w:lang w:val="en-US" w:eastAsia="zh-CN"/>
        </w:rPr>
        <w:t>2019年丰泽区专利授权数为2475件（</w:t>
      </w:r>
      <w:r>
        <w:rPr>
          <w:rFonts w:hint="eastAsia" w:ascii="宋体" w:hAnsi="宋体"/>
          <w:sz w:val="24"/>
          <w:szCs w:val="24"/>
        </w:rPr>
        <w:t>其中发明269件、实用新型1385件、外观821件</w:t>
      </w:r>
      <w:r>
        <w:rPr>
          <w:rFonts w:hint="eastAsia" w:ascii="宋体" w:hAnsi="宋体" w:cs="宋体"/>
          <w:sz w:val="24"/>
          <w:szCs w:val="24"/>
          <w:lang w:val="en-US" w:eastAsia="zh-CN"/>
        </w:rPr>
        <w:t>），比2018年的2104件（</w:t>
      </w:r>
      <w:r>
        <w:rPr>
          <w:rFonts w:hint="eastAsia" w:ascii="宋体" w:hAnsi="宋体"/>
          <w:sz w:val="24"/>
          <w:szCs w:val="24"/>
        </w:rPr>
        <w:t>其中发明289件、实用新型1232件、外观583件</w:t>
      </w:r>
      <w:r>
        <w:rPr>
          <w:rFonts w:hint="eastAsia" w:ascii="宋体" w:hAnsi="宋体" w:cs="宋体"/>
          <w:sz w:val="24"/>
          <w:szCs w:val="24"/>
          <w:lang w:val="en-US" w:eastAsia="zh-CN"/>
        </w:rPr>
        <w:t>）增加17.63%。</w:t>
      </w:r>
      <w:r>
        <w:rPr>
          <w:rFonts w:hint="eastAsia" w:ascii="宋体" w:hAnsi="宋体" w:eastAsia="宋体" w:cs="宋体"/>
          <w:sz w:val="24"/>
          <w:szCs w:val="24"/>
        </w:rPr>
        <w:t>根据评分标准，“</w:t>
      </w:r>
      <w:r>
        <w:rPr>
          <w:rFonts w:hint="eastAsia" w:ascii="宋体" w:hAnsi="宋体" w:cs="宋体"/>
          <w:sz w:val="24"/>
          <w:szCs w:val="24"/>
          <w:lang w:val="en-US" w:eastAsia="zh-CN"/>
        </w:rPr>
        <w:t>专利授权数</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val="en-US" w:eastAsia="zh-CN"/>
        </w:rPr>
        <w:t>泉州南京大学环保产业研究院科技成果</w:t>
      </w:r>
      <w:r>
        <w:rPr>
          <w:rFonts w:hint="eastAsia" w:ascii="宋体" w:hAnsi="宋体" w:eastAsia="宋体" w:cs="宋体"/>
          <w:sz w:val="24"/>
          <w:szCs w:val="24"/>
        </w:rPr>
        <w:t>”得</w:t>
      </w:r>
      <w:r>
        <w:rPr>
          <w:rFonts w:hint="eastAsia" w:ascii="宋体" w:hAnsi="宋体" w:cs="宋体"/>
          <w:sz w:val="24"/>
          <w:szCs w:val="24"/>
          <w:lang w:val="en-US" w:eastAsia="zh-CN"/>
        </w:rPr>
        <w:t>2</w:t>
      </w:r>
      <w:r>
        <w:rPr>
          <w:rFonts w:hint="eastAsia" w:ascii="宋体" w:hAnsi="宋体" w:eastAsia="宋体" w:cs="宋体"/>
          <w:sz w:val="24"/>
          <w:szCs w:val="24"/>
        </w:rPr>
        <w:t>分（满分</w:t>
      </w:r>
      <w:r>
        <w:rPr>
          <w:rFonts w:hint="eastAsia" w:ascii="宋体" w:hAnsi="宋体" w:cs="宋体"/>
          <w:sz w:val="24"/>
          <w:szCs w:val="24"/>
          <w:lang w:val="en-US" w:eastAsia="zh-CN"/>
        </w:rPr>
        <w:t>2</w:t>
      </w:r>
      <w:r>
        <w:rPr>
          <w:rFonts w:hint="eastAsia" w:ascii="宋体" w:hAnsi="宋体" w:eastAsia="宋体" w:cs="宋体"/>
          <w:sz w:val="24"/>
          <w:szCs w:val="24"/>
        </w:rPr>
        <w:t>分）</w:t>
      </w:r>
    </w:p>
    <w:p>
      <w:pPr>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泉州南京大学环保产业研究院科技成果</w:t>
      </w:r>
      <w:r>
        <w:rPr>
          <w:rFonts w:hint="eastAsia" w:ascii="宋体" w:hAnsi="宋体" w:eastAsia="宋体" w:cs="宋体"/>
          <w:sz w:val="24"/>
          <w:szCs w:val="24"/>
        </w:rPr>
        <w:t>”指标用于评价201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eastAsia="宋体" w:cs="宋体"/>
          <w:sz w:val="24"/>
          <w:szCs w:val="24"/>
          <w:lang w:val="en-US" w:eastAsia="zh-CN"/>
        </w:rPr>
        <w:t>泉州南京大学环保产业研究院</w:t>
      </w:r>
      <w:r>
        <w:rPr>
          <w:rFonts w:hint="eastAsia" w:ascii="宋体" w:hAnsi="宋体" w:cs="宋体"/>
          <w:sz w:val="24"/>
          <w:szCs w:val="24"/>
          <w:lang w:val="en-US" w:eastAsia="zh-CN"/>
        </w:rPr>
        <w:t>取得的</w:t>
      </w:r>
      <w:r>
        <w:rPr>
          <w:rFonts w:hint="eastAsia" w:ascii="宋体" w:hAnsi="宋体" w:eastAsia="宋体" w:cs="宋体"/>
          <w:sz w:val="24"/>
          <w:szCs w:val="24"/>
          <w:lang w:val="en-US" w:eastAsia="zh-CN"/>
        </w:rPr>
        <w:t>科技成果</w:t>
      </w:r>
      <w:r>
        <w:rPr>
          <w:rFonts w:hint="eastAsia" w:ascii="宋体" w:hAnsi="宋体" w:cs="宋体"/>
          <w:sz w:val="24"/>
          <w:szCs w:val="24"/>
          <w:lang w:val="en-US" w:eastAsia="zh-CN"/>
        </w:rPr>
        <w:t>是否达到合作协议约定的任务目标（每年实施1个以上重大科技专项，取得4项以上自主知识产权成果，孵化2家以上科技型企业）</w:t>
      </w:r>
      <w:r>
        <w:rPr>
          <w:rFonts w:hint="eastAsia" w:ascii="宋体" w:hAnsi="宋体" w:eastAsia="宋体" w:cs="宋体"/>
          <w:sz w:val="24"/>
          <w:szCs w:val="24"/>
        </w:rPr>
        <w:t>。根据</w:t>
      </w:r>
      <w:r>
        <w:rPr>
          <w:rFonts w:hint="eastAsia" w:ascii="宋体" w:hAnsi="宋体" w:cs="宋体"/>
          <w:sz w:val="24"/>
          <w:szCs w:val="24"/>
          <w:lang w:val="en-US" w:eastAsia="zh-CN"/>
        </w:rPr>
        <w:t>丰泽区工业信息化和科技局</w:t>
      </w:r>
      <w:r>
        <w:rPr>
          <w:rFonts w:hint="eastAsia" w:ascii="宋体" w:hAnsi="宋体" w:eastAsia="宋体" w:cs="宋体"/>
          <w:sz w:val="24"/>
          <w:szCs w:val="24"/>
        </w:rPr>
        <w:t>提供的数据</w:t>
      </w:r>
      <w:r>
        <w:rPr>
          <w:rFonts w:hint="eastAsia" w:ascii="宋体" w:hAnsi="宋体" w:cs="宋体"/>
          <w:sz w:val="24"/>
          <w:szCs w:val="24"/>
          <w:lang w:val="en-US" w:eastAsia="zh-CN"/>
        </w:rPr>
        <w:t>资料</w:t>
      </w:r>
      <w:r>
        <w:rPr>
          <w:rFonts w:hint="eastAsia" w:ascii="宋体" w:hAnsi="宋体" w:eastAsia="宋体" w:cs="宋体"/>
          <w:sz w:val="24"/>
          <w:szCs w:val="24"/>
        </w:rPr>
        <w:t>，</w:t>
      </w:r>
      <w:r>
        <w:rPr>
          <w:rFonts w:hint="eastAsia" w:ascii="宋体" w:hAnsi="宋体" w:cs="宋体"/>
          <w:sz w:val="24"/>
          <w:szCs w:val="24"/>
          <w:lang w:val="en-US" w:eastAsia="zh-CN"/>
        </w:rPr>
        <w:t>2019年</w:t>
      </w:r>
      <w:r>
        <w:rPr>
          <w:rFonts w:hint="eastAsia" w:ascii="宋体" w:hAnsi="宋体" w:cs="宋体"/>
          <w:kern w:val="0"/>
          <w:sz w:val="24"/>
          <w:szCs w:val="24"/>
        </w:rPr>
        <w:t>泉州南京大学环保产业研究院</w:t>
      </w:r>
      <w:r>
        <w:rPr>
          <w:rFonts w:hint="eastAsia" w:ascii="宋体" w:hAnsi="宋体" w:cs="宋体"/>
          <w:kern w:val="0"/>
          <w:sz w:val="24"/>
          <w:szCs w:val="24"/>
          <w:lang w:val="en-US" w:eastAsia="zh-CN"/>
        </w:rPr>
        <w:t>实施了2个</w:t>
      </w:r>
      <w:r>
        <w:rPr>
          <w:rFonts w:hint="eastAsia" w:ascii="宋体" w:hAnsi="宋体" w:cs="宋体"/>
          <w:kern w:val="0"/>
          <w:sz w:val="24"/>
          <w:szCs w:val="24"/>
        </w:rPr>
        <w:t>重大科技专项</w:t>
      </w:r>
      <w:r>
        <w:rPr>
          <w:rFonts w:hint="eastAsia" w:ascii="宋体" w:hAnsi="宋体" w:cs="宋体"/>
          <w:kern w:val="0"/>
          <w:sz w:val="24"/>
          <w:szCs w:val="24"/>
          <w:lang w:eastAsia="zh-CN"/>
        </w:rPr>
        <w:t>，</w:t>
      </w:r>
      <w:r>
        <w:rPr>
          <w:rFonts w:hint="eastAsia" w:ascii="宋体" w:hAnsi="宋体" w:cs="宋体"/>
          <w:kern w:val="0"/>
          <w:sz w:val="24"/>
          <w:szCs w:val="24"/>
        </w:rPr>
        <w:t>取得</w:t>
      </w:r>
      <w:r>
        <w:rPr>
          <w:rFonts w:hint="eastAsia" w:ascii="宋体" w:hAnsi="宋体" w:cs="宋体"/>
          <w:kern w:val="0"/>
          <w:sz w:val="24"/>
          <w:szCs w:val="24"/>
          <w:lang w:val="en-US" w:eastAsia="zh-CN"/>
        </w:rPr>
        <w:t>了6项</w:t>
      </w:r>
      <w:r>
        <w:rPr>
          <w:rFonts w:hint="eastAsia" w:ascii="宋体" w:hAnsi="宋体" w:cs="宋体"/>
          <w:kern w:val="0"/>
          <w:sz w:val="24"/>
          <w:szCs w:val="24"/>
        </w:rPr>
        <w:t>自主知识产权成果</w:t>
      </w:r>
      <w:r>
        <w:rPr>
          <w:rFonts w:hint="eastAsia" w:ascii="宋体" w:hAnsi="宋体" w:cs="宋体"/>
          <w:kern w:val="0"/>
          <w:sz w:val="24"/>
          <w:szCs w:val="24"/>
          <w:lang w:eastAsia="zh-CN"/>
        </w:rPr>
        <w:t>，</w:t>
      </w:r>
      <w:r>
        <w:rPr>
          <w:rFonts w:hint="eastAsia" w:ascii="宋体" w:hAnsi="宋体" w:cs="宋体"/>
          <w:kern w:val="0"/>
          <w:sz w:val="24"/>
          <w:szCs w:val="24"/>
        </w:rPr>
        <w:t>孵化</w:t>
      </w:r>
      <w:r>
        <w:rPr>
          <w:rFonts w:hint="eastAsia" w:ascii="宋体" w:hAnsi="宋体" w:cs="宋体"/>
          <w:kern w:val="0"/>
          <w:sz w:val="24"/>
          <w:szCs w:val="24"/>
          <w:lang w:val="en-US" w:eastAsia="zh-CN"/>
        </w:rPr>
        <w:t>了2家</w:t>
      </w:r>
      <w:r>
        <w:rPr>
          <w:rFonts w:hint="eastAsia" w:ascii="宋体" w:hAnsi="宋体" w:cs="宋体"/>
          <w:kern w:val="0"/>
          <w:sz w:val="24"/>
          <w:szCs w:val="24"/>
        </w:rPr>
        <w:t>科技型企业</w:t>
      </w:r>
      <w:r>
        <w:rPr>
          <w:rFonts w:hint="eastAsia" w:ascii="宋体" w:hAnsi="宋体" w:cs="宋体"/>
          <w:kern w:val="0"/>
          <w:sz w:val="24"/>
          <w:szCs w:val="24"/>
          <w:lang w:eastAsia="zh-CN"/>
        </w:rPr>
        <w:t>。</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泉州南京大学环保产业研究院科技成果</w:t>
      </w:r>
      <w:r>
        <w:rPr>
          <w:rFonts w:hint="eastAsia" w:ascii="宋体" w:hAnsi="宋体" w:eastAsia="宋体" w:cs="宋体"/>
          <w:sz w:val="24"/>
          <w:szCs w:val="24"/>
        </w:rPr>
        <w:t>”得</w:t>
      </w:r>
      <w:r>
        <w:rPr>
          <w:rFonts w:hint="eastAsia" w:ascii="宋体" w:hAnsi="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产出数量指标合计得1</w:t>
      </w:r>
      <w:r>
        <w:rPr>
          <w:rFonts w:hint="eastAsia" w:ascii="宋体" w:hAnsi="宋体" w:cs="宋体"/>
          <w:kern w:val="0"/>
          <w:sz w:val="24"/>
          <w:szCs w:val="24"/>
          <w:lang w:val="en-US" w:eastAsia="zh-CN"/>
        </w:rPr>
        <w:t>7</w:t>
      </w:r>
      <w:r>
        <w:rPr>
          <w:rFonts w:hint="eastAsia" w:ascii="宋体" w:hAnsi="宋体" w:eastAsia="宋体" w:cs="宋体"/>
          <w:kern w:val="0"/>
          <w:sz w:val="24"/>
          <w:szCs w:val="24"/>
        </w:rPr>
        <w:t>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2.产出质量得1</w:t>
      </w:r>
      <w:r>
        <w:rPr>
          <w:rFonts w:hint="eastAsia" w:ascii="宋体" w:hAnsi="宋体" w:cs="宋体"/>
          <w:b/>
          <w:bCs/>
          <w:sz w:val="24"/>
          <w:szCs w:val="24"/>
          <w:lang w:val="en-US" w:eastAsia="zh-CN"/>
        </w:rPr>
        <w:t>0</w:t>
      </w:r>
      <w:r>
        <w:rPr>
          <w:rFonts w:hint="eastAsia" w:ascii="宋体" w:hAnsi="宋体" w:eastAsia="宋体" w:cs="宋体"/>
          <w:b/>
          <w:bCs/>
          <w:sz w:val="24"/>
          <w:szCs w:val="24"/>
        </w:rPr>
        <w:t>分（共1</w:t>
      </w:r>
      <w:r>
        <w:rPr>
          <w:rFonts w:hint="eastAsia" w:ascii="宋体" w:hAnsi="宋体" w:cs="宋体"/>
          <w:b/>
          <w:bCs/>
          <w:sz w:val="24"/>
          <w:szCs w:val="24"/>
          <w:lang w:val="en-US" w:eastAsia="zh-CN"/>
        </w:rPr>
        <w:t>0</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“产出质量”分解为“</w:t>
      </w:r>
      <w:r>
        <w:rPr>
          <w:rFonts w:hint="eastAsia" w:ascii="宋体" w:hAnsi="宋体" w:eastAsia="宋体" w:cs="宋体"/>
          <w:sz w:val="24"/>
          <w:szCs w:val="24"/>
          <w:lang w:val="en-US" w:eastAsia="zh-CN"/>
        </w:rPr>
        <w:t>区级科技计划项目验收合格率</w:t>
      </w:r>
      <w:r>
        <w:rPr>
          <w:rFonts w:hint="eastAsia" w:ascii="宋体" w:hAnsi="宋体" w:eastAsia="宋体" w:cs="宋体"/>
          <w:sz w:val="24"/>
          <w:szCs w:val="24"/>
        </w:rPr>
        <w:t>”“</w:t>
      </w:r>
      <w:r>
        <w:rPr>
          <w:rFonts w:hint="eastAsia" w:ascii="宋体" w:hAnsi="宋体" w:eastAsia="宋体" w:cs="宋体"/>
          <w:sz w:val="24"/>
          <w:szCs w:val="24"/>
          <w:lang w:val="en-US" w:eastAsia="zh-CN"/>
        </w:rPr>
        <w:t>项目质量合格情况</w:t>
      </w:r>
      <w:r>
        <w:rPr>
          <w:rFonts w:hint="eastAsia" w:ascii="宋体" w:hAnsi="宋体" w:eastAsia="宋体" w:cs="宋体"/>
          <w:sz w:val="24"/>
          <w:szCs w:val="24"/>
        </w:rPr>
        <w:t>”和“</w:t>
      </w:r>
      <w:r>
        <w:rPr>
          <w:rFonts w:hint="eastAsia" w:ascii="宋体" w:hAnsi="宋体" w:eastAsia="宋体" w:cs="宋体"/>
          <w:sz w:val="24"/>
          <w:szCs w:val="24"/>
          <w:lang w:val="en-US" w:eastAsia="zh-CN"/>
        </w:rPr>
        <w:t>奖励扶持项目合规性</w:t>
      </w:r>
      <w:r>
        <w:rPr>
          <w:rFonts w:hint="eastAsia" w:ascii="宋体" w:hAnsi="宋体" w:eastAsia="宋体" w:cs="宋体"/>
          <w:sz w:val="24"/>
          <w:szCs w:val="24"/>
        </w:rPr>
        <w:t>”三个三级指标。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区级科技计划项目验收合格率</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区级科技计划项目验收合格率</w:t>
      </w:r>
      <w:r>
        <w:rPr>
          <w:rFonts w:hint="eastAsia" w:ascii="宋体" w:hAnsi="宋体" w:eastAsia="宋体" w:cs="宋体"/>
          <w:sz w:val="24"/>
          <w:szCs w:val="24"/>
        </w:rPr>
        <w:t>”指标用于评价</w:t>
      </w:r>
      <w:r>
        <w:rPr>
          <w:rFonts w:hint="eastAsia" w:ascii="宋体" w:hAnsi="宋体" w:cs="宋体"/>
          <w:sz w:val="24"/>
          <w:szCs w:val="24"/>
          <w:lang w:val="en-US" w:eastAsia="zh-CN"/>
        </w:rPr>
        <w:t>2017和</w:t>
      </w:r>
      <w:r>
        <w:rPr>
          <w:rFonts w:hint="eastAsia" w:ascii="宋体" w:hAnsi="宋体" w:eastAsia="宋体" w:cs="宋体"/>
          <w:sz w:val="24"/>
          <w:szCs w:val="24"/>
        </w:rPr>
        <w:t>2018年</w:t>
      </w:r>
      <w:r>
        <w:rPr>
          <w:rFonts w:hint="eastAsia" w:ascii="宋体" w:hAnsi="宋体" w:cs="宋体"/>
          <w:sz w:val="24"/>
          <w:szCs w:val="24"/>
          <w:lang w:val="en-US" w:eastAsia="zh-CN"/>
        </w:rPr>
        <w:t>度泉州市丰泽区</w:t>
      </w:r>
      <w:r>
        <w:rPr>
          <w:rFonts w:hint="eastAsia" w:ascii="宋体" w:hAnsi="宋体" w:eastAsia="宋体" w:cs="宋体"/>
          <w:sz w:val="24"/>
          <w:szCs w:val="24"/>
          <w:lang w:val="en-US" w:eastAsia="zh-CN"/>
        </w:rPr>
        <w:t>区级科技计划项目</w:t>
      </w:r>
      <w:r>
        <w:rPr>
          <w:rFonts w:hint="eastAsia" w:ascii="宋体" w:hAnsi="宋体" w:cs="宋体"/>
          <w:sz w:val="24"/>
          <w:szCs w:val="24"/>
          <w:lang w:val="en-US" w:eastAsia="zh-CN"/>
        </w:rPr>
        <w:t>的</w:t>
      </w:r>
      <w:r>
        <w:rPr>
          <w:rFonts w:hint="eastAsia" w:ascii="宋体" w:hAnsi="宋体" w:eastAsia="宋体" w:cs="宋体"/>
          <w:sz w:val="24"/>
          <w:szCs w:val="24"/>
          <w:lang w:val="en-US" w:eastAsia="zh-CN"/>
        </w:rPr>
        <w:t>验收合格</w:t>
      </w:r>
      <w:r>
        <w:rPr>
          <w:rFonts w:hint="eastAsia" w:ascii="宋体" w:hAnsi="宋体" w:cs="宋体"/>
          <w:sz w:val="24"/>
          <w:szCs w:val="24"/>
          <w:lang w:val="en-US" w:eastAsia="zh-CN"/>
        </w:rPr>
        <w:t>情况。</w:t>
      </w:r>
      <w:r>
        <w:rPr>
          <w:rFonts w:hint="eastAsia" w:ascii="宋体" w:hAnsi="宋体" w:eastAsia="宋体" w:cs="宋体"/>
          <w:sz w:val="24"/>
          <w:szCs w:val="24"/>
        </w:rPr>
        <w:t>根据</w:t>
      </w:r>
      <w:r>
        <w:rPr>
          <w:rFonts w:hint="eastAsia" w:ascii="宋体" w:hAnsi="宋体" w:cs="宋体"/>
          <w:sz w:val="24"/>
          <w:szCs w:val="24"/>
          <w:lang w:val="en-US" w:eastAsia="zh-CN"/>
        </w:rPr>
        <w:t>丰泽区工业信息化和科技局</w:t>
      </w:r>
      <w:r>
        <w:rPr>
          <w:rFonts w:hint="eastAsia" w:ascii="宋体" w:hAnsi="宋体" w:eastAsia="宋体" w:cs="宋体"/>
          <w:sz w:val="24"/>
          <w:szCs w:val="24"/>
        </w:rPr>
        <w:t>提供的数据</w:t>
      </w:r>
      <w:r>
        <w:rPr>
          <w:rFonts w:hint="eastAsia" w:ascii="宋体" w:hAnsi="宋体" w:cs="宋体"/>
          <w:sz w:val="24"/>
          <w:szCs w:val="24"/>
          <w:lang w:val="en-US" w:eastAsia="zh-CN"/>
        </w:rPr>
        <w:t>资料</w:t>
      </w:r>
      <w:r>
        <w:rPr>
          <w:rFonts w:hint="eastAsia" w:ascii="宋体" w:hAnsi="宋体" w:eastAsia="宋体" w:cs="宋体"/>
          <w:sz w:val="24"/>
          <w:szCs w:val="24"/>
        </w:rPr>
        <w:t>，</w:t>
      </w:r>
      <w:r>
        <w:rPr>
          <w:rFonts w:hint="eastAsia" w:ascii="宋体" w:hAnsi="宋体" w:cs="宋体"/>
          <w:sz w:val="24"/>
          <w:szCs w:val="24"/>
          <w:lang w:val="en-US" w:eastAsia="zh-CN"/>
        </w:rPr>
        <w:t>2017和</w:t>
      </w:r>
      <w:r>
        <w:rPr>
          <w:rFonts w:hint="eastAsia" w:ascii="宋体" w:hAnsi="宋体" w:eastAsia="宋体" w:cs="宋体"/>
          <w:sz w:val="24"/>
          <w:szCs w:val="24"/>
        </w:rPr>
        <w:t>2018年</w:t>
      </w:r>
      <w:r>
        <w:rPr>
          <w:rFonts w:hint="eastAsia" w:ascii="宋体" w:hAnsi="宋体" w:cs="宋体"/>
          <w:sz w:val="24"/>
          <w:szCs w:val="24"/>
          <w:lang w:val="en-US" w:eastAsia="zh-CN"/>
        </w:rPr>
        <w:t>度丰泽区</w:t>
      </w:r>
      <w:r>
        <w:rPr>
          <w:rFonts w:hint="eastAsia" w:ascii="宋体" w:hAnsi="宋体" w:eastAsia="宋体" w:cs="宋体"/>
          <w:sz w:val="24"/>
          <w:szCs w:val="24"/>
          <w:lang w:val="en-US" w:eastAsia="zh-CN"/>
        </w:rPr>
        <w:t>区级科技计划项目</w:t>
      </w:r>
      <w:r>
        <w:rPr>
          <w:rFonts w:hint="eastAsia" w:ascii="宋体" w:hAnsi="宋体" w:cs="宋体"/>
          <w:sz w:val="24"/>
          <w:szCs w:val="24"/>
          <w:lang w:val="en-US" w:eastAsia="zh-CN"/>
        </w:rPr>
        <w:t>数分别为51个、46个，通过验收的项目数分别为49个、45个，</w:t>
      </w:r>
      <w:r>
        <w:rPr>
          <w:rFonts w:hint="eastAsia" w:ascii="宋体" w:hAnsi="宋体" w:eastAsia="宋体" w:cs="宋体"/>
          <w:sz w:val="24"/>
          <w:szCs w:val="24"/>
          <w:lang w:val="en-US" w:eastAsia="zh-CN"/>
        </w:rPr>
        <w:t>区级科技计划项目验收合格率</w:t>
      </w:r>
      <w:r>
        <w:rPr>
          <w:rFonts w:hint="eastAsia" w:ascii="宋体" w:hAnsi="宋体" w:cs="宋体"/>
          <w:sz w:val="24"/>
          <w:szCs w:val="24"/>
          <w:lang w:val="en-US" w:eastAsia="zh-CN"/>
        </w:rPr>
        <w:t>为96.9%。</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区级科技计划项目验收合格率</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项目质量合格情况</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项目质量合格情况</w:t>
      </w:r>
      <w:r>
        <w:rPr>
          <w:rFonts w:hint="eastAsia" w:ascii="宋体" w:hAnsi="宋体" w:eastAsia="宋体" w:cs="宋体"/>
          <w:sz w:val="24"/>
          <w:szCs w:val="24"/>
        </w:rPr>
        <w:t>”指标用于评价</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度扶持企业科技基金及扶持企业发展专项基金扶持的</w:t>
      </w:r>
      <w:r>
        <w:rPr>
          <w:rFonts w:hint="eastAsia" w:ascii="宋体" w:hAnsi="宋体" w:eastAsia="宋体" w:cs="宋体"/>
          <w:sz w:val="24"/>
          <w:szCs w:val="24"/>
          <w:lang w:val="en-US" w:eastAsia="zh-CN"/>
        </w:rPr>
        <w:t>华创园3个建设项目和公安局</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个建设项目</w:t>
      </w:r>
      <w:r>
        <w:rPr>
          <w:rFonts w:hint="eastAsia" w:ascii="宋体" w:hAnsi="宋体" w:cs="宋体"/>
          <w:sz w:val="24"/>
          <w:szCs w:val="24"/>
          <w:lang w:val="en-US" w:eastAsia="zh-CN"/>
        </w:rPr>
        <w:t>是否</w:t>
      </w:r>
      <w:r>
        <w:rPr>
          <w:rFonts w:hint="eastAsia" w:ascii="宋体" w:hAnsi="宋体" w:eastAsia="宋体" w:cs="宋体"/>
          <w:sz w:val="24"/>
          <w:szCs w:val="24"/>
          <w:lang w:val="en-US" w:eastAsia="zh-CN"/>
        </w:rPr>
        <w:t>验收合格</w:t>
      </w:r>
      <w:r>
        <w:rPr>
          <w:rFonts w:hint="eastAsia" w:ascii="宋体" w:hAnsi="宋体" w:eastAsia="宋体" w:cs="宋体"/>
          <w:sz w:val="24"/>
          <w:szCs w:val="24"/>
        </w:rPr>
        <w:t>。根据泉州市丰泽</w:t>
      </w:r>
      <w:r>
        <w:rPr>
          <w:rFonts w:hint="eastAsia" w:ascii="宋体" w:hAnsi="宋体" w:cs="宋体"/>
          <w:sz w:val="24"/>
          <w:szCs w:val="24"/>
          <w:lang w:val="en-US" w:eastAsia="zh-CN"/>
        </w:rPr>
        <w:t>区财政局</w:t>
      </w:r>
      <w:r>
        <w:rPr>
          <w:rFonts w:hint="eastAsia" w:ascii="宋体" w:hAnsi="宋体" w:eastAsia="宋体" w:cs="宋体"/>
          <w:sz w:val="24"/>
          <w:szCs w:val="24"/>
        </w:rPr>
        <w:t>提供的资料及绩效评价工作组的调研，</w:t>
      </w:r>
      <w:r>
        <w:rPr>
          <w:rFonts w:hint="eastAsia" w:ascii="宋体" w:hAnsi="宋体" w:eastAsia="宋体" w:cs="宋体"/>
          <w:kern w:val="0"/>
          <w:sz w:val="24"/>
          <w:szCs w:val="24"/>
        </w:rPr>
        <w:t>华侨大学（丰泽）创新创业园智能化系统项目</w:t>
      </w:r>
      <w:r>
        <w:rPr>
          <w:rFonts w:hint="eastAsia" w:ascii="宋体" w:hAnsi="宋体" w:cs="宋体"/>
          <w:kern w:val="0"/>
          <w:sz w:val="24"/>
          <w:szCs w:val="24"/>
          <w:lang w:eastAsia="zh-CN"/>
        </w:rPr>
        <w:t>、</w:t>
      </w:r>
      <w:r>
        <w:rPr>
          <w:rFonts w:hint="eastAsia" w:ascii="宋体" w:hAnsi="宋体" w:eastAsia="宋体" w:cs="宋体"/>
          <w:kern w:val="0"/>
          <w:sz w:val="24"/>
          <w:szCs w:val="24"/>
        </w:rPr>
        <w:t>华创园外立面改造及其配套工程</w:t>
      </w:r>
      <w:r>
        <w:rPr>
          <w:rFonts w:hint="eastAsia" w:ascii="宋体" w:hAnsi="宋体" w:cs="宋体"/>
          <w:kern w:val="0"/>
          <w:sz w:val="24"/>
          <w:szCs w:val="24"/>
          <w:lang w:eastAsia="zh-CN"/>
        </w:rPr>
        <w:t>、</w:t>
      </w:r>
      <w:r>
        <w:rPr>
          <w:rFonts w:hint="eastAsia" w:ascii="宋体" w:hAnsi="宋体" w:eastAsia="宋体" w:cs="宋体"/>
          <w:kern w:val="0"/>
          <w:sz w:val="24"/>
          <w:szCs w:val="24"/>
        </w:rPr>
        <w:t>华创园众创空间及一层公共部位分体式空调采购及安装服务项目</w:t>
      </w:r>
      <w:r>
        <w:rPr>
          <w:rFonts w:hint="eastAsia" w:ascii="宋体" w:hAnsi="宋体" w:cs="宋体"/>
          <w:kern w:val="0"/>
          <w:sz w:val="24"/>
          <w:szCs w:val="24"/>
          <w:lang w:eastAsia="zh-CN"/>
        </w:rPr>
        <w:t>、</w:t>
      </w:r>
      <w:r>
        <w:rPr>
          <w:rFonts w:hint="eastAsia" w:ascii="宋体" w:hAnsi="宋体" w:eastAsia="宋体" w:cs="宋体"/>
          <w:kern w:val="0"/>
          <w:sz w:val="24"/>
          <w:szCs w:val="24"/>
        </w:rPr>
        <w:t>丰泽区电子物证勘验中心</w:t>
      </w:r>
      <w:r>
        <w:rPr>
          <w:rFonts w:hint="eastAsia" w:ascii="宋体" w:hAnsi="宋体" w:cs="宋体"/>
          <w:kern w:val="0"/>
          <w:sz w:val="24"/>
          <w:szCs w:val="24"/>
          <w:lang w:val="en-US" w:eastAsia="zh-CN"/>
        </w:rPr>
        <w:t>都验收合格</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项目质量合格情况</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奖励扶持项目合规性</w:t>
      </w:r>
      <w:r>
        <w:rPr>
          <w:rFonts w:hint="eastAsia" w:ascii="宋体" w:hAnsi="宋体" w:eastAsia="宋体" w:cs="宋体"/>
          <w:sz w:val="24"/>
          <w:szCs w:val="24"/>
        </w:rPr>
        <w:t>”得4分（满分4分）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奖励扶持项目合规性</w:t>
      </w:r>
      <w:r>
        <w:rPr>
          <w:rFonts w:hint="eastAsia" w:ascii="宋体" w:hAnsi="宋体" w:eastAsia="宋体" w:cs="宋体"/>
          <w:sz w:val="24"/>
          <w:szCs w:val="24"/>
        </w:rPr>
        <w:t>”指标用于评价</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lang w:val="en-US" w:eastAsia="zh-CN"/>
        </w:rPr>
        <w:t>奖励扶持</w:t>
      </w:r>
      <w:r>
        <w:rPr>
          <w:rFonts w:hint="eastAsia" w:ascii="宋体" w:hAnsi="宋体" w:cs="宋体"/>
          <w:sz w:val="24"/>
          <w:szCs w:val="24"/>
          <w:lang w:val="en-US" w:eastAsia="zh-CN"/>
        </w:rPr>
        <w:t>的</w:t>
      </w:r>
      <w:r>
        <w:rPr>
          <w:rFonts w:hint="eastAsia" w:ascii="宋体" w:hAnsi="宋体" w:eastAsia="宋体" w:cs="宋体"/>
          <w:sz w:val="24"/>
          <w:szCs w:val="24"/>
          <w:lang w:val="en-US" w:eastAsia="zh-CN"/>
        </w:rPr>
        <w:t>项目</w:t>
      </w:r>
      <w:r>
        <w:rPr>
          <w:rFonts w:hint="eastAsia" w:ascii="宋体" w:hAnsi="宋体" w:cs="宋体"/>
          <w:sz w:val="24"/>
          <w:szCs w:val="24"/>
          <w:lang w:val="en-US" w:eastAsia="zh-CN"/>
        </w:rPr>
        <w:t>是否</w:t>
      </w:r>
      <w:r>
        <w:rPr>
          <w:rFonts w:hint="eastAsia" w:ascii="宋体" w:hAnsi="宋体" w:eastAsia="宋体" w:cs="宋体"/>
          <w:sz w:val="24"/>
          <w:szCs w:val="24"/>
          <w:lang w:val="en-US" w:eastAsia="zh-CN"/>
        </w:rPr>
        <w:t>都合规</w:t>
      </w:r>
      <w:r>
        <w:rPr>
          <w:rFonts w:hint="eastAsia" w:ascii="宋体" w:hAnsi="宋体" w:cs="宋体"/>
          <w:sz w:val="24"/>
          <w:szCs w:val="24"/>
          <w:lang w:val="en-US" w:eastAsia="zh-CN"/>
        </w:rPr>
        <w:t>。</w:t>
      </w:r>
      <w:r>
        <w:rPr>
          <w:rFonts w:hint="eastAsia" w:ascii="宋体" w:hAnsi="宋体" w:eastAsia="宋体" w:cs="宋体"/>
          <w:sz w:val="24"/>
          <w:szCs w:val="24"/>
        </w:rPr>
        <w:t>根据泉州市丰泽</w:t>
      </w:r>
      <w:r>
        <w:rPr>
          <w:rFonts w:hint="eastAsia" w:ascii="宋体" w:hAnsi="宋体" w:cs="宋体"/>
          <w:sz w:val="24"/>
          <w:szCs w:val="24"/>
          <w:lang w:val="en-US" w:eastAsia="zh-CN"/>
        </w:rPr>
        <w:t>区财政局</w:t>
      </w:r>
      <w:r>
        <w:rPr>
          <w:rFonts w:hint="eastAsia" w:ascii="宋体" w:hAnsi="宋体" w:eastAsia="宋体" w:cs="宋体"/>
          <w:sz w:val="24"/>
          <w:szCs w:val="24"/>
        </w:rPr>
        <w:t>提供的资料及绩效评价工作组的调研，201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w:t>
      </w:r>
      <w:r>
        <w:rPr>
          <w:rFonts w:hint="eastAsia" w:ascii="宋体" w:hAnsi="宋体" w:eastAsia="宋体" w:cs="宋体"/>
          <w:sz w:val="24"/>
          <w:szCs w:val="24"/>
          <w:lang w:val="en-US" w:eastAsia="zh-CN"/>
        </w:rPr>
        <w:t>奖励扶持</w:t>
      </w:r>
      <w:r>
        <w:rPr>
          <w:rFonts w:hint="eastAsia" w:ascii="宋体" w:hAnsi="宋体" w:cs="宋体"/>
          <w:sz w:val="24"/>
          <w:szCs w:val="24"/>
          <w:lang w:val="en-US" w:eastAsia="zh-CN"/>
        </w:rPr>
        <w:t>的项目主要有2018年度区工信局负责的区级惠企政策奖励、2018年度区级创意产业政策奖励、泉州网商（虚拟）产业园扶持政策区级奖励、2019年数字经济发展专项区级配套资金、2019年度泉州市加快机械装备产业和两化融合发展专项资金（第二批）区级配套资金、2017年度区级科技计划项目第二笔扶持资金、2018年省级高新技术企业入库出库奖补区级配套资金、2019年度区级科技计划项目首笔扶持资金、2018年度科技优惠政策奖励、人才“港湾计划”促进人才优先发展政策资金（区工信科技局负责兑现），这些</w:t>
      </w:r>
      <w:r>
        <w:rPr>
          <w:rFonts w:hint="eastAsia" w:ascii="宋体" w:hAnsi="宋体" w:eastAsia="宋体" w:cs="宋体"/>
          <w:sz w:val="24"/>
          <w:szCs w:val="24"/>
          <w:lang w:val="en-US" w:eastAsia="zh-CN"/>
        </w:rPr>
        <w:t>奖励扶持</w:t>
      </w:r>
      <w:r>
        <w:rPr>
          <w:rFonts w:hint="eastAsia" w:ascii="宋体" w:hAnsi="宋体" w:cs="宋体"/>
          <w:sz w:val="24"/>
          <w:szCs w:val="24"/>
          <w:lang w:val="en-US" w:eastAsia="zh-CN"/>
        </w:rPr>
        <w:t>项目未发现有不合规的情况</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奖励扶持项目合规性</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产出质量指标合计得1</w:t>
      </w:r>
      <w:r>
        <w:rPr>
          <w:rFonts w:hint="eastAsia" w:ascii="宋体" w:hAnsi="宋体" w:cs="宋体"/>
          <w:kern w:val="0"/>
          <w:sz w:val="24"/>
          <w:szCs w:val="24"/>
          <w:lang w:val="en-US" w:eastAsia="zh-CN"/>
        </w:rPr>
        <w:t>0</w:t>
      </w:r>
      <w:r>
        <w:rPr>
          <w:rFonts w:hint="eastAsia" w:ascii="宋体" w:hAnsi="宋体" w:eastAsia="宋体" w:cs="宋体"/>
          <w:kern w:val="0"/>
          <w:sz w:val="24"/>
          <w:szCs w:val="24"/>
        </w:rPr>
        <w:t>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3.产出时效得</w:t>
      </w:r>
      <w:r>
        <w:rPr>
          <w:rFonts w:hint="eastAsia" w:ascii="宋体" w:hAnsi="宋体" w:cs="宋体"/>
          <w:b/>
          <w:bCs/>
          <w:sz w:val="24"/>
          <w:szCs w:val="24"/>
          <w:lang w:val="en-US" w:eastAsia="zh-CN"/>
        </w:rPr>
        <w:t>5</w:t>
      </w:r>
      <w:r>
        <w:rPr>
          <w:rFonts w:hint="eastAsia" w:ascii="宋体" w:hAnsi="宋体" w:eastAsia="宋体" w:cs="宋体"/>
          <w:b/>
          <w:bCs/>
          <w:sz w:val="24"/>
          <w:szCs w:val="24"/>
        </w:rPr>
        <w:t>分（共</w:t>
      </w:r>
      <w:r>
        <w:rPr>
          <w:rFonts w:hint="eastAsia" w:ascii="宋体" w:hAnsi="宋体" w:cs="宋体"/>
          <w:b/>
          <w:bCs/>
          <w:sz w:val="24"/>
          <w:szCs w:val="24"/>
          <w:lang w:val="en-US" w:eastAsia="zh-CN"/>
        </w:rPr>
        <w:t>6</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“产出时效”分解为“</w:t>
      </w:r>
      <w:r>
        <w:rPr>
          <w:rFonts w:hint="eastAsia" w:ascii="宋体" w:hAnsi="宋体" w:cs="宋体"/>
          <w:sz w:val="24"/>
          <w:szCs w:val="24"/>
          <w:lang w:val="en-US" w:eastAsia="zh-CN"/>
        </w:rPr>
        <w:t>资金拨付</w:t>
      </w:r>
      <w:r>
        <w:rPr>
          <w:rFonts w:hint="eastAsia" w:ascii="宋体" w:hAnsi="宋体" w:eastAsia="宋体" w:cs="宋体"/>
          <w:sz w:val="24"/>
          <w:szCs w:val="24"/>
        </w:rPr>
        <w:t>及时性”和“</w:t>
      </w:r>
      <w:r>
        <w:rPr>
          <w:rFonts w:hint="eastAsia" w:ascii="宋体" w:hAnsi="宋体" w:cs="宋体"/>
          <w:sz w:val="24"/>
          <w:szCs w:val="24"/>
          <w:lang w:val="en-US" w:eastAsia="zh-CN"/>
        </w:rPr>
        <w:t>项目开展</w:t>
      </w:r>
      <w:r>
        <w:rPr>
          <w:rFonts w:hint="eastAsia" w:ascii="宋体" w:hAnsi="宋体" w:eastAsia="宋体" w:cs="宋体"/>
          <w:sz w:val="24"/>
          <w:szCs w:val="24"/>
        </w:rPr>
        <w:t>及时性”</w:t>
      </w:r>
      <w:r>
        <w:rPr>
          <w:rFonts w:hint="eastAsia" w:ascii="宋体" w:hAnsi="宋体" w:cs="宋体"/>
          <w:sz w:val="24"/>
          <w:szCs w:val="24"/>
          <w:lang w:val="en-US" w:eastAsia="zh-CN"/>
        </w:rPr>
        <w:t>两</w:t>
      </w:r>
      <w:r>
        <w:rPr>
          <w:rFonts w:hint="eastAsia" w:ascii="宋体" w:hAnsi="宋体" w:eastAsia="宋体" w:cs="宋体"/>
          <w:sz w:val="24"/>
          <w:szCs w:val="24"/>
        </w:rPr>
        <w:t>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资金拨付</w:t>
      </w:r>
      <w:r>
        <w:rPr>
          <w:rFonts w:hint="eastAsia" w:ascii="宋体" w:hAnsi="宋体" w:eastAsia="宋体" w:cs="宋体"/>
          <w:sz w:val="24"/>
          <w:szCs w:val="24"/>
        </w:rPr>
        <w:t>及时性”得</w:t>
      </w:r>
      <w:r>
        <w:rPr>
          <w:rFonts w:hint="eastAsia" w:ascii="宋体" w:hAnsi="宋体" w:cs="宋体"/>
          <w:sz w:val="24"/>
          <w:szCs w:val="24"/>
          <w:lang w:val="en-US" w:eastAsia="zh-CN"/>
        </w:rPr>
        <w:t>2</w:t>
      </w:r>
      <w:r>
        <w:rPr>
          <w:rFonts w:hint="eastAsia" w:ascii="宋体" w:hAnsi="宋体" w:eastAsia="宋体" w:cs="宋体"/>
          <w:sz w:val="24"/>
          <w:szCs w:val="24"/>
        </w:rPr>
        <w:t>分（满分3分）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资金拨付</w:t>
      </w:r>
      <w:r>
        <w:rPr>
          <w:rFonts w:hint="eastAsia" w:ascii="宋体" w:hAnsi="宋体" w:eastAsia="宋体" w:cs="宋体"/>
          <w:sz w:val="24"/>
          <w:szCs w:val="24"/>
        </w:rPr>
        <w:t>及时性”指标用于评价</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度扶持企业科技基金及扶持企业发展专项基金是否均按计划、合同或有关规定及时拨付资金。</w:t>
      </w:r>
      <w:r>
        <w:rPr>
          <w:rFonts w:hint="eastAsia" w:ascii="宋体" w:hAnsi="宋体" w:eastAsia="宋体" w:cs="宋体"/>
          <w:sz w:val="24"/>
          <w:szCs w:val="24"/>
        </w:rPr>
        <w:t>根据泉州市丰泽</w:t>
      </w:r>
      <w:r>
        <w:rPr>
          <w:rFonts w:hint="eastAsia" w:ascii="宋体" w:hAnsi="宋体" w:cs="宋体"/>
          <w:sz w:val="24"/>
          <w:szCs w:val="24"/>
          <w:lang w:val="en-US" w:eastAsia="zh-CN"/>
        </w:rPr>
        <w:t>区财政局</w:t>
      </w:r>
      <w:r>
        <w:rPr>
          <w:rFonts w:hint="eastAsia" w:ascii="宋体" w:hAnsi="宋体" w:eastAsia="宋体" w:cs="宋体"/>
          <w:sz w:val="24"/>
          <w:szCs w:val="24"/>
        </w:rPr>
        <w:t>提供的资料及绩效评价工作组的调研，201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扶持的项目中有的资金拨付不及时，比如华创园2018和2019年的基本运营费。根据《华侨大学（丰泽）创新创业园运营商招标采购承包合同书》，2018和2019年度的基本运营费应分别在2018年2月1日前、2019年2月1日前付款，可实际上，2018和2019年的基本运营费是2019年7月4日才从区财政局拨付出去（泉丰财指标［2019］311号）。</w:t>
      </w:r>
      <w:r>
        <w:rPr>
          <w:rFonts w:hint="eastAsia" w:ascii="宋体" w:hAnsi="宋体" w:eastAsia="宋体" w:cs="宋体"/>
          <w:sz w:val="24"/>
          <w:szCs w:val="24"/>
        </w:rPr>
        <w:t>根据评分标准，</w:t>
      </w:r>
      <w:r>
        <w:rPr>
          <w:rFonts w:hint="eastAsia" w:ascii="宋体" w:hAnsi="宋体" w:cs="宋体"/>
          <w:sz w:val="24"/>
          <w:szCs w:val="24"/>
          <w:lang w:val="en-US" w:eastAsia="zh-CN"/>
        </w:rPr>
        <w:t>酌情扣1分，</w:t>
      </w:r>
      <w:r>
        <w:rPr>
          <w:rFonts w:hint="eastAsia" w:ascii="宋体" w:hAnsi="宋体" w:eastAsia="宋体" w:cs="宋体"/>
          <w:sz w:val="24"/>
          <w:szCs w:val="24"/>
        </w:rPr>
        <w:t>“</w:t>
      </w:r>
      <w:r>
        <w:rPr>
          <w:rFonts w:hint="eastAsia" w:ascii="宋体" w:hAnsi="宋体" w:cs="宋体"/>
          <w:sz w:val="24"/>
          <w:szCs w:val="24"/>
          <w:lang w:val="en-US" w:eastAsia="zh-CN"/>
        </w:rPr>
        <w:t>资金拨付</w:t>
      </w:r>
      <w:r>
        <w:rPr>
          <w:rFonts w:hint="eastAsia" w:ascii="宋体" w:hAnsi="宋体" w:eastAsia="宋体" w:cs="宋体"/>
          <w:sz w:val="24"/>
          <w:szCs w:val="24"/>
        </w:rPr>
        <w:t>及时性”得</w:t>
      </w:r>
      <w:r>
        <w:rPr>
          <w:rFonts w:hint="eastAsia" w:ascii="宋体" w:hAnsi="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项目开展</w:t>
      </w:r>
      <w:r>
        <w:rPr>
          <w:rFonts w:hint="eastAsia" w:ascii="宋体" w:hAnsi="宋体" w:eastAsia="宋体" w:cs="宋体"/>
          <w:sz w:val="24"/>
          <w:szCs w:val="24"/>
        </w:rPr>
        <w:t>及时性”得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项目开展</w:t>
      </w:r>
      <w:r>
        <w:rPr>
          <w:rFonts w:hint="eastAsia" w:ascii="宋体" w:hAnsi="宋体" w:eastAsia="宋体" w:cs="宋体"/>
          <w:sz w:val="24"/>
          <w:szCs w:val="24"/>
        </w:rPr>
        <w:t>及时性”指标用于评价</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度扶持企业科技基金及扶持企业发展专项基金扶持的</w:t>
      </w:r>
      <w:r>
        <w:rPr>
          <w:rFonts w:hint="eastAsia" w:ascii="宋体" w:hAnsi="宋体" w:eastAsia="宋体" w:cs="宋体"/>
          <w:sz w:val="24"/>
          <w:szCs w:val="24"/>
          <w:lang w:val="en-US" w:eastAsia="zh-CN"/>
        </w:rPr>
        <w:t>建设项目或活动</w:t>
      </w:r>
      <w:r>
        <w:rPr>
          <w:rFonts w:hint="eastAsia" w:ascii="宋体" w:hAnsi="宋体" w:cs="宋体"/>
          <w:sz w:val="24"/>
          <w:szCs w:val="24"/>
          <w:lang w:val="en-US" w:eastAsia="zh-CN"/>
        </w:rPr>
        <w:t>是否按计划开展。</w:t>
      </w:r>
      <w:r>
        <w:rPr>
          <w:rFonts w:hint="eastAsia" w:ascii="宋体" w:hAnsi="宋体" w:eastAsia="宋体" w:cs="宋体"/>
          <w:sz w:val="24"/>
          <w:szCs w:val="24"/>
        </w:rPr>
        <w:t>根据泉州市丰泽</w:t>
      </w:r>
      <w:r>
        <w:rPr>
          <w:rFonts w:hint="eastAsia" w:ascii="宋体" w:hAnsi="宋体" w:cs="宋体"/>
          <w:sz w:val="24"/>
          <w:szCs w:val="24"/>
          <w:lang w:val="en-US" w:eastAsia="zh-CN"/>
        </w:rPr>
        <w:t>区财政局</w:t>
      </w:r>
      <w:r>
        <w:rPr>
          <w:rFonts w:hint="eastAsia" w:ascii="宋体" w:hAnsi="宋体" w:eastAsia="宋体" w:cs="宋体"/>
          <w:sz w:val="24"/>
          <w:szCs w:val="24"/>
        </w:rPr>
        <w:t>提供的资料及绩效评价工作组的调研，201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度扶持企业科技基金及扶持企业发展专项基金共扶持了4个建设项目（其中</w:t>
      </w:r>
      <w:r>
        <w:rPr>
          <w:rFonts w:hint="eastAsia" w:ascii="宋体" w:hAnsi="宋体" w:eastAsia="宋体" w:cs="宋体"/>
          <w:sz w:val="24"/>
          <w:szCs w:val="24"/>
          <w:lang w:val="en-US" w:eastAsia="zh-CN"/>
        </w:rPr>
        <w:t>华创园3个</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公安局</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个</w:t>
      </w:r>
      <w:r>
        <w:rPr>
          <w:rFonts w:hint="eastAsia" w:ascii="宋体" w:hAnsi="宋体" w:cs="宋体"/>
          <w:sz w:val="24"/>
          <w:szCs w:val="24"/>
          <w:lang w:val="en-US" w:eastAsia="zh-CN"/>
        </w:rPr>
        <w:t>）和2项活动（2018年“创响中国”泉州丰泽站暨海上丝绸之路国际数字商业创新节活动、丰泽区科技成果转化与企业技术需求对接会），这些建设项目或活动均按计划完成了建设或开展了活动。</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项目开展</w:t>
      </w:r>
      <w:r>
        <w:rPr>
          <w:rFonts w:hint="eastAsia" w:ascii="宋体" w:hAnsi="宋体" w:eastAsia="宋体" w:cs="宋体"/>
          <w:sz w:val="24"/>
          <w:szCs w:val="24"/>
        </w:rPr>
        <w:t>及时性”得</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产出时效指标合计得</w:t>
      </w:r>
      <w:r>
        <w:rPr>
          <w:rFonts w:hint="eastAsia" w:ascii="宋体" w:hAnsi="宋体" w:cs="宋体"/>
          <w:kern w:val="0"/>
          <w:sz w:val="24"/>
          <w:szCs w:val="24"/>
          <w:lang w:val="en-US" w:eastAsia="zh-CN"/>
        </w:rPr>
        <w:t>5</w:t>
      </w:r>
      <w:r>
        <w:rPr>
          <w:rFonts w:hint="eastAsia" w:ascii="宋体" w:hAnsi="宋体" w:eastAsia="宋体" w:cs="宋体"/>
          <w:kern w:val="0"/>
          <w:sz w:val="24"/>
          <w:szCs w:val="24"/>
        </w:rPr>
        <w:t>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4.产出成本得</w:t>
      </w:r>
      <w:r>
        <w:rPr>
          <w:rFonts w:hint="eastAsia" w:ascii="宋体" w:hAnsi="宋体" w:cs="宋体"/>
          <w:b/>
          <w:bCs/>
          <w:sz w:val="24"/>
          <w:szCs w:val="24"/>
          <w:lang w:val="en-US" w:eastAsia="zh-CN"/>
        </w:rPr>
        <w:t>4</w:t>
      </w:r>
      <w:r>
        <w:rPr>
          <w:rFonts w:hint="eastAsia" w:ascii="宋体" w:hAnsi="宋体" w:eastAsia="宋体" w:cs="宋体"/>
          <w:b/>
          <w:bCs/>
          <w:sz w:val="24"/>
          <w:szCs w:val="24"/>
        </w:rPr>
        <w:t>分（共</w:t>
      </w:r>
      <w:r>
        <w:rPr>
          <w:rFonts w:hint="eastAsia" w:ascii="宋体" w:hAnsi="宋体" w:cs="宋体"/>
          <w:b/>
          <w:bCs/>
          <w:sz w:val="24"/>
          <w:szCs w:val="24"/>
          <w:lang w:val="en-US" w:eastAsia="zh-CN"/>
        </w:rPr>
        <w:t>4</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“产出成本”</w:t>
      </w:r>
      <w:r>
        <w:rPr>
          <w:rFonts w:hint="eastAsia" w:ascii="宋体" w:hAnsi="宋体" w:cs="宋体"/>
          <w:sz w:val="24"/>
          <w:szCs w:val="24"/>
          <w:lang w:val="en-US" w:eastAsia="zh-CN"/>
        </w:rPr>
        <w:t>通过</w:t>
      </w:r>
      <w:r>
        <w:rPr>
          <w:rFonts w:hint="eastAsia" w:ascii="宋体" w:hAnsi="宋体" w:eastAsia="宋体" w:cs="宋体"/>
          <w:sz w:val="24"/>
          <w:szCs w:val="24"/>
        </w:rPr>
        <w:t>“成本</w:t>
      </w:r>
      <w:r>
        <w:rPr>
          <w:rFonts w:hint="eastAsia" w:ascii="宋体" w:hAnsi="宋体" w:eastAsia="宋体" w:cs="宋体"/>
          <w:sz w:val="24"/>
          <w:szCs w:val="24"/>
          <w:lang w:val="en-US" w:eastAsia="zh-CN"/>
        </w:rPr>
        <w:t>节约情况</w:t>
      </w:r>
      <w:r>
        <w:rPr>
          <w:rFonts w:hint="eastAsia" w:ascii="宋体" w:hAnsi="宋体" w:eastAsia="宋体" w:cs="宋体"/>
          <w:sz w:val="24"/>
          <w:szCs w:val="24"/>
        </w:rPr>
        <w:t>”</w:t>
      </w:r>
      <w:r>
        <w:rPr>
          <w:rFonts w:hint="eastAsia" w:ascii="宋体" w:hAnsi="宋体" w:cs="宋体"/>
          <w:sz w:val="24"/>
          <w:szCs w:val="24"/>
          <w:lang w:val="en-US" w:eastAsia="zh-CN"/>
        </w:rPr>
        <w:t>这</w:t>
      </w:r>
      <w:r>
        <w:rPr>
          <w:rFonts w:hint="eastAsia" w:ascii="宋体" w:hAnsi="宋体" w:eastAsia="宋体" w:cs="宋体"/>
          <w:sz w:val="24"/>
          <w:szCs w:val="24"/>
        </w:rPr>
        <w:t>个三级指标</w:t>
      </w:r>
      <w:r>
        <w:rPr>
          <w:rFonts w:hint="eastAsia" w:ascii="宋体" w:hAnsi="宋体" w:cs="宋体"/>
          <w:sz w:val="24"/>
          <w:szCs w:val="24"/>
          <w:lang w:val="en-US" w:eastAsia="zh-CN"/>
        </w:rPr>
        <w:t>来评价</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“成本</w:t>
      </w:r>
      <w:r>
        <w:rPr>
          <w:rFonts w:hint="eastAsia" w:ascii="宋体" w:hAnsi="宋体" w:eastAsia="宋体" w:cs="宋体"/>
          <w:sz w:val="24"/>
          <w:szCs w:val="24"/>
          <w:lang w:val="en-US" w:eastAsia="zh-CN"/>
        </w:rPr>
        <w:t>节约情况</w:t>
      </w:r>
      <w:r>
        <w:rPr>
          <w:rFonts w:hint="eastAsia" w:ascii="宋体" w:hAnsi="宋体" w:eastAsia="宋体" w:cs="宋体"/>
          <w:sz w:val="24"/>
          <w:szCs w:val="24"/>
        </w:rPr>
        <w:t>”指标用于评价</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度扶持企业科技基金及扶持企业发展专项基金扶持的</w:t>
      </w:r>
      <w:r>
        <w:rPr>
          <w:rFonts w:hint="eastAsia" w:ascii="宋体" w:hAnsi="宋体" w:eastAsia="宋体" w:cs="宋体"/>
          <w:sz w:val="24"/>
          <w:szCs w:val="24"/>
          <w:lang w:val="en-US" w:eastAsia="zh-CN"/>
        </w:rPr>
        <w:t>所有项目实际成本</w:t>
      </w:r>
      <w:r>
        <w:rPr>
          <w:rFonts w:hint="eastAsia" w:ascii="宋体" w:hAnsi="宋体" w:cs="宋体"/>
          <w:sz w:val="24"/>
          <w:szCs w:val="24"/>
          <w:lang w:val="en-US" w:eastAsia="zh-CN"/>
        </w:rPr>
        <w:t>是否</w:t>
      </w:r>
      <w:r>
        <w:rPr>
          <w:rFonts w:hint="eastAsia" w:ascii="宋体" w:hAnsi="宋体" w:eastAsia="宋体" w:cs="宋体"/>
          <w:sz w:val="24"/>
          <w:szCs w:val="24"/>
          <w:lang w:val="en-US" w:eastAsia="zh-CN"/>
        </w:rPr>
        <w:t>超过计划或预算成本</w:t>
      </w:r>
      <w:r>
        <w:rPr>
          <w:rFonts w:hint="eastAsia" w:ascii="宋体" w:hAnsi="宋体" w:cs="宋体"/>
          <w:sz w:val="24"/>
          <w:szCs w:val="24"/>
          <w:lang w:val="en-US" w:eastAsia="zh-CN"/>
        </w:rPr>
        <w:t>。</w:t>
      </w:r>
      <w:r>
        <w:rPr>
          <w:rFonts w:hint="eastAsia" w:ascii="宋体" w:hAnsi="宋体" w:eastAsia="宋体" w:cs="宋体"/>
          <w:sz w:val="24"/>
          <w:szCs w:val="24"/>
        </w:rPr>
        <w:t>根据泉州市丰泽</w:t>
      </w:r>
      <w:r>
        <w:rPr>
          <w:rFonts w:hint="eastAsia" w:ascii="宋体" w:hAnsi="宋体" w:cs="宋体"/>
          <w:sz w:val="24"/>
          <w:szCs w:val="24"/>
          <w:lang w:val="en-US" w:eastAsia="zh-CN"/>
        </w:rPr>
        <w:t>区财政局</w:t>
      </w:r>
      <w:r>
        <w:rPr>
          <w:rFonts w:hint="eastAsia" w:ascii="宋体" w:hAnsi="宋体" w:eastAsia="宋体" w:cs="宋体"/>
          <w:sz w:val="24"/>
          <w:szCs w:val="24"/>
        </w:rPr>
        <w:t>提供的资料及绩效评价工作组的调研，201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主要扶持了2个产业园区的建设和运营、10个奖励扶持（补助）项目、2项活动、泉州南京大学环保产业研究院和区信息中心的部分经费，以及公安局的2个项目，这些项目的实际支出成本均没有</w:t>
      </w:r>
      <w:r>
        <w:rPr>
          <w:rFonts w:hint="eastAsia" w:ascii="宋体" w:hAnsi="宋体" w:eastAsia="宋体" w:cs="宋体"/>
          <w:sz w:val="24"/>
          <w:szCs w:val="24"/>
          <w:lang w:val="en-US" w:eastAsia="zh-CN"/>
        </w:rPr>
        <w:t>超过计划或预算成本</w:t>
      </w:r>
      <w:r>
        <w:rPr>
          <w:rFonts w:hint="eastAsia" w:ascii="宋体" w:hAnsi="宋体" w:cs="宋体"/>
          <w:sz w:val="24"/>
          <w:szCs w:val="24"/>
          <w:lang w:val="en-US" w:eastAsia="zh-CN"/>
        </w:rPr>
        <w:t>。</w:t>
      </w:r>
      <w:r>
        <w:rPr>
          <w:rFonts w:hint="eastAsia" w:ascii="宋体" w:hAnsi="宋体" w:eastAsia="宋体" w:cs="宋体"/>
          <w:sz w:val="24"/>
          <w:szCs w:val="24"/>
        </w:rPr>
        <w:t>根据评分标准，“成本</w:t>
      </w:r>
      <w:r>
        <w:rPr>
          <w:rFonts w:hint="eastAsia" w:ascii="宋体" w:hAnsi="宋体" w:eastAsia="宋体" w:cs="宋体"/>
          <w:sz w:val="24"/>
          <w:szCs w:val="24"/>
          <w:lang w:val="en-US" w:eastAsia="zh-CN"/>
        </w:rPr>
        <w:t>节约情况</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产出成本指标合计得</w:t>
      </w:r>
      <w:r>
        <w:rPr>
          <w:rFonts w:hint="eastAsia" w:ascii="宋体" w:hAnsi="宋体" w:cs="宋体"/>
          <w:kern w:val="0"/>
          <w:sz w:val="24"/>
          <w:szCs w:val="24"/>
          <w:lang w:val="en-US" w:eastAsia="zh-CN"/>
        </w:rPr>
        <w:t>4</w:t>
      </w:r>
      <w:r>
        <w:rPr>
          <w:rFonts w:hint="eastAsia" w:ascii="宋体" w:hAnsi="宋体" w:eastAsia="宋体" w:cs="宋体"/>
          <w:kern w:val="0"/>
          <w:sz w:val="24"/>
          <w:szCs w:val="24"/>
        </w:rPr>
        <w:t>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最终，产出指标总得分为</w:t>
      </w:r>
      <w:r>
        <w:rPr>
          <w:rFonts w:hint="eastAsia" w:ascii="宋体" w:hAnsi="宋体" w:cs="宋体"/>
          <w:kern w:val="0"/>
          <w:sz w:val="24"/>
          <w:szCs w:val="24"/>
          <w:lang w:val="en-US" w:eastAsia="zh-CN"/>
        </w:rPr>
        <w:t>36</w:t>
      </w:r>
      <w:r>
        <w:rPr>
          <w:rFonts w:hint="eastAsia" w:ascii="宋体" w:hAnsi="宋体" w:eastAsia="宋体" w:cs="宋体"/>
          <w:kern w:val="0"/>
          <w:sz w:val="24"/>
          <w:szCs w:val="24"/>
        </w:rPr>
        <w:t>分。</w:t>
      </w:r>
    </w:p>
    <w:p>
      <w:pPr>
        <w:pStyle w:val="3"/>
        <w:spacing w:before="0" w:after="0" w:line="360" w:lineRule="auto"/>
        <w:ind w:firstLine="560" w:firstLineChars="200"/>
        <w:rPr>
          <w:rFonts w:ascii="方正小标宋_GBK" w:hAnsi="仿宋" w:eastAsia="方正小标宋_GBK" w:cs="黑体"/>
          <w:sz w:val="28"/>
          <w:szCs w:val="28"/>
        </w:rPr>
      </w:pPr>
      <w:bookmarkStart w:id="56" w:name="_Toc31290"/>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四</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项目</w:t>
      </w:r>
      <w:r>
        <w:rPr>
          <w:rFonts w:hint="eastAsia" w:ascii="方正小标宋_GBK" w:hAnsi="仿宋" w:eastAsia="方正小标宋_GBK" w:cs="黑体"/>
          <w:sz w:val="28"/>
          <w:szCs w:val="28"/>
        </w:rPr>
        <w:t>效益</w:t>
      </w:r>
      <w:r>
        <w:rPr>
          <w:rFonts w:hint="eastAsia" w:ascii="方正小标宋_GBK" w:hAnsi="仿宋" w:eastAsia="方正小标宋_GBK" w:cs="黑体"/>
          <w:sz w:val="28"/>
          <w:szCs w:val="28"/>
          <w:lang w:val="en-US" w:eastAsia="zh-CN"/>
        </w:rPr>
        <w:t>情况</w:t>
      </w:r>
      <w:r>
        <w:rPr>
          <w:rFonts w:hint="eastAsia" w:ascii="方正小标宋_GBK" w:hAnsi="仿宋" w:eastAsia="方正小标宋_GBK" w:cs="黑体"/>
          <w:sz w:val="28"/>
          <w:szCs w:val="28"/>
        </w:rPr>
        <w:t>得2</w:t>
      </w:r>
      <w:r>
        <w:rPr>
          <w:rFonts w:hint="eastAsia" w:ascii="方正小标宋_GBK" w:hAnsi="仿宋" w:eastAsia="方正小标宋_GBK" w:cs="黑体"/>
          <w:sz w:val="28"/>
          <w:szCs w:val="28"/>
          <w:lang w:val="en-US" w:eastAsia="zh-CN"/>
        </w:rPr>
        <w:t>5</w:t>
      </w:r>
      <w:r>
        <w:rPr>
          <w:rFonts w:hint="eastAsia" w:ascii="方正小标宋_GBK" w:hAnsi="仿宋" w:eastAsia="方正小标宋_GBK" w:cs="黑体"/>
          <w:sz w:val="28"/>
          <w:szCs w:val="28"/>
        </w:rPr>
        <w:t>分（共30分）</w:t>
      </w:r>
      <w:bookmarkEnd w:id="56"/>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一级指标“效益”下设“</w:t>
      </w:r>
      <w:r>
        <w:rPr>
          <w:rFonts w:hint="eastAsia" w:ascii="宋体" w:hAnsi="宋体" w:cs="宋体"/>
          <w:sz w:val="24"/>
          <w:szCs w:val="24"/>
          <w:lang w:val="en-US" w:eastAsia="zh-CN"/>
        </w:rPr>
        <w:t>项目</w:t>
      </w:r>
      <w:r>
        <w:rPr>
          <w:rFonts w:hint="eastAsia" w:ascii="宋体" w:hAnsi="宋体" w:eastAsia="宋体" w:cs="宋体"/>
          <w:sz w:val="24"/>
          <w:szCs w:val="24"/>
        </w:rPr>
        <w:t>效益”和“</w:t>
      </w:r>
      <w:r>
        <w:rPr>
          <w:rFonts w:hint="eastAsia" w:ascii="宋体" w:hAnsi="宋体" w:cs="宋体"/>
          <w:sz w:val="24"/>
          <w:szCs w:val="24"/>
          <w:lang w:val="en-US" w:eastAsia="zh-CN"/>
        </w:rPr>
        <w:t>满意度</w:t>
      </w:r>
      <w:r>
        <w:rPr>
          <w:rFonts w:hint="eastAsia" w:ascii="宋体" w:hAnsi="宋体" w:eastAsia="宋体" w:cs="宋体"/>
          <w:sz w:val="24"/>
          <w:szCs w:val="24"/>
        </w:rPr>
        <w:t>”</w:t>
      </w:r>
      <w:r>
        <w:rPr>
          <w:rFonts w:hint="eastAsia" w:ascii="宋体" w:hAnsi="宋体" w:cs="宋体"/>
          <w:sz w:val="24"/>
          <w:szCs w:val="24"/>
          <w:lang w:val="en-US" w:eastAsia="zh-CN"/>
        </w:rPr>
        <w:t>两</w:t>
      </w:r>
      <w:r>
        <w:rPr>
          <w:rFonts w:hint="eastAsia" w:ascii="宋体" w:hAnsi="宋体" w:eastAsia="宋体" w:cs="宋体"/>
          <w:sz w:val="24"/>
          <w:szCs w:val="24"/>
        </w:rPr>
        <w:t>个二级指标。</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cs="宋体"/>
          <w:b/>
          <w:bCs/>
          <w:sz w:val="24"/>
          <w:szCs w:val="24"/>
          <w:lang w:val="en-US" w:eastAsia="zh-CN"/>
        </w:rPr>
        <w:t>项目</w:t>
      </w:r>
      <w:r>
        <w:rPr>
          <w:rFonts w:hint="eastAsia" w:ascii="宋体" w:hAnsi="宋体" w:eastAsia="宋体" w:cs="宋体"/>
          <w:b/>
          <w:bCs/>
          <w:sz w:val="24"/>
          <w:szCs w:val="24"/>
        </w:rPr>
        <w:t>效益得</w:t>
      </w:r>
      <w:r>
        <w:rPr>
          <w:rFonts w:hint="eastAsia" w:ascii="宋体" w:hAnsi="宋体" w:cs="宋体"/>
          <w:b/>
          <w:bCs/>
          <w:sz w:val="24"/>
          <w:szCs w:val="24"/>
          <w:lang w:val="en-US" w:eastAsia="zh-CN"/>
        </w:rPr>
        <w:t>20</w:t>
      </w:r>
      <w:r>
        <w:rPr>
          <w:rFonts w:hint="eastAsia" w:ascii="宋体" w:hAnsi="宋体" w:eastAsia="宋体" w:cs="宋体"/>
          <w:b/>
          <w:bCs/>
          <w:sz w:val="24"/>
          <w:szCs w:val="24"/>
        </w:rPr>
        <w:t>分（共</w:t>
      </w:r>
      <w:r>
        <w:rPr>
          <w:rFonts w:hint="eastAsia" w:ascii="宋体" w:hAnsi="宋体" w:cs="宋体"/>
          <w:b/>
          <w:bCs/>
          <w:sz w:val="24"/>
          <w:szCs w:val="24"/>
          <w:lang w:val="en-US" w:eastAsia="zh-CN"/>
        </w:rPr>
        <w:t>25</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项目</w:t>
      </w:r>
      <w:r>
        <w:rPr>
          <w:rFonts w:hint="eastAsia" w:ascii="宋体" w:hAnsi="宋体" w:eastAsia="宋体" w:cs="宋体"/>
          <w:sz w:val="24"/>
          <w:szCs w:val="24"/>
        </w:rPr>
        <w:t>效益”分解为“</w:t>
      </w:r>
      <w:r>
        <w:rPr>
          <w:rFonts w:hint="eastAsia" w:ascii="宋体" w:hAnsi="宋体" w:eastAsia="宋体" w:cs="宋体"/>
          <w:sz w:val="24"/>
          <w:szCs w:val="24"/>
          <w:lang w:val="en-US" w:eastAsia="zh-CN"/>
        </w:rPr>
        <w:t>国家高新技术企业实现产值增长率</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园区内企业纳税金额增长率</w:t>
      </w:r>
      <w:r>
        <w:rPr>
          <w:rFonts w:hint="eastAsia" w:ascii="宋体" w:hAnsi="宋体" w:cs="宋体"/>
          <w:sz w:val="24"/>
          <w:szCs w:val="24"/>
          <w:lang w:eastAsia="zh-CN"/>
        </w:rPr>
        <w:t>”“</w:t>
      </w:r>
      <w:r>
        <w:rPr>
          <w:rFonts w:hint="eastAsia" w:ascii="宋体" w:hAnsi="宋体" w:cs="宋体"/>
          <w:sz w:val="24"/>
          <w:szCs w:val="24"/>
          <w:lang w:val="en-US" w:eastAsia="zh-CN"/>
        </w:rPr>
        <w:t>规上工业</w:t>
      </w:r>
      <w:r>
        <w:rPr>
          <w:rFonts w:hint="eastAsia" w:ascii="宋体" w:hAnsi="宋体" w:cs="宋体"/>
          <w:sz w:val="24"/>
          <w:szCs w:val="24"/>
          <w:lang w:eastAsia="zh-CN"/>
        </w:rPr>
        <w:t>R&amp;D</w:t>
      </w:r>
      <w:r>
        <w:rPr>
          <w:rFonts w:hint="eastAsia" w:ascii="宋体" w:hAnsi="宋体" w:cs="宋体"/>
          <w:sz w:val="24"/>
          <w:szCs w:val="24"/>
          <w:lang w:val="en-US" w:eastAsia="zh-CN"/>
        </w:rPr>
        <w:t>经费投入</w:t>
      </w:r>
      <w:r>
        <w:rPr>
          <w:rFonts w:hint="eastAsia" w:ascii="宋体" w:hAnsi="宋体" w:cs="宋体"/>
          <w:sz w:val="24"/>
          <w:szCs w:val="24"/>
          <w:lang w:eastAsia="zh-CN"/>
        </w:rPr>
        <w:t>占</w:t>
      </w:r>
      <w:r>
        <w:rPr>
          <w:rFonts w:hint="eastAsia" w:ascii="宋体" w:hAnsi="宋体" w:cs="宋体"/>
          <w:sz w:val="24"/>
          <w:szCs w:val="24"/>
          <w:lang w:val="en-US" w:eastAsia="zh-CN"/>
        </w:rPr>
        <w:t>规上工业增加值</w:t>
      </w:r>
      <w:r>
        <w:rPr>
          <w:rFonts w:hint="eastAsia" w:ascii="宋体" w:hAnsi="宋体" w:cs="宋体"/>
          <w:sz w:val="24"/>
          <w:szCs w:val="24"/>
          <w:lang w:eastAsia="zh-CN"/>
        </w:rPr>
        <w:t>比</w:t>
      </w:r>
      <w:r>
        <w:rPr>
          <w:rFonts w:hint="eastAsia" w:ascii="宋体" w:hAnsi="宋体" w:cs="宋体"/>
          <w:sz w:val="24"/>
          <w:szCs w:val="24"/>
          <w:lang w:val="en-US" w:eastAsia="zh-CN"/>
        </w:rPr>
        <w:t>重</w:t>
      </w:r>
      <w:r>
        <w:rPr>
          <w:rFonts w:hint="eastAsia" w:ascii="宋体" w:hAnsi="宋体" w:cs="宋体"/>
          <w:sz w:val="24"/>
          <w:szCs w:val="24"/>
          <w:lang w:eastAsia="zh-CN"/>
        </w:rPr>
        <w:t>”“技术改造投资增速”“技术合同</w:t>
      </w:r>
      <w:r>
        <w:rPr>
          <w:rFonts w:hint="eastAsia" w:ascii="宋体" w:hAnsi="宋体" w:cs="宋体"/>
          <w:sz w:val="24"/>
          <w:szCs w:val="24"/>
          <w:lang w:val="en-US" w:eastAsia="zh-CN"/>
        </w:rPr>
        <w:t>成交金</w:t>
      </w:r>
      <w:r>
        <w:rPr>
          <w:rFonts w:hint="eastAsia" w:ascii="宋体" w:hAnsi="宋体" w:cs="宋体"/>
          <w:sz w:val="24"/>
          <w:szCs w:val="24"/>
          <w:lang w:eastAsia="zh-CN"/>
        </w:rPr>
        <w:t>额”“</w:t>
      </w:r>
      <w:r>
        <w:rPr>
          <w:rFonts w:hint="eastAsia" w:ascii="宋体" w:hAnsi="宋体" w:cs="宋体"/>
          <w:sz w:val="24"/>
          <w:szCs w:val="24"/>
          <w:lang w:val="en-US" w:eastAsia="zh-CN"/>
        </w:rPr>
        <w:t>上级政府科技进步奖励</w:t>
      </w:r>
      <w:r>
        <w:rPr>
          <w:rFonts w:hint="eastAsia" w:ascii="宋体" w:hAnsi="宋体" w:cs="宋体"/>
          <w:sz w:val="24"/>
          <w:szCs w:val="24"/>
          <w:lang w:eastAsia="zh-CN"/>
        </w:rPr>
        <w:t>”</w:t>
      </w:r>
      <w:r>
        <w:rPr>
          <w:rFonts w:hint="eastAsia" w:ascii="宋体" w:hAnsi="宋体" w:eastAsia="宋体" w:cs="宋体"/>
          <w:sz w:val="24"/>
          <w:szCs w:val="24"/>
        </w:rPr>
        <w:t>和“</w:t>
      </w:r>
      <w:r>
        <w:rPr>
          <w:rFonts w:hint="eastAsia" w:ascii="宋体" w:hAnsi="宋体" w:eastAsia="宋体" w:cs="宋体"/>
          <w:sz w:val="24"/>
          <w:szCs w:val="24"/>
          <w:lang w:val="en-US" w:eastAsia="zh-CN"/>
        </w:rPr>
        <w:t>高层次</w:t>
      </w:r>
      <w:r>
        <w:rPr>
          <w:rFonts w:hint="eastAsia" w:ascii="宋体" w:hAnsi="宋体" w:eastAsia="宋体" w:cs="宋体"/>
          <w:sz w:val="24"/>
          <w:szCs w:val="24"/>
        </w:rPr>
        <w:t>人才集聚”</w:t>
      </w:r>
      <w:r>
        <w:rPr>
          <w:rFonts w:hint="eastAsia" w:ascii="宋体" w:hAnsi="宋体" w:cs="宋体"/>
          <w:sz w:val="24"/>
          <w:szCs w:val="24"/>
          <w:lang w:val="en-US" w:eastAsia="zh-CN"/>
        </w:rPr>
        <w:t>七</w:t>
      </w:r>
      <w:r>
        <w:rPr>
          <w:rFonts w:hint="eastAsia" w:ascii="宋体" w:hAnsi="宋体" w:eastAsia="宋体" w:cs="宋体"/>
          <w:sz w:val="24"/>
          <w:szCs w:val="24"/>
        </w:rPr>
        <w:t>个三级指标。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国家高新技术企业实现产值增长率</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分（满分4分）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国家高新技术企业实现产值增长率</w:t>
      </w:r>
      <w:r>
        <w:rPr>
          <w:rFonts w:hint="eastAsia" w:ascii="宋体" w:hAnsi="宋体" w:eastAsia="宋体" w:cs="宋体"/>
          <w:sz w:val="24"/>
          <w:szCs w:val="24"/>
        </w:rPr>
        <w:t>”指标用于评价</w:t>
      </w:r>
      <w:r>
        <w:rPr>
          <w:rFonts w:hint="eastAsia" w:ascii="宋体" w:hAnsi="宋体" w:cs="宋体"/>
          <w:sz w:val="24"/>
          <w:szCs w:val="24"/>
          <w:lang w:val="en-US" w:eastAsia="zh-CN"/>
        </w:rPr>
        <w:t>2019年泉州市丰泽区</w:t>
      </w:r>
      <w:r>
        <w:rPr>
          <w:rFonts w:hint="eastAsia" w:ascii="宋体" w:hAnsi="宋体" w:eastAsia="宋体" w:cs="宋体"/>
          <w:sz w:val="24"/>
          <w:szCs w:val="24"/>
          <w:lang w:val="en-US" w:eastAsia="zh-CN"/>
        </w:rPr>
        <w:t>国家高新技术企业实现产值增长</w:t>
      </w:r>
      <w:r>
        <w:rPr>
          <w:rFonts w:hint="eastAsia" w:ascii="宋体" w:hAnsi="宋体" w:cs="宋体"/>
          <w:sz w:val="24"/>
          <w:szCs w:val="24"/>
          <w:lang w:val="en-US" w:eastAsia="zh-CN"/>
        </w:rPr>
        <w:t>情况。</w:t>
      </w:r>
      <w:r>
        <w:rPr>
          <w:rFonts w:hint="eastAsia" w:ascii="宋体" w:hAnsi="宋体" w:eastAsia="宋体" w:cs="宋体"/>
          <w:sz w:val="24"/>
          <w:szCs w:val="24"/>
        </w:rPr>
        <w:t>根据泉州市丰泽</w:t>
      </w:r>
      <w:r>
        <w:rPr>
          <w:rFonts w:hint="eastAsia" w:ascii="宋体" w:hAnsi="宋体" w:cs="宋体"/>
          <w:sz w:val="24"/>
          <w:szCs w:val="24"/>
          <w:lang w:val="en-US" w:eastAsia="zh-CN"/>
        </w:rPr>
        <w:t>区工业信息化和科技局</w:t>
      </w:r>
      <w:r>
        <w:rPr>
          <w:rFonts w:hint="eastAsia" w:ascii="宋体" w:hAnsi="宋体" w:eastAsia="宋体" w:cs="宋体"/>
          <w:sz w:val="24"/>
          <w:szCs w:val="24"/>
        </w:rPr>
        <w:t>提供的</w:t>
      </w:r>
      <w:r>
        <w:rPr>
          <w:rFonts w:hint="eastAsia" w:ascii="宋体" w:hAnsi="宋体" w:cs="宋体"/>
          <w:sz w:val="24"/>
          <w:szCs w:val="24"/>
          <w:lang w:val="en-US" w:eastAsia="zh-CN"/>
        </w:rPr>
        <w:t>数据</w:t>
      </w:r>
      <w:r>
        <w:rPr>
          <w:rFonts w:hint="eastAsia" w:ascii="宋体" w:hAnsi="宋体" w:eastAsia="宋体" w:cs="宋体"/>
          <w:sz w:val="24"/>
          <w:szCs w:val="24"/>
        </w:rPr>
        <w:t>资料</w:t>
      </w:r>
      <w:r>
        <w:rPr>
          <w:rFonts w:hint="eastAsia" w:ascii="宋体" w:hAnsi="宋体" w:cs="宋体"/>
          <w:sz w:val="24"/>
          <w:szCs w:val="24"/>
          <w:lang w:eastAsia="zh-CN"/>
        </w:rPr>
        <w:t>，</w:t>
      </w:r>
      <w:r>
        <w:rPr>
          <w:rFonts w:hint="eastAsia" w:ascii="宋体" w:hAnsi="宋体" w:cs="宋体"/>
          <w:sz w:val="24"/>
          <w:szCs w:val="24"/>
          <w:lang w:val="en-US" w:eastAsia="zh-CN"/>
        </w:rPr>
        <w:t>2019年丰泽区</w:t>
      </w:r>
      <w:r>
        <w:rPr>
          <w:rFonts w:hint="eastAsia" w:ascii="宋体" w:hAnsi="宋体" w:eastAsia="宋体" w:cs="宋体"/>
          <w:sz w:val="24"/>
          <w:szCs w:val="24"/>
          <w:lang w:val="en-US" w:eastAsia="zh-CN"/>
        </w:rPr>
        <w:t>国家高新技术企业实现产值</w:t>
      </w:r>
      <w:r>
        <w:rPr>
          <w:rFonts w:hint="eastAsia" w:ascii="宋体" w:hAnsi="宋体" w:cs="宋体"/>
          <w:sz w:val="24"/>
          <w:szCs w:val="24"/>
          <w:lang w:val="en-US" w:eastAsia="zh-CN"/>
        </w:rPr>
        <w:t>50亿元，比2018年的31亿元增长61.3%，而2019年丰泽区</w:t>
      </w:r>
      <w:r>
        <w:rPr>
          <w:rFonts w:hint="eastAsia" w:ascii="宋体" w:hAnsi="宋体" w:eastAsia="宋体" w:cs="宋体"/>
          <w:sz w:val="24"/>
          <w:szCs w:val="24"/>
          <w:lang w:val="en-US" w:eastAsia="zh-CN"/>
        </w:rPr>
        <w:t>地区生产总值</w:t>
      </w:r>
      <w:r>
        <w:rPr>
          <w:rFonts w:hint="eastAsia" w:ascii="宋体" w:hAnsi="宋体" w:cs="宋体"/>
          <w:sz w:val="24"/>
          <w:szCs w:val="24"/>
          <w:lang w:val="en-US" w:eastAsia="zh-CN"/>
        </w:rPr>
        <w:t>为723.8亿元，增长7.2%</w:t>
      </w:r>
      <w:r>
        <w:rPr>
          <w:rFonts w:hint="eastAsia" w:ascii="宋体" w:hAnsi="宋体" w:eastAsia="宋体" w:cs="宋体"/>
          <w:sz w:val="24"/>
          <w:szCs w:val="24"/>
        </w:rPr>
        <w:t>。</w:t>
      </w:r>
      <w:r>
        <w:rPr>
          <w:rFonts w:hint="eastAsia" w:ascii="宋体" w:hAnsi="宋体" w:cs="宋体"/>
          <w:sz w:val="24"/>
          <w:szCs w:val="24"/>
          <w:lang w:val="en-US" w:eastAsia="zh-CN"/>
        </w:rPr>
        <w:t>可见，2019年丰泽区</w:t>
      </w:r>
      <w:r>
        <w:rPr>
          <w:rFonts w:hint="eastAsia" w:ascii="宋体" w:hAnsi="宋体" w:eastAsia="宋体" w:cs="宋体"/>
          <w:sz w:val="24"/>
          <w:szCs w:val="24"/>
          <w:lang w:val="en-US" w:eastAsia="zh-CN"/>
        </w:rPr>
        <w:t>国家高新技术企业实现产值年增长率</w:t>
      </w:r>
      <w:r>
        <w:rPr>
          <w:rFonts w:hint="eastAsia" w:ascii="宋体" w:hAnsi="宋体" w:cs="宋体"/>
          <w:sz w:val="24"/>
          <w:szCs w:val="24"/>
          <w:lang w:val="en-US" w:eastAsia="zh-CN"/>
        </w:rPr>
        <w:t>远远高于</w:t>
      </w:r>
      <w:r>
        <w:rPr>
          <w:rFonts w:hint="eastAsia" w:ascii="宋体" w:hAnsi="宋体" w:eastAsia="宋体" w:cs="宋体"/>
          <w:sz w:val="24"/>
          <w:szCs w:val="24"/>
          <w:lang w:val="en-US" w:eastAsia="zh-CN"/>
        </w:rPr>
        <w:t>地区生产总值年增长率</w:t>
      </w:r>
      <w:r>
        <w:rPr>
          <w:rFonts w:hint="eastAsia" w:ascii="宋体" w:hAnsi="宋体" w:cs="宋体"/>
          <w:sz w:val="24"/>
          <w:szCs w:val="24"/>
          <w:lang w:val="en-US" w:eastAsia="zh-CN"/>
        </w:rPr>
        <w:t>。</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国家高新技术企业实现产值增长率</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园区内企业纳税金额增长率</w:t>
      </w:r>
      <w:r>
        <w:rPr>
          <w:rFonts w:hint="eastAsia" w:ascii="宋体" w:hAnsi="宋体" w:eastAsia="宋体" w:cs="宋体"/>
          <w:sz w:val="24"/>
          <w:szCs w:val="24"/>
        </w:rPr>
        <w:t>”得</w:t>
      </w:r>
      <w:r>
        <w:rPr>
          <w:rFonts w:hint="eastAsia" w:ascii="宋体" w:hAnsi="宋体" w:cs="宋体"/>
          <w:sz w:val="24"/>
          <w:szCs w:val="24"/>
          <w:lang w:val="en-US" w:eastAsia="zh-CN"/>
        </w:rPr>
        <w:t>2</w:t>
      </w:r>
      <w:r>
        <w:rPr>
          <w:rFonts w:hint="eastAsia" w:ascii="宋体" w:hAnsi="宋体" w:eastAsia="宋体" w:cs="宋体"/>
          <w:sz w:val="24"/>
          <w:szCs w:val="24"/>
        </w:rPr>
        <w:t>分（满分</w:t>
      </w:r>
      <w:r>
        <w:rPr>
          <w:rFonts w:hint="eastAsia" w:ascii="宋体" w:hAnsi="宋体" w:cs="宋体"/>
          <w:sz w:val="24"/>
          <w:szCs w:val="24"/>
          <w:lang w:val="en-US" w:eastAsia="zh-CN"/>
        </w:rPr>
        <w:t>6</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园区内企业纳税金额增长率</w:t>
      </w:r>
      <w:r>
        <w:rPr>
          <w:rFonts w:hint="eastAsia" w:ascii="宋体" w:hAnsi="宋体" w:eastAsia="宋体" w:cs="宋体"/>
          <w:sz w:val="24"/>
          <w:szCs w:val="24"/>
        </w:rPr>
        <w:t>”指标用于评价</w:t>
      </w:r>
      <w:r>
        <w:rPr>
          <w:rFonts w:hint="eastAsia" w:ascii="宋体" w:hAnsi="宋体" w:cs="宋体"/>
          <w:sz w:val="24"/>
          <w:szCs w:val="24"/>
          <w:lang w:val="en-US" w:eastAsia="zh-CN"/>
        </w:rPr>
        <w:t>2019年</w:t>
      </w:r>
      <w:r>
        <w:rPr>
          <w:rFonts w:hint="eastAsia" w:ascii="宋体" w:hAnsi="宋体" w:eastAsia="宋体" w:cs="宋体"/>
          <w:sz w:val="24"/>
          <w:szCs w:val="24"/>
          <w:lang w:val="en-US" w:eastAsia="zh-CN"/>
        </w:rPr>
        <w:t>华创园、北峰数控园和泉州网商（虚拟）产业园</w:t>
      </w:r>
      <w:r>
        <w:rPr>
          <w:rFonts w:hint="eastAsia" w:ascii="宋体" w:hAnsi="宋体" w:cs="宋体"/>
          <w:sz w:val="24"/>
          <w:szCs w:val="24"/>
          <w:lang w:val="en-US" w:eastAsia="zh-CN"/>
        </w:rPr>
        <w:t>区内企业纳税金额的增长情况。园区内企业纳税金额增长率=（当年园区内企业纳税金额-上一年园区内企业纳税金额）/上一年园区内企业纳税金额×100%。</w:t>
      </w:r>
      <w:r>
        <w:rPr>
          <w:rFonts w:hint="eastAsia" w:ascii="宋体" w:hAnsi="宋体" w:eastAsia="宋体" w:cs="宋体"/>
          <w:sz w:val="24"/>
          <w:szCs w:val="24"/>
        </w:rPr>
        <w:t>根据泉州市丰泽</w:t>
      </w:r>
      <w:r>
        <w:rPr>
          <w:rFonts w:hint="eastAsia" w:ascii="宋体" w:hAnsi="宋体" w:cs="宋体"/>
          <w:sz w:val="24"/>
          <w:szCs w:val="24"/>
          <w:lang w:val="en-US" w:eastAsia="zh-CN"/>
        </w:rPr>
        <w:t>区财政局</w:t>
      </w:r>
      <w:r>
        <w:rPr>
          <w:rFonts w:hint="eastAsia" w:ascii="宋体" w:hAnsi="宋体" w:eastAsia="宋体" w:cs="宋体"/>
          <w:sz w:val="24"/>
          <w:szCs w:val="24"/>
        </w:rPr>
        <w:t>提供的</w:t>
      </w:r>
      <w:r>
        <w:rPr>
          <w:rFonts w:hint="eastAsia" w:ascii="宋体" w:hAnsi="宋体" w:cs="宋体"/>
          <w:sz w:val="24"/>
          <w:szCs w:val="24"/>
          <w:lang w:val="en-US" w:eastAsia="zh-CN"/>
        </w:rPr>
        <w:t>数据</w:t>
      </w:r>
      <w:r>
        <w:rPr>
          <w:rFonts w:hint="eastAsia" w:ascii="宋体" w:hAnsi="宋体" w:eastAsia="宋体" w:cs="宋体"/>
          <w:sz w:val="24"/>
          <w:szCs w:val="24"/>
        </w:rPr>
        <w:t>资料</w:t>
      </w:r>
      <w:r>
        <w:rPr>
          <w:rFonts w:hint="eastAsia" w:ascii="宋体" w:hAnsi="宋体" w:cs="宋体"/>
          <w:sz w:val="24"/>
          <w:szCs w:val="24"/>
          <w:lang w:eastAsia="zh-CN"/>
        </w:rPr>
        <w:t>，</w:t>
      </w:r>
      <w:r>
        <w:rPr>
          <w:rFonts w:hint="eastAsia" w:ascii="宋体" w:hAnsi="宋体" w:cs="宋体"/>
          <w:sz w:val="24"/>
          <w:szCs w:val="24"/>
          <w:lang w:val="en-US" w:eastAsia="zh-CN"/>
        </w:rPr>
        <w:t>2019年华创园区内149家企业纳税金额合计2713.2万元，比2018年增长81.6%；</w:t>
      </w:r>
      <w:r>
        <w:rPr>
          <w:rFonts w:hint="eastAsia" w:ascii="宋体" w:hAnsi="宋体" w:eastAsia="宋体" w:cs="宋体"/>
          <w:sz w:val="24"/>
          <w:szCs w:val="24"/>
          <w:lang w:val="en-US" w:eastAsia="zh-CN"/>
        </w:rPr>
        <w:t>北峰数控园</w:t>
      </w:r>
      <w:r>
        <w:rPr>
          <w:rFonts w:hint="eastAsia" w:ascii="宋体" w:hAnsi="宋体" w:cs="宋体"/>
          <w:sz w:val="24"/>
          <w:szCs w:val="24"/>
          <w:lang w:val="en-US" w:eastAsia="zh-CN"/>
        </w:rPr>
        <w:t>区内6家企业纳税金额合计190万元，比2018年下降39.5%；</w:t>
      </w:r>
      <w:r>
        <w:rPr>
          <w:rFonts w:hint="eastAsia" w:ascii="宋体" w:hAnsi="宋体" w:eastAsia="宋体" w:cs="宋体"/>
          <w:sz w:val="24"/>
          <w:szCs w:val="24"/>
          <w:lang w:val="en-US" w:eastAsia="zh-CN"/>
        </w:rPr>
        <w:t>泉州网商（虚拟）产业园</w:t>
      </w:r>
      <w:r>
        <w:rPr>
          <w:rFonts w:hint="eastAsia" w:ascii="宋体" w:hAnsi="宋体" w:cs="宋体"/>
          <w:sz w:val="24"/>
          <w:szCs w:val="24"/>
          <w:lang w:val="en-US" w:eastAsia="zh-CN"/>
        </w:rPr>
        <w:t>区内5家企业纳税金额合计11323.7万元，比2018年下降11.7%（具体数据详见图2）</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华创园</w:t>
      </w:r>
      <w:r>
        <w:rPr>
          <w:rFonts w:hint="eastAsia" w:ascii="宋体" w:hAnsi="宋体" w:cs="宋体"/>
          <w:sz w:val="24"/>
          <w:szCs w:val="24"/>
          <w:lang w:val="en-US" w:eastAsia="zh-CN"/>
        </w:rPr>
        <w:t>区内企业纳税金额增长率大于10%，得2分；</w:t>
      </w:r>
      <w:r>
        <w:rPr>
          <w:rFonts w:hint="eastAsia" w:ascii="宋体" w:hAnsi="宋体" w:eastAsia="宋体" w:cs="宋体"/>
          <w:sz w:val="24"/>
          <w:szCs w:val="24"/>
          <w:lang w:val="en-US" w:eastAsia="zh-CN"/>
        </w:rPr>
        <w:t>北峰数控园和泉州网商（虚拟）产业园</w:t>
      </w:r>
      <w:r>
        <w:rPr>
          <w:rFonts w:hint="eastAsia" w:ascii="宋体" w:hAnsi="宋体" w:cs="宋体"/>
          <w:sz w:val="24"/>
          <w:szCs w:val="24"/>
          <w:lang w:val="en-US" w:eastAsia="zh-CN"/>
        </w:rPr>
        <w:t>区内企业纳税金额增长率都小于0，得0分；</w:t>
      </w:r>
      <w:r>
        <w:rPr>
          <w:rFonts w:hint="eastAsia" w:ascii="宋体" w:hAnsi="宋体" w:eastAsia="宋体" w:cs="宋体"/>
          <w:sz w:val="24"/>
          <w:szCs w:val="24"/>
        </w:rPr>
        <w:t>最后，“</w:t>
      </w:r>
      <w:r>
        <w:rPr>
          <w:rFonts w:hint="eastAsia" w:ascii="宋体" w:hAnsi="宋体" w:cs="宋体"/>
          <w:sz w:val="24"/>
          <w:szCs w:val="24"/>
          <w:lang w:val="en-US" w:eastAsia="zh-CN"/>
        </w:rPr>
        <w:t>园区内企业纳税金额增长率</w:t>
      </w:r>
      <w:r>
        <w:rPr>
          <w:rFonts w:hint="eastAsia" w:ascii="宋体" w:hAnsi="宋体" w:eastAsia="宋体" w:cs="宋体"/>
          <w:sz w:val="24"/>
          <w:szCs w:val="24"/>
        </w:rPr>
        <w:t>”得</w:t>
      </w:r>
      <w:r>
        <w:rPr>
          <w:rFonts w:hint="eastAsia" w:ascii="宋体" w:hAnsi="宋体" w:cs="宋体"/>
          <w:sz w:val="24"/>
          <w:szCs w:val="24"/>
          <w:lang w:val="en-US" w:eastAsia="zh-CN"/>
        </w:rPr>
        <w:t>2</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b/>
          <w:bCs/>
          <w:sz w:val="24"/>
          <w:szCs w:val="24"/>
        </w:rPr>
      </w:pPr>
      <w:r>
        <w:drawing>
          <wp:inline distT="0" distB="0" distL="114300" distR="114300">
            <wp:extent cx="5612765" cy="2315845"/>
            <wp:effectExtent l="4445" t="4445" r="8890" b="1651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default" w:ascii="宋体" w:hAnsi="宋体" w:eastAsia="宋体" w:cs="宋体"/>
          <w:b/>
          <w:bCs/>
          <w:sz w:val="24"/>
          <w:szCs w:val="24"/>
          <w:lang w:val="en-US"/>
        </w:rPr>
      </w:pPr>
      <w:r>
        <w:rPr>
          <w:rFonts w:hint="eastAsia" w:ascii="宋体" w:hAnsi="宋体" w:eastAsia="宋体" w:cs="宋体"/>
          <w:b/>
          <w:bCs/>
          <w:sz w:val="24"/>
          <w:szCs w:val="24"/>
        </w:rPr>
        <w:t>图</w:t>
      </w:r>
      <w:r>
        <w:rPr>
          <w:rFonts w:hint="eastAsia" w:ascii="宋体" w:hAnsi="宋体" w:cs="宋体"/>
          <w:b/>
          <w:bCs/>
          <w:sz w:val="24"/>
          <w:szCs w:val="24"/>
          <w:lang w:val="en-US" w:eastAsia="zh-CN"/>
        </w:rPr>
        <w:t xml:space="preserve">2 </w:t>
      </w:r>
      <w:r>
        <w:rPr>
          <w:rFonts w:hint="eastAsia" w:ascii="宋体" w:hAnsi="宋体" w:eastAsia="宋体" w:cs="宋体"/>
          <w:b/>
          <w:bCs/>
          <w:sz w:val="24"/>
          <w:szCs w:val="24"/>
          <w:lang w:val="en-US" w:eastAsia="zh-CN"/>
        </w:rPr>
        <w:t xml:space="preserve"> </w:t>
      </w:r>
      <w:r>
        <w:rPr>
          <w:rFonts w:hint="eastAsia" w:ascii="宋体" w:hAnsi="宋体" w:cs="宋体"/>
          <w:b/>
          <w:bCs/>
          <w:sz w:val="24"/>
          <w:szCs w:val="24"/>
          <w:lang w:val="en-US" w:eastAsia="zh-CN"/>
        </w:rPr>
        <w:t>2018-2019年泉州市丰泽区三大园区企业纳税金额增长情况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规上工业</w:t>
      </w:r>
      <w:r>
        <w:rPr>
          <w:rFonts w:hint="eastAsia" w:ascii="宋体" w:hAnsi="宋体" w:cs="宋体"/>
          <w:sz w:val="24"/>
          <w:szCs w:val="24"/>
          <w:lang w:eastAsia="zh-CN"/>
        </w:rPr>
        <w:t>R&amp;D</w:t>
      </w:r>
      <w:r>
        <w:rPr>
          <w:rFonts w:hint="eastAsia" w:ascii="宋体" w:hAnsi="宋体" w:cs="宋体"/>
          <w:sz w:val="24"/>
          <w:szCs w:val="24"/>
          <w:lang w:val="en-US" w:eastAsia="zh-CN"/>
        </w:rPr>
        <w:t>经费投入</w:t>
      </w:r>
      <w:r>
        <w:rPr>
          <w:rFonts w:hint="eastAsia" w:ascii="宋体" w:hAnsi="宋体" w:cs="宋体"/>
          <w:sz w:val="24"/>
          <w:szCs w:val="24"/>
          <w:lang w:eastAsia="zh-CN"/>
        </w:rPr>
        <w:t>占</w:t>
      </w:r>
      <w:r>
        <w:rPr>
          <w:rFonts w:hint="eastAsia" w:ascii="宋体" w:hAnsi="宋体" w:cs="宋体"/>
          <w:sz w:val="24"/>
          <w:szCs w:val="24"/>
          <w:lang w:val="en-US" w:eastAsia="zh-CN"/>
        </w:rPr>
        <w:t>规上工业增加值</w:t>
      </w:r>
      <w:r>
        <w:rPr>
          <w:rFonts w:hint="eastAsia" w:ascii="宋体" w:hAnsi="宋体" w:cs="宋体"/>
          <w:sz w:val="24"/>
          <w:szCs w:val="24"/>
          <w:lang w:eastAsia="zh-CN"/>
        </w:rPr>
        <w:t>比</w:t>
      </w:r>
      <w:r>
        <w:rPr>
          <w:rFonts w:hint="eastAsia" w:ascii="宋体" w:hAnsi="宋体" w:cs="宋体"/>
          <w:sz w:val="24"/>
          <w:szCs w:val="24"/>
          <w:lang w:val="en-US" w:eastAsia="zh-CN"/>
        </w:rPr>
        <w:t>重</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分（满分</w:t>
      </w:r>
      <w:r>
        <w:rPr>
          <w:rFonts w:hint="eastAsia" w:ascii="宋体" w:hAnsi="宋体" w:cs="宋体"/>
          <w:sz w:val="24"/>
          <w:szCs w:val="24"/>
          <w:lang w:val="en-US" w:eastAsia="zh-CN"/>
        </w:rPr>
        <w:t>4</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规上工业</w:t>
      </w:r>
      <w:r>
        <w:rPr>
          <w:rFonts w:hint="eastAsia" w:ascii="宋体" w:hAnsi="宋体" w:cs="宋体"/>
          <w:sz w:val="24"/>
          <w:szCs w:val="24"/>
          <w:lang w:eastAsia="zh-CN"/>
        </w:rPr>
        <w:t>R&amp;D</w:t>
      </w:r>
      <w:r>
        <w:rPr>
          <w:rFonts w:hint="eastAsia" w:ascii="宋体" w:hAnsi="宋体" w:cs="宋体"/>
          <w:sz w:val="24"/>
          <w:szCs w:val="24"/>
          <w:lang w:val="en-US" w:eastAsia="zh-CN"/>
        </w:rPr>
        <w:t>经费投入</w:t>
      </w:r>
      <w:r>
        <w:rPr>
          <w:rFonts w:hint="eastAsia" w:ascii="宋体" w:hAnsi="宋体" w:cs="宋体"/>
          <w:sz w:val="24"/>
          <w:szCs w:val="24"/>
          <w:lang w:eastAsia="zh-CN"/>
        </w:rPr>
        <w:t>占</w:t>
      </w:r>
      <w:r>
        <w:rPr>
          <w:rFonts w:hint="eastAsia" w:ascii="宋体" w:hAnsi="宋体" w:cs="宋体"/>
          <w:sz w:val="24"/>
          <w:szCs w:val="24"/>
          <w:lang w:val="en-US" w:eastAsia="zh-CN"/>
        </w:rPr>
        <w:t>规上工业增加值</w:t>
      </w:r>
      <w:r>
        <w:rPr>
          <w:rFonts w:hint="eastAsia" w:ascii="宋体" w:hAnsi="宋体" w:cs="宋体"/>
          <w:sz w:val="24"/>
          <w:szCs w:val="24"/>
          <w:lang w:eastAsia="zh-CN"/>
        </w:rPr>
        <w:t>比</w:t>
      </w:r>
      <w:r>
        <w:rPr>
          <w:rFonts w:hint="eastAsia" w:ascii="宋体" w:hAnsi="宋体" w:cs="宋体"/>
          <w:sz w:val="24"/>
          <w:szCs w:val="24"/>
          <w:lang w:val="en-US" w:eastAsia="zh-CN"/>
        </w:rPr>
        <w:t>重</w:t>
      </w:r>
      <w:r>
        <w:rPr>
          <w:rFonts w:hint="eastAsia" w:ascii="宋体" w:hAnsi="宋体" w:eastAsia="宋体" w:cs="宋体"/>
          <w:sz w:val="24"/>
          <w:szCs w:val="24"/>
        </w:rPr>
        <w:t>”指标用于评价</w:t>
      </w:r>
      <w:r>
        <w:rPr>
          <w:rFonts w:hint="eastAsia" w:ascii="宋体" w:hAnsi="宋体" w:cs="宋体"/>
          <w:sz w:val="24"/>
          <w:szCs w:val="24"/>
          <w:lang w:val="en-US" w:eastAsia="zh-CN"/>
        </w:rPr>
        <w:t>2019年泉州市丰泽区规上工业</w:t>
      </w:r>
      <w:r>
        <w:rPr>
          <w:rFonts w:hint="eastAsia" w:ascii="宋体" w:hAnsi="宋体" w:cs="宋体"/>
          <w:sz w:val="24"/>
          <w:szCs w:val="24"/>
          <w:lang w:eastAsia="zh-CN"/>
        </w:rPr>
        <w:t>R&amp;D</w:t>
      </w:r>
      <w:r>
        <w:rPr>
          <w:rFonts w:hint="eastAsia" w:ascii="宋体" w:hAnsi="宋体" w:cs="宋体"/>
          <w:sz w:val="24"/>
          <w:szCs w:val="24"/>
          <w:lang w:val="en-US" w:eastAsia="zh-CN"/>
        </w:rPr>
        <w:t>经费投入的增长情况。根据</w:t>
      </w:r>
      <w:r>
        <w:rPr>
          <w:rFonts w:hint="eastAsia" w:ascii="宋体" w:hAnsi="宋体" w:eastAsia="宋体" w:cs="宋体"/>
          <w:sz w:val="24"/>
          <w:szCs w:val="24"/>
        </w:rPr>
        <w:t>泉州市丰泽</w:t>
      </w:r>
      <w:r>
        <w:rPr>
          <w:rFonts w:hint="eastAsia" w:ascii="宋体" w:hAnsi="宋体" w:cs="宋体"/>
          <w:sz w:val="24"/>
          <w:szCs w:val="24"/>
          <w:lang w:val="en-US" w:eastAsia="zh-CN"/>
        </w:rPr>
        <w:t>区工业信息化和科技局</w:t>
      </w:r>
      <w:r>
        <w:rPr>
          <w:rFonts w:hint="eastAsia" w:ascii="宋体" w:hAnsi="宋体" w:eastAsia="宋体" w:cs="宋体"/>
          <w:sz w:val="24"/>
          <w:szCs w:val="24"/>
        </w:rPr>
        <w:t>提供的</w:t>
      </w:r>
      <w:r>
        <w:rPr>
          <w:rFonts w:hint="eastAsia" w:ascii="宋体" w:hAnsi="宋体" w:cs="宋体"/>
          <w:sz w:val="24"/>
          <w:szCs w:val="24"/>
          <w:lang w:val="en-US" w:eastAsia="zh-CN"/>
        </w:rPr>
        <w:t>数据</w:t>
      </w:r>
      <w:r>
        <w:rPr>
          <w:rFonts w:hint="eastAsia" w:ascii="宋体" w:hAnsi="宋体" w:eastAsia="宋体" w:cs="宋体"/>
          <w:sz w:val="24"/>
          <w:szCs w:val="24"/>
        </w:rPr>
        <w:t>资料</w:t>
      </w:r>
      <w:r>
        <w:rPr>
          <w:rFonts w:hint="eastAsia" w:ascii="宋体" w:hAnsi="宋体" w:cs="宋体"/>
          <w:sz w:val="24"/>
          <w:szCs w:val="24"/>
          <w:lang w:eastAsia="zh-CN"/>
        </w:rPr>
        <w:t>，</w:t>
      </w:r>
      <w:r>
        <w:rPr>
          <w:rFonts w:hint="eastAsia" w:ascii="宋体" w:hAnsi="宋体" w:cs="宋体"/>
          <w:sz w:val="24"/>
          <w:szCs w:val="24"/>
          <w:lang w:val="en-US" w:eastAsia="zh-CN"/>
        </w:rPr>
        <w:t>2018年丰泽区规模以上工业</w:t>
      </w:r>
      <w:r>
        <w:rPr>
          <w:rFonts w:hint="eastAsia" w:ascii="宋体" w:hAnsi="宋体" w:cs="宋体"/>
          <w:sz w:val="24"/>
          <w:szCs w:val="24"/>
          <w:lang w:eastAsia="zh-CN"/>
        </w:rPr>
        <w:t>R&amp;D</w:t>
      </w:r>
      <w:r>
        <w:rPr>
          <w:rFonts w:hint="eastAsia" w:ascii="宋体" w:hAnsi="宋体" w:cs="宋体"/>
          <w:sz w:val="24"/>
          <w:szCs w:val="24"/>
          <w:lang w:val="en-US" w:eastAsia="zh-CN"/>
        </w:rPr>
        <w:t>经费投入23701.3万元，占规模以上工业增加值的比重为4.07%；2019年丰泽区规模以上工业</w:t>
      </w:r>
      <w:r>
        <w:rPr>
          <w:rFonts w:hint="eastAsia" w:ascii="宋体" w:hAnsi="宋体" w:cs="宋体"/>
          <w:sz w:val="24"/>
          <w:szCs w:val="24"/>
          <w:lang w:eastAsia="zh-CN"/>
        </w:rPr>
        <w:t>R&amp;D</w:t>
      </w:r>
      <w:r>
        <w:rPr>
          <w:rFonts w:hint="eastAsia" w:ascii="宋体" w:hAnsi="宋体" w:cs="宋体"/>
          <w:sz w:val="24"/>
          <w:szCs w:val="24"/>
          <w:lang w:val="en-US" w:eastAsia="zh-CN"/>
        </w:rPr>
        <w:t>经费投入30072.8万元，占规模以上工业增加值的比重为5.24%，比2018年提高1.17个百分点（具体数据详见表5）。</w:t>
      </w:r>
      <w:r>
        <w:rPr>
          <w:rFonts w:hint="eastAsia" w:ascii="宋体" w:hAnsi="宋体" w:eastAsia="宋体" w:cs="宋体"/>
          <w:sz w:val="24"/>
          <w:szCs w:val="24"/>
        </w:rPr>
        <w:t>根据评分标准，“</w:t>
      </w:r>
      <w:r>
        <w:rPr>
          <w:rFonts w:hint="eastAsia" w:ascii="宋体" w:hAnsi="宋体" w:cs="宋体"/>
          <w:sz w:val="24"/>
          <w:szCs w:val="24"/>
          <w:lang w:val="en-US" w:eastAsia="zh-CN"/>
        </w:rPr>
        <w:t>规上工业</w:t>
      </w:r>
      <w:r>
        <w:rPr>
          <w:rFonts w:hint="eastAsia" w:ascii="宋体" w:hAnsi="宋体" w:cs="宋体"/>
          <w:sz w:val="24"/>
          <w:szCs w:val="24"/>
          <w:lang w:eastAsia="zh-CN"/>
        </w:rPr>
        <w:t>R&amp;D</w:t>
      </w:r>
      <w:r>
        <w:rPr>
          <w:rFonts w:hint="eastAsia" w:ascii="宋体" w:hAnsi="宋体" w:cs="宋体"/>
          <w:sz w:val="24"/>
          <w:szCs w:val="24"/>
          <w:lang w:val="en-US" w:eastAsia="zh-CN"/>
        </w:rPr>
        <w:t>经费投入</w:t>
      </w:r>
      <w:r>
        <w:rPr>
          <w:rFonts w:hint="eastAsia" w:ascii="宋体" w:hAnsi="宋体" w:cs="宋体"/>
          <w:sz w:val="24"/>
          <w:szCs w:val="24"/>
          <w:lang w:eastAsia="zh-CN"/>
        </w:rPr>
        <w:t>占</w:t>
      </w:r>
      <w:r>
        <w:rPr>
          <w:rFonts w:hint="eastAsia" w:ascii="宋体" w:hAnsi="宋体" w:cs="宋体"/>
          <w:sz w:val="24"/>
          <w:szCs w:val="24"/>
          <w:lang w:val="en-US" w:eastAsia="zh-CN"/>
        </w:rPr>
        <w:t>规上工业增加值</w:t>
      </w:r>
      <w:r>
        <w:rPr>
          <w:rFonts w:hint="eastAsia" w:ascii="宋体" w:hAnsi="宋体" w:cs="宋体"/>
          <w:sz w:val="24"/>
          <w:szCs w:val="24"/>
          <w:lang w:eastAsia="zh-CN"/>
        </w:rPr>
        <w:t>比</w:t>
      </w:r>
      <w:r>
        <w:rPr>
          <w:rFonts w:hint="eastAsia" w:ascii="宋体" w:hAnsi="宋体" w:cs="宋体"/>
          <w:sz w:val="24"/>
          <w:szCs w:val="24"/>
          <w:lang w:val="en-US" w:eastAsia="zh-CN"/>
        </w:rPr>
        <w:t>重</w:t>
      </w:r>
      <w:r>
        <w:rPr>
          <w:rFonts w:hint="eastAsia" w:ascii="宋体" w:hAnsi="宋体" w:eastAsia="宋体" w:cs="宋体"/>
          <w:sz w:val="24"/>
          <w:szCs w:val="24"/>
        </w:rPr>
        <w:t>”得</w:t>
      </w:r>
      <w:r>
        <w:rPr>
          <w:rFonts w:hint="eastAsia" w:ascii="宋体" w:hAnsi="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b w:val="0"/>
          <w:bCs w:val="0"/>
          <w:sz w:val="21"/>
          <w:szCs w:val="21"/>
          <w:lang w:val="en-US" w:eastAsia="zh-CN"/>
        </w:rPr>
      </w:pPr>
      <w:r>
        <w:rPr>
          <w:rFonts w:hint="eastAsia" w:ascii="宋体" w:hAnsi="宋体" w:eastAsia="宋体" w:cs="宋体"/>
          <w:b/>
          <w:bCs/>
          <w:sz w:val="24"/>
          <w:szCs w:val="24"/>
        </w:rPr>
        <w:t>表</w:t>
      </w:r>
      <w:r>
        <w:rPr>
          <w:rFonts w:hint="eastAsia" w:ascii="宋体" w:hAnsi="宋体" w:cs="宋体"/>
          <w:b/>
          <w:bCs/>
          <w:sz w:val="24"/>
          <w:szCs w:val="24"/>
          <w:lang w:val="en-US" w:eastAsia="zh-CN"/>
        </w:rPr>
        <w:t>5</w:t>
      </w:r>
      <w:r>
        <w:rPr>
          <w:rFonts w:hint="eastAsia" w:ascii="宋体" w:hAnsi="宋体" w:eastAsia="宋体" w:cs="宋体"/>
          <w:b/>
          <w:bCs/>
          <w:sz w:val="24"/>
          <w:szCs w:val="24"/>
        </w:rPr>
        <w:t xml:space="preserve"> </w:t>
      </w:r>
      <w:r>
        <w:rPr>
          <w:rFonts w:hint="eastAsia" w:ascii="宋体" w:hAnsi="宋体" w:cs="宋体"/>
          <w:b/>
          <w:bCs/>
          <w:sz w:val="24"/>
          <w:szCs w:val="24"/>
          <w:lang w:val="en-US" w:eastAsia="zh-CN"/>
        </w:rPr>
        <w:t xml:space="preserve"> 2018-2019年泉州市丰泽区规上工业R&amp;D经费投入占规上工业增加值比重 </w:t>
      </w:r>
    </w:p>
    <w:tbl>
      <w:tblPr>
        <w:tblStyle w:val="14"/>
        <w:tblW w:w="0" w:type="auto"/>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2"/>
        <w:gridCol w:w="1733"/>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5082"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left="840" w:hanging="840" w:hangingChars="40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年份</w:t>
            </w:r>
          </w:p>
          <w:p>
            <w:pPr>
              <w:keepNext w:val="0"/>
              <w:keepLines w:val="0"/>
              <w:pageBreakBefore w:val="0"/>
              <w:widowControl w:val="0"/>
              <w:kinsoku/>
              <w:wordWrap/>
              <w:overflowPunct/>
              <w:topLinePunct w:val="0"/>
              <w:autoSpaceDE/>
              <w:autoSpaceDN/>
              <w:bidi w:val="0"/>
              <w:adjustRightInd/>
              <w:snapToGrid/>
              <w:ind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指标</w:t>
            </w:r>
          </w:p>
        </w:tc>
        <w:tc>
          <w:tcPr>
            <w:tcW w:w="17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2018</w:t>
            </w: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08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规上工业</w:t>
            </w:r>
            <w:r>
              <w:rPr>
                <w:rFonts w:hint="eastAsia" w:ascii="宋体" w:hAnsi="宋体" w:eastAsia="宋体" w:cs="宋体"/>
                <w:sz w:val="21"/>
                <w:szCs w:val="21"/>
                <w:lang w:val="en-US" w:eastAsia="zh-CN"/>
              </w:rPr>
              <w:t>R&amp;D经费投入</w:t>
            </w:r>
            <w:r>
              <w:rPr>
                <w:rFonts w:hint="eastAsia" w:ascii="宋体" w:hAnsi="宋体" w:cs="宋体"/>
                <w:sz w:val="21"/>
                <w:szCs w:val="21"/>
                <w:lang w:val="en-US" w:eastAsia="zh-CN"/>
              </w:rPr>
              <w:t>（万元）</w:t>
            </w:r>
          </w:p>
        </w:tc>
        <w:tc>
          <w:tcPr>
            <w:tcW w:w="1733" w:type="dxa"/>
            <w:noWrap w:val="0"/>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23701.3</w:t>
            </w:r>
          </w:p>
        </w:tc>
        <w:tc>
          <w:tcPr>
            <w:tcW w:w="1734" w:type="dxa"/>
            <w:noWrap w:val="0"/>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30072.8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08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规上</w:t>
            </w:r>
            <w:r>
              <w:rPr>
                <w:rFonts w:hint="eastAsia" w:ascii="宋体" w:hAnsi="宋体" w:eastAsia="宋体" w:cs="宋体"/>
                <w:sz w:val="21"/>
                <w:szCs w:val="21"/>
                <w:lang w:val="en-US" w:eastAsia="zh-CN"/>
              </w:rPr>
              <w:t>工业增加值</w:t>
            </w:r>
            <w:r>
              <w:rPr>
                <w:rFonts w:hint="eastAsia" w:ascii="宋体" w:hAnsi="宋体" w:cs="宋体"/>
                <w:sz w:val="21"/>
                <w:szCs w:val="21"/>
                <w:lang w:val="en-US" w:eastAsia="zh-CN"/>
              </w:rPr>
              <w:t>（万元）</w:t>
            </w:r>
          </w:p>
        </w:tc>
        <w:tc>
          <w:tcPr>
            <w:tcW w:w="17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582114.8</w:t>
            </w: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574117.7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08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规上工业R&amp;D经费投入占规上工业增加值比重</w:t>
            </w:r>
            <w:r>
              <w:rPr>
                <w:rFonts w:hint="eastAsia" w:ascii="宋体" w:hAnsi="宋体" w:cs="宋体"/>
                <w:sz w:val="21"/>
                <w:szCs w:val="21"/>
                <w:lang w:val="en-US" w:eastAsia="zh-CN"/>
              </w:rPr>
              <w:t>（%）</w:t>
            </w:r>
          </w:p>
        </w:tc>
        <w:tc>
          <w:tcPr>
            <w:tcW w:w="173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4.07</w:t>
            </w:r>
          </w:p>
        </w:tc>
        <w:tc>
          <w:tcPr>
            <w:tcW w:w="173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5.24</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cs="宋体"/>
          <w:sz w:val="24"/>
          <w:szCs w:val="24"/>
          <w:lang w:eastAsia="zh-CN"/>
        </w:rPr>
        <w:t>技术改造投资增速</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w:t>
      </w:r>
      <w:r>
        <w:rPr>
          <w:rFonts w:hint="eastAsia" w:ascii="宋体" w:hAnsi="宋体" w:cs="宋体"/>
          <w:sz w:val="24"/>
          <w:szCs w:val="24"/>
          <w:lang w:eastAsia="zh-CN"/>
        </w:rPr>
        <w:t>技术改造投资增速</w:t>
      </w:r>
      <w:r>
        <w:rPr>
          <w:rFonts w:hint="eastAsia" w:ascii="宋体" w:hAnsi="宋体" w:eastAsia="宋体" w:cs="宋体"/>
          <w:sz w:val="24"/>
          <w:szCs w:val="24"/>
        </w:rPr>
        <w:t>”指标用于评价</w:t>
      </w:r>
      <w:r>
        <w:rPr>
          <w:rFonts w:hint="eastAsia" w:ascii="宋体" w:hAnsi="宋体" w:cs="宋体"/>
          <w:sz w:val="24"/>
          <w:szCs w:val="24"/>
          <w:lang w:val="en-US" w:eastAsia="zh-CN"/>
        </w:rPr>
        <w:t>2019年泉州市丰泽区技术改造投资的增长情况。根据</w:t>
      </w:r>
      <w:r>
        <w:rPr>
          <w:rFonts w:hint="eastAsia" w:ascii="宋体" w:hAnsi="宋体" w:eastAsia="宋体" w:cs="宋体"/>
          <w:sz w:val="24"/>
          <w:szCs w:val="24"/>
        </w:rPr>
        <w:t>泉州市丰泽</w:t>
      </w:r>
      <w:r>
        <w:rPr>
          <w:rFonts w:hint="eastAsia" w:ascii="宋体" w:hAnsi="宋体" w:cs="宋体"/>
          <w:sz w:val="24"/>
          <w:szCs w:val="24"/>
          <w:lang w:val="en-US" w:eastAsia="zh-CN"/>
        </w:rPr>
        <w:t>区工业信息化和科技局</w:t>
      </w:r>
      <w:r>
        <w:rPr>
          <w:rFonts w:hint="eastAsia" w:ascii="宋体" w:hAnsi="宋体" w:eastAsia="宋体" w:cs="宋体"/>
          <w:sz w:val="24"/>
          <w:szCs w:val="24"/>
        </w:rPr>
        <w:t>提供的</w:t>
      </w:r>
      <w:r>
        <w:rPr>
          <w:rFonts w:hint="eastAsia" w:ascii="宋体" w:hAnsi="宋体" w:cs="宋体"/>
          <w:sz w:val="24"/>
          <w:szCs w:val="24"/>
          <w:lang w:val="en-US" w:eastAsia="zh-CN"/>
        </w:rPr>
        <w:t>数据</w:t>
      </w:r>
      <w:r>
        <w:rPr>
          <w:rFonts w:hint="eastAsia" w:ascii="宋体" w:hAnsi="宋体" w:eastAsia="宋体" w:cs="宋体"/>
          <w:sz w:val="24"/>
          <w:szCs w:val="24"/>
        </w:rPr>
        <w:t>资料</w:t>
      </w:r>
      <w:r>
        <w:rPr>
          <w:rFonts w:hint="eastAsia" w:ascii="宋体" w:hAnsi="宋体" w:cs="宋体"/>
          <w:sz w:val="24"/>
          <w:szCs w:val="24"/>
          <w:lang w:eastAsia="zh-CN"/>
        </w:rPr>
        <w:t>，</w:t>
      </w:r>
      <w:r>
        <w:rPr>
          <w:rFonts w:hint="eastAsia" w:ascii="宋体" w:hAnsi="宋体" w:cs="宋体"/>
          <w:sz w:val="24"/>
          <w:szCs w:val="24"/>
          <w:lang w:val="en-US" w:eastAsia="zh-CN"/>
        </w:rPr>
        <w:t>2019年丰泽区技术改造投资增速为24.1%，超过泉州市技术改造投资增速（21.6%）2.5个百分点。</w:t>
      </w:r>
      <w:r>
        <w:rPr>
          <w:rFonts w:hint="eastAsia" w:ascii="宋体" w:hAnsi="宋体" w:eastAsia="宋体" w:cs="宋体"/>
          <w:sz w:val="24"/>
          <w:szCs w:val="24"/>
        </w:rPr>
        <w:t>根据评分标准，“</w:t>
      </w:r>
      <w:r>
        <w:rPr>
          <w:rFonts w:hint="eastAsia" w:ascii="宋体" w:hAnsi="宋体" w:cs="宋体"/>
          <w:sz w:val="24"/>
          <w:szCs w:val="24"/>
          <w:lang w:val="en-US" w:eastAsia="zh-CN"/>
        </w:rPr>
        <w:t>技术改造投资增速</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eastAsia="zh-CN"/>
        </w:rPr>
        <w:t>技术合同</w:t>
      </w:r>
      <w:r>
        <w:rPr>
          <w:rFonts w:hint="eastAsia" w:ascii="宋体" w:hAnsi="宋体" w:cs="宋体"/>
          <w:sz w:val="24"/>
          <w:szCs w:val="24"/>
          <w:lang w:val="en-US" w:eastAsia="zh-CN"/>
        </w:rPr>
        <w:t>成交金</w:t>
      </w:r>
      <w:r>
        <w:rPr>
          <w:rFonts w:hint="eastAsia" w:ascii="宋体" w:hAnsi="宋体" w:cs="宋体"/>
          <w:sz w:val="24"/>
          <w:szCs w:val="24"/>
          <w:lang w:eastAsia="zh-CN"/>
        </w:rPr>
        <w:t>额</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cs="宋体"/>
          <w:sz w:val="24"/>
          <w:szCs w:val="24"/>
          <w:lang w:eastAsia="zh-CN"/>
        </w:rPr>
        <w:t>技术合同</w:t>
      </w:r>
      <w:r>
        <w:rPr>
          <w:rFonts w:hint="eastAsia" w:ascii="宋体" w:hAnsi="宋体" w:cs="宋体"/>
          <w:sz w:val="24"/>
          <w:szCs w:val="24"/>
          <w:lang w:val="en-US" w:eastAsia="zh-CN"/>
        </w:rPr>
        <w:t>成交金</w:t>
      </w:r>
      <w:r>
        <w:rPr>
          <w:rFonts w:hint="eastAsia" w:ascii="宋体" w:hAnsi="宋体" w:cs="宋体"/>
          <w:sz w:val="24"/>
          <w:szCs w:val="24"/>
          <w:lang w:eastAsia="zh-CN"/>
        </w:rPr>
        <w:t>额</w:t>
      </w:r>
      <w:r>
        <w:rPr>
          <w:rFonts w:hint="eastAsia" w:ascii="宋体" w:hAnsi="宋体" w:eastAsia="宋体" w:cs="宋体"/>
          <w:sz w:val="24"/>
          <w:szCs w:val="24"/>
        </w:rPr>
        <w:t>”指标用于评价</w:t>
      </w:r>
      <w:r>
        <w:rPr>
          <w:rFonts w:hint="eastAsia" w:ascii="宋体" w:hAnsi="宋体" w:cs="宋体"/>
          <w:sz w:val="24"/>
          <w:szCs w:val="24"/>
          <w:lang w:val="en-US" w:eastAsia="zh-CN"/>
        </w:rPr>
        <w:t>2019年泉州市丰泽区技术</w:t>
      </w:r>
      <w:r>
        <w:rPr>
          <w:rFonts w:hint="eastAsia" w:ascii="宋体" w:hAnsi="宋体" w:cs="宋体"/>
          <w:sz w:val="24"/>
          <w:szCs w:val="24"/>
          <w:lang w:eastAsia="zh-CN"/>
        </w:rPr>
        <w:t>合同</w:t>
      </w:r>
      <w:r>
        <w:rPr>
          <w:rFonts w:hint="eastAsia" w:ascii="宋体" w:hAnsi="宋体" w:cs="宋体"/>
          <w:sz w:val="24"/>
          <w:szCs w:val="24"/>
          <w:lang w:val="en-US" w:eastAsia="zh-CN"/>
        </w:rPr>
        <w:t>交易的增长情况。根据</w:t>
      </w:r>
      <w:r>
        <w:rPr>
          <w:rFonts w:hint="eastAsia" w:ascii="宋体" w:hAnsi="宋体" w:eastAsia="宋体" w:cs="宋体"/>
          <w:sz w:val="24"/>
          <w:szCs w:val="24"/>
        </w:rPr>
        <w:t>泉州市丰泽</w:t>
      </w:r>
      <w:r>
        <w:rPr>
          <w:rFonts w:hint="eastAsia" w:ascii="宋体" w:hAnsi="宋体" w:cs="宋体"/>
          <w:sz w:val="24"/>
          <w:szCs w:val="24"/>
          <w:lang w:val="en-US" w:eastAsia="zh-CN"/>
        </w:rPr>
        <w:t>区工业信息化和科技局</w:t>
      </w:r>
      <w:r>
        <w:rPr>
          <w:rFonts w:hint="eastAsia" w:ascii="宋体" w:hAnsi="宋体" w:eastAsia="宋体" w:cs="宋体"/>
          <w:sz w:val="24"/>
          <w:szCs w:val="24"/>
        </w:rPr>
        <w:t>提供的</w:t>
      </w:r>
      <w:r>
        <w:rPr>
          <w:rFonts w:hint="eastAsia" w:ascii="宋体" w:hAnsi="宋体" w:cs="宋体"/>
          <w:sz w:val="24"/>
          <w:szCs w:val="24"/>
          <w:lang w:val="en-US" w:eastAsia="zh-CN"/>
        </w:rPr>
        <w:t>数据</w:t>
      </w:r>
      <w:r>
        <w:rPr>
          <w:rFonts w:hint="eastAsia" w:ascii="宋体" w:hAnsi="宋体" w:eastAsia="宋体" w:cs="宋体"/>
          <w:sz w:val="24"/>
          <w:szCs w:val="24"/>
        </w:rPr>
        <w:t>资料</w:t>
      </w:r>
      <w:r>
        <w:rPr>
          <w:rFonts w:hint="eastAsia" w:ascii="宋体" w:hAnsi="宋体" w:cs="宋体"/>
          <w:sz w:val="24"/>
          <w:szCs w:val="24"/>
          <w:lang w:eastAsia="zh-CN"/>
        </w:rPr>
        <w:t>，</w:t>
      </w:r>
      <w:r>
        <w:rPr>
          <w:rFonts w:hint="eastAsia" w:ascii="宋体" w:hAnsi="宋体" w:cs="宋体"/>
          <w:sz w:val="24"/>
          <w:szCs w:val="24"/>
          <w:lang w:val="en-US" w:eastAsia="zh-CN"/>
        </w:rPr>
        <w:t>2019年丰泽区</w:t>
      </w:r>
      <w:r>
        <w:rPr>
          <w:rFonts w:hint="eastAsia" w:ascii="宋体" w:hAnsi="宋体" w:cs="宋体"/>
          <w:sz w:val="24"/>
          <w:szCs w:val="24"/>
          <w:lang w:eastAsia="zh-CN"/>
        </w:rPr>
        <w:t>技术合同</w:t>
      </w:r>
      <w:r>
        <w:rPr>
          <w:rFonts w:hint="eastAsia" w:ascii="宋体" w:hAnsi="宋体" w:cs="宋体"/>
          <w:sz w:val="24"/>
          <w:szCs w:val="24"/>
          <w:lang w:val="en-US" w:eastAsia="zh-CN"/>
        </w:rPr>
        <w:t>成交金</w:t>
      </w:r>
      <w:r>
        <w:rPr>
          <w:rFonts w:hint="eastAsia" w:ascii="宋体" w:hAnsi="宋体" w:cs="宋体"/>
          <w:sz w:val="24"/>
          <w:szCs w:val="24"/>
          <w:lang w:eastAsia="zh-CN"/>
        </w:rPr>
        <w:t>额</w:t>
      </w:r>
      <w:r>
        <w:rPr>
          <w:rFonts w:hint="eastAsia" w:ascii="宋体" w:hAnsi="宋体" w:cs="宋体"/>
          <w:sz w:val="24"/>
          <w:szCs w:val="24"/>
          <w:lang w:val="en-US" w:eastAsia="zh-CN"/>
        </w:rPr>
        <w:t>为4508.71万元，居泉州市第一位，比2018年（4030.83万元）增加了11.86%。</w:t>
      </w:r>
      <w:r>
        <w:rPr>
          <w:rFonts w:hint="eastAsia" w:ascii="宋体" w:hAnsi="宋体" w:eastAsia="宋体" w:cs="宋体"/>
          <w:sz w:val="24"/>
          <w:szCs w:val="24"/>
        </w:rPr>
        <w:t>根据评分标准，“</w:t>
      </w:r>
      <w:r>
        <w:rPr>
          <w:rFonts w:hint="eastAsia" w:ascii="宋体" w:hAnsi="宋体" w:cs="宋体"/>
          <w:sz w:val="24"/>
          <w:szCs w:val="24"/>
          <w:lang w:eastAsia="zh-CN"/>
        </w:rPr>
        <w:t>技术合同</w:t>
      </w:r>
      <w:r>
        <w:rPr>
          <w:rFonts w:hint="eastAsia" w:ascii="宋体" w:hAnsi="宋体" w:cs="宋体"/>
          <w:sz w:val="24"/>
          <w:szCs w:val="24"/>
          <w:lang w:val="en-US" w:eastAsia="zh-CN"/>
        </w:rPr>
        <w:t>成交金</w:t>
      </w:r>
      <w:r>
        <w:rPr>
          <w:rFonts w:hint="eastAsia" w:ascii="宋体" w:hAnsi="宋体" w:cs="宋体"/>
          <w:sz w:val="24"/>
          <w:szCs w:val="24"/>
          <w:lang w:eastAsia="zh-CN"/>
        </w:rPr>
        <w:t>额</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6</w:t>
      </w:r>
      <w:r>
        <w:rPr>
          <w:rFonts w:hint="eastAsia" w:ascii="宋体" w:hAnsi="宋体" w:eastAsia="宋体" w:cs="宋体"/>
          <w:sz w:val="24"/>
          <w:szCs w:val="24"/>
        </w:rPr>
        <w:t>）“</w:t>
      </w:r>
      <w:r>
        <w:rPr>
          <w:rFonts w:hint="eastAsia" w:ascii="宋体" w:hAnsi="宋体" w:cs="宋体"/>
          <w:sz w:val="24"/>
          <w:szCs w:val="24"/>
          <w:lang w:val="en-US" w:eastAsia="zh-CN"/>
        </w:rPr>
        <w:t>上级政府科技进步奖励</w:t>
      </w:r>
      <w:r>
        <w:rPr>
          <w:rFonts w:hint="eastAsia" w:ascii="宋体" w:hAnsi="宋体" w:eastAsia="宋体" w:cs="宋体"/>
          <w:sz w:val="24"/>
          <w:szCs w:val="24"/>
        </w:rPr>
        <w:t>”得</w:t>
      </w:r>
      <w:r>
        <w:rPr>
          <w:rFonts w:hint="eastAsia" w:ascii="宋体" w:hAnsi="宋体" w:cs="宋体"/>
          <w:sz w:val="24"/>
          <w:szCs w:val="24"/>
          <w:lang w:val="en-US" w:eastAsia="zh-CN"/>
        </w:rPr>
        <w:t>1</w:t>
      </w:r>
      <w:r>
        <w:rPr>
          <w:rFonts w:hint="eastAsia" w:ascii="宋体" w:hAnsi="宋体" w:eastAsia="宋体" w:cs="宋体"/>
          <w:sz w:val="24"/>
          <w:szCs w:val="24"/>
        </w:rPr>
        <w:t>分（满分</w:t>
      </w:r>
      <w:r>
        <w:rPr>
          <w:rFonts w:hint="eastAsia" w:ascii="宋体" w:hAnsi="宋体" w:cs="宋体"/>
          <w:sz w:val="24"/>
          <w:szCs w:val="24"/>
          <w:lang w:val="en-US" w:eastAsia="zh-CN"/>
        </w:rPr>
        <w:t>2</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上级政府科技进步奖励</w:t>
      </w:r>
      <w:r>
        <w:rPr>
          <w:rFonts w:hint="eastAsia" w:ascii="宋体" w:hAnsi="宋体" w:eastAsia="宋体" w:cs="宋体"/>
          <w:sz w:val="24"/>
          <w:szCs w:val="24"/>
        </w:rPr>
        <w:t>”指标用于评价</w:t>
      </w:r>
      <w:r>
        <w:rPr>
          <w:rFonts w:hint="eastAsia" w:ascii="宋体" w:hAnsi="宋体" w:cs="宋体"/>
          <w:sz w:val="24"/>
          <w:szCs w:val="24"/>
          <w:lang w:val="en-US" w:eastAsia="zh-CN"/>
        </w:rPr>
        <w:t>2019年泉州市丰泽区获得上级政府科技进步奖励的数量。根据</w:t>
      </w:r>
      <w:r>
        <w:rPr>
          <w:rFonts w:hint="eastAsia" w:ascii="宋体" w:hAnsi="宋体" w:eastAsia="宋体" w:cs="宋体"/>
          <w:sz w:val="24"/>
          <w:szCs w:val="24"/>
        </w:rPr>
        <w:t>泉州市丰泽</w:t>
      </w:r>
      <w:r>
        <w:rPr>
          <w:rFonts w:hint="eastAsia" w:ascii="宋体" w:hAnsi="宋体" w:cs="宋体"/>
          <w:sz w:val="24"/>
          <w:szCs w:val="24"/>
          <w:lang w:val="en-US" w:eastAsia="zh-CN"/>
        </w:rPr>
        <w:t>区工业信息化和科技局</w:t>
      </w:r>
      <w:r>
        <w:rPr>
          <w:rFonts w:hint="eastAsia" w:ascii="宋体" w:hAnsi="宋体" w:eastAsia="宋体" w:cs="宋体"/>
          <w:sz w:val="24"/>
          <w:szCs w:val="24"/>
        </w:rPr>
        <w:t>提供的</w:t>
      </w:r>
      <w:r>
        <w:rPr>
          <w:rFonts w:hint="eastAsia" w:ascii="宋体" w:hAnsi="宋体" w:cs="宋体"/>
          <w:sz w:val="24"/>
          <w:szCs w:val="24"/>
          <w:lang w:val="en-US" w:eastAsia="zh-CN"/>
        </w:rPr>
        <w:t>数据</w:t>
      </w:r>
      <w:r>
        <w:rPr>
          <w:rFonts w:hint="eastAsia" w:ascii="宋体" w:hAnsi="宋体" w:eastAsia="宋体" w:cs="宋体"/>
          <w:sz w:val="24"/>
          <w:szCs w:val="24"/>
        </w:rPr>
        <w:t>资料</w:t>
      </w:r>
      <w:r>
        <w:rPr>
          <w:rFonts w:hint="eastAsia" w:ascii="宋体" w:hAnsi="宋体" w:cs="宋体"/>
          <w:sz w:val="24"/>
          <w:szCs w:val="24"/>
          <w:lang w:eastAsia="zh-CN"/>
        </w:rPr>
        <w:t>，</w:t>
      </w:r>
      <w:r>
        <w:rPr>
          <w:rFonts w:hint="eastAsia" w:ascii="宋体" w:hAnsi="宋体" w:cs="宋体"/>
          <w:sz w:val="24"/>
          <w:szCs w:val="24"/>
          <w:lang w:val="en-US" w:eastAsia="zh-CN"/>
        </w:rPr>
        <w:t>2019年南威软件“用于企业产品设计的云平台关键技术研发与应用”获评2018年度福建省科技进步奖三等奖。</w:t>
      </w:r>
      <w:r>
        <w:rPr>
          <w:rFonts w:hint="eastAsia" w:ascii="宋体" w:hAnsi="宋体" w:eastAsia="宋体" w:cs="宋体"/>
          <w:sz w:val="24"/>
          <w:szCs w:val="24"/>
        </w:rPr>
        <w:t>根据评分标准，“</w:t>
      </w:r>
      <w:r>
        <w:rPr>
          <w:rFonts w:hint="eastAsia" w:ascii="宋体" w:hAnsi="宋体" w:cs="宋体"/>
          <w:sz w:val="24"/>
          <w:szCs w:val="24"/>
          <w:lang w:val="en-US" w:eastAsia="zh-CN"/>
        </w:rPr>
        <w:t>上级政府科技进步奖励</w:t>
      </w:r>
      <w:r>
        <w:rPr>
          <w:rFonts w:hint="eastAsia" w:ascii="宋体" w:hAnsi="宋体" w:eastAsia="宋体" w:cs="宋体"/>
          <w:sz w:val="24"/>
          <w:szCs w:val="24"/>
        </w:rPr>
        <w:t>”得</w:t>
      </w:r>
      <w:r>
        <w:rPr>
          <w:rFonts w:hint="eastAsia" w:ascii="宋体" w:hAnsi="宋体" w:cs="宋体"/>
          <w:sz w:val="24"/>
          <w:szCs w:val="24"/>
          <w:lang w:val="en-US" w:eastAsia="zh-CN"/>
        </w:rPr>
        <w:t>1</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高层次</w:t>
      </w:r>
      <w:r>
        <w:rPr>
          <w:rFonts w:hint="eastAsia" w:ascii="宋体" w:hAnsi="宋体" w:eastAsia="宋体" w:cs="宋体"/>
          <w:sz w:val="24"/>
          <w:szCs w:val="24"/>
        </w:rPr>
        <w:t>人才集聚”得</w:t>
      </w:r>
      <w:r>
        <w:rPr>
          <w:rFonts w:hint="eastAsia" w:ascii="宋体" w:hAnsi="宋体" w:cs="宋体"/>
          <w:sz w:val="24"/>
          <w:szCs w:val="24"/>
          <w:lang w:val="en-US" w:eastAsia="zh-CN"/>
        </w:rPr>
        <w:t>3</w:t>
      </w:r>
      <w:r>
        <w:rPr>
          <w:rFonts w:hint="eastAsia" w:ascii="宋体" w:hAnsi="宋体" w:eastAsia="宋体" w:cs="宋体"/>
          <w:sz w:val="24"/>
          <w:szCs w:val="24"/>
        </w:rPr>
        <w:t>分（满分</w:t>
      </w:r>
      <w:r>
        <w:rPr>
          <w:rFonts w:hint="eastAsia" w:ascii="宋体" w:hAnsi="宋体" w:cs="宋体"/>
          <w:sz w:val="24"/>
          <w:szCs w:val="24"/>
          <w:lang w:val="en-US" w:eastAsia="zh-CN"/>
        </w:rPr>
        <w:t>3</w:t>
      </w:r>
      <w:r>
        <w:rPr>
          <w:rFonts w:hint="eastAsia" w:ascii="宋体" w:hAnsi="宋体" w:eastAsia="宋体" w:cs="宋体"/>
          <w:sz w:val="24"/>
          <w:szCs w:val="24"/>
        </w:rPr>
        <w:t>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高层次</w:t>
      </w:r>
      <w:r>
        <w:rPr>
          <w:rFonts w:hint="eastAsia" w:ascii="宋体" w:hAnsi="宋体" w:eastAsia="宋体" w:cs="宋体"/>
          <w:sz w:val="24"/>
          <w:szCs w:val="24"/>
        </w:rPr>
        <w:t>人才集聚”指标用于评价</w:t>
      </w:r>
      <w:r>
        <w:rPr>
          <w:rFonts w:hint="eastAsia" w:ascii="宋体" w:hAnsi="宋体" w:cs="宋体"/>
          <w:sz w:val="24"/>
          <w:szCs w:val="24"/>
          <w:lang w:val="en-US" w:eastAsia="zh-CN"/>
        </w:rPr>
        <w:t>2019年泉州市丰泽区引进和培育高层次人才的情况。根据</w:t>
      </w:r>
      <w:r>
        <w:rPr>
          <w:rFonts w:hint="eastAsia" w:ascii="宋体" w:hAnsi="宋体" w:eastAsia="宋体" w:cs="宋体"/>
          <w:sz w:val="24"/>
          <w:szCs w:val="24"/>
        </w:rPr>
        <w:t>泉州市丰泽</w:t>
      </w:r>
      <w:r>
        <w:rPr>
          <w:rFonts w:hint="eastAsia" w:ascii="宋体" w:hAnsi="宋体" w:cs="宋体"/>
          <w:sz w:val="24"/>
          <w:szCs w:val="24"/>
          <w:lang w:val="en-US" w:eastAsia="zh-CN"/>
        </w:rPr>
        <w:t>区工业信息化和科技局</w:t>
      </w:r>
      <w:r>
        <w:rPr>
          <w:rFonts w:hint="eastAsia" w:ascii="宋体" w:hAnsi="宋体" w:eastAsia="宋体" w:cs="宋体"/>
          <w:sz w:val="24"/>
          <w:szCs w:val="24"/>
        </w:rPr>
        <w:t>提供的</w:t>
      </w:r>
      <w:r>
        <w:rPr>
          <w:rFonts w:hint="eastAsia" w:ascii="宋体" w:hAnsi="宋体" w:cs="宋体"/>
          <w:sz w:val="24"/>
          <w:szCs w:val="24"/>
          <w:lang w:val="en-US" w:eastAsia="zh-CN"/>
        </w:rPr>
        <w:t>数据</w:t>
      </w:r>
      <w:r>
        <w:rPr>
          <w:rFonts w:hint="eastAsia" w:ascii="宋体" w:hAnsi="宋体" w:eastAsia="宋体" w:cs="宋体"/>
          <w:sz w:val="24"/>
          <w:szCs w:val="24"/>
        </w:rPr>
        <w:t>资料</w:t>
      </w:r>
      <w:r>
        <w:rPr>
          <w:rFonts w:hint="eastAsia" w:ascii="宋体" w:hAnsi="宋体" w:cs="宋体"/>
          <w:sz w:val="24"/>
          <w:szCs w:val="24"/>
          <w:lang w:eastAsia="zh-CN"/>
        </w:rPr>
        <w:t>，截止到2019年底，丰泽区高层次人才是448人次，比2018年新增303人次，</w:t>
      </w:r>
      <w:r>
        <w:rPr>
          <w:rFonts w:hint="eastAsia" w:ascii="宋体" w:hAnsi="宋体" w:cs="宋体"/>
          <w:sz w:val="24"/>
          <w:szCs w:val="24"/>
          <w:lang w:val="en-US" w:eastAsia="zh-CN"/>
        </w:rPr>
        <w:t>增加了209%</w:t>
      </w:r>
      <w:r>
        <w:rPr>
          <w:rFonts w:hint="eastAsia" w:ascii="宋体" w:hAnsi="宋体" w:cs="宋体"/>
          <w:sz w:val="24"/>
          <w:szCs w:val="24"/>
          <w:lang w:eastAsia="zh-CN"/>
        </w:rPr>
        <w:t>。</w:t>
      </w:r>
      <w:r>
        <w:rPr>
          <w:rFonts w:hint="eastAsia" w:ascii="宋体" w:hAnsi="宋体" w:eastAsia="宋体" w:cs="宋体"/>
          <w:sz w:val="24"/>
          <w:szCs w:val="24"/>
        </w:rPr>
        <w:t>根据评分标准，“</w:t>
      </w:r>
      <w:r>
        <w:rPr>
          <w:rFonts w:hint="eastAsia" w:ascii="宋体" w:hAnsi="宋体" w:eastAsia="宋体" w:cs="宋体"/>
          <w:sz w:val="24"/>
          <w:szCs w:val="24"/>
          <w:lang w:val="en-US" w:eastAsia="zh-CN"/>
        </w:rPr>
        <w:t>高层次</w:t>
      </w:r>
      <w:r>
        <w:rPr>
          <w:rFonts w:hint="eastAsia" w:ascii="宋体" w:hAnsi="宋体" w:eastAsia="宋体" w:cs="宋体"/>
          <w:sz w:val="24"/>
          <w:szCs w:val="24"/>
        </w:rPr>
        <w:t>人才集聚”得</w:t>
      </w:r>
      <w:r>
        <w:rPr>
          <w:rFonts w:hint="eastAsia" w:ascii="宋体" w:hAnsi="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cs="宋体"/>
          <w:kern w:val="0"/>
          <w:sz w:val="24"/>
          <w:szCs w:val="24"/>
          <w:lang w:val="en-US" w:eastAsia="zh-CN"/>
        </w:rPr>
        <w:t>项目效益</w:t>
      </w:r>
      <w:r>
        <w:rPr>
          <w:rFonts w:hint="eastAsia" w:ascii="宋体" w:hAnsi="宋体" w:eastAsia="宋体" w:cs="宋体"/>
          <w:kern w:val="0"/>
          <w:sz w:val="24"/>
          <w:szCs w:val="24"/>
        </w:rPr>
        <w:t>指标合计得</w:t>
      </w:r>
      <w:r>
        <w:rPr>
          <w:rFonts w:hint="eastAsia" w:ascii="宋体" w:hAnsi="宋体" w:cs="宋体"/>
          <w:kern w:val="0"/>
          <w:sz w:val="24"/>
          <w:szCs w:val="24"/>
          <w:lang w:val="en-US" w:eastAsia="zh-CN"/>
        </w:rPr>
        <w:t>20</w:t>
      </w:r>
      <w:r>
        <w:rPr>
          <w:rFonts w:hint="eastAsia" w:ascii="宋体" w:hAnsi="宋体" w:eastAsia="宋体" w:cs="宋体"/>
          <w:kern w:val="0"/>
          <w:sz w:val="24"/>
          <w:szCs w:val="24"/>
        </w:rPr>
        <w:t>分。</w:t>
      </w:r>
    </w:p>
    <w:p>
      <w:pPr>
        <w:spacing w:line="360" w:lineRule="auto"/>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2</w:t>
      </w:r>
      <w:r>
        <w:rPr>
          <w:rFonts w:hint="eastAsia" w:ascii="宋体" w:hAnsi="宋体" w:eastAsia="宋体" w:cs="宋体"/>
          <w:b/>
          <w:bCs/>
          <w:sz w:val="24"/>
          <w:szCs w:val="24"/>
        </w:rPr>
        <w:t>.</w:t>
      </w:r>
      <w:r>
        <w:rPr>
          <w:rFonts w:hint="eastAsia" w:ascii="宋体" w:hAnsi="宋体" w:cs="宋体"/>
          <w:b/>
          <w:bCs/>
          <w:sz w:val="24"/>
          <w:szCs w:val="24"/>
          <w:lang w:val="en-US" w:eastAsia="zh-CN"/>
        </w:rPr>
        <w:t>满意度</w:t>
      </w:r>
      <w:r>
        <w:rPr>
          <w:rFonts w:hint="eastAsia" w:ascii="宋体" w:hAnsi="宋体" w:eastAsia="宋体" w:cs="宋体"/>
          <w:b/>
          <w:bCs/>
          <w:sz w:val="24"/>
          <w:szCs w:val="24"/>
        </w:rPr>
        <w:t>得</w:t>
      </w:r>
      <w:r>
        <w:rPr>
          <w:rFonts w:hint="eastAsia" w:ascii="宋体" w:hAnsi="宋体" w:cs="宋体"/>
          <w:b/>
          <w:bCs/>
          <w:sz w:val="24"/>
          <w:szCs w:val="24"/>
          <w:lang w:val="en-US" w:eastAsia="zh-CN"/>
        </w:rPr>
        <w:t>5</w:t>
      </w:r>
      <w:r>
        <w:rPr>
          <w:rFonts w:hint="eastAsia" w:ascii="宋体" w:hAnsi="宋体" w:eastAsia="宋体" w:cs="宋体"/>
          <w:b/>
          <w:bCs/>
          <w:sz w:val="24"/>
          <w:szCs w:val="24"/>
        </w:rPr>
        <w:t>分（共</w:t>
      </w:r>
      <w:r>
        <w:rPr>
          <w:rFonts w:hint="eastAsia" w:ascii="宋体" w:hAnsi="宋体" w:cs="宋体"/>
          <w:b/>
          <w:bCs/>
          <w:sz w:val="24"/>
          <w:szCs w:val="24"/>
          <w:lang w:val="en-US" w:eastAsia="zh-CN"/>
        </w:rPr>
        <w:t>5</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满意度</w:t>
      </w:r>
      <w:r>
        <w:rPr>
          <w:rFonts w:hint="eastAsia" w:ascii="宋体" w:hAnsi="宋体" w:eastAsia="宋体" w:cs="宋体"/>
          <w:sz w:val="24"/>
          <w:szCs w:val="24"/>
        </w:rPr>
        <w:t>”</w:t>
      </w:r>
      <w:r>
        <w:rPr>
          <w:rFonts w:hint="eastAsia" w:ascii="宋体" w:hAnsi="宋体" w:cs="宋体"/>
          <w:sz w:val="24"/>
          <w:szCs w:val="24"/>
          <w:lang w:val="en-US" w:eastAsia="zh-CN"/>
        </w:rPr>
        <w:t>通过</w:t>
      </w:r>
      <w:r>
        <w:rPr>
          <w:rFonts w:hint="eastAsia" w:ascii="宋体" w:hAnsi="宋体" w:eastAsia="宋体" w:cs="宋体"/>
          <w:sz w:val="24"/>
          <w:szCs w:val="24"/>
        </w:rPr>
        <w:t>“</w:t>
      </w:r>
      <w:r>
        <w:rPr>
          <w:rFonts w:hint="eastAsia" w:ascii="宋体" w:hAnsi="宋体" w:cs="宋体"/>
          <w:sz w:val="24"/>
          <w:szCs w:val="24"/>
          <w:lang w:val="en-US" w:eastAsia="zh-CN"/>
        </w:rPr>
        <w:t>服务对象满意度</w:t>
      </w:r>
      <w:r>
        <w:rPr>
          <w:rFonts w:hint="eastAsia" w:ascii="宋体" w:hAnsi="宋体" w:eastAsia="宋体" w:cs="宋体"/>
          <w:sz w:val="24"/>
          <w:szCs w:val="24"/>
        </w:rPr>
        <w:t>”</w:t>
      </w:r>
      <w:r>
        <w:rPr>
          <w:rFonts w:hint="eastAsia" w:ascii="宋体" w:hAnsi="宋体" w:cs="宋体"/>
          <w:sz w:val="24"/>
          <w:szCs w:val="24"/>
          <w:lang w:val="en-US" w:eastAsia="zh-CN"/>
        </w:rPr>
        <w:t>这</w:t>
      </w:r>
      <w:r>
        <w:rPr>
          <w:rFonts w:hint="eastAsia" w:ascii="宋体" w:hAnsi="宋体" w:eastAsia="宋体" w:cs="宋体"/>
          <w:sz w:val="24"/>
          <w:szCs w:val="24"/>
        </w:rPr>
        <w:t>个三级指标</w:t>
      </w:r>
      <w:r>
        <w:rPr>
          <w:rFonts w:hint="eastAsia" w:ascii="宋体" w:hAnsi="宋体" w:cs="宋体"/>
          <w:sz w:val="24"/>
          <w:szCs w:val="24"/>
          <w:lang w:val="en-US" w:eastAsia="zh-CN"/>
        </w:rPr>
        <w:t>来评价</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服务对象满意度</w:t>
      </w:r>
      <w:r>
        <w:rPr>
          <w:rFonts w:hint="eastAsia" w:ascii="宋体" w:hAnsi="宋体" w:eastAsia="宋体" w:cs="宋体"/>
          <w:sz w:val="24"/>
          <w:szCs w:val="24"/>
        </w:rPr>
        <w:t>”指标用于评价</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度扶持企业科技基金及扶持企业发展专项基金的服务对象对</w:t>
      </w:r>
      <w:r>
        <w:rPr>
          <w:rFonts w:hint="eastAsia" w:ascii="宋体" w:hAnsi="宋体" w:eastAsia="宋体" w:cs="宋体"/>
          <w:sz w:val="24"/>
          <w:szCs w:val="24"/>
        </w:rPr>
        <w:t>项目</w:t>
      </w:r>
      <w:r>
        <w:rPr>
          <w:rFonts w:hint="eastAsia" w:ascii="宋体" w:hAnsi="宋体" w:cs="宋体"/>
          <w:sz w:val="24"/>
          <w:szCs w:val="24"/>
          <w:lang w:val="en-US" w:eastAsia="zh-CN"/>
        </w:rPr>
        <w:t>实施</w:t>
      </w:r>
      <w:r>
        <w:rPr>
          <w:rFonts w:hint="eastAsia" w:ascii="宋体" w:hAnsi="宋体" w:eastAsia="宋体" w:cs="宋体"/>
          <w:sz w:val="24"/>
          <w:szCs w:val="24"/>
        </w:rPr>
        <w:t>的满意程度。本次</w:t>
      </w:r>
      <w:r>
        <w:rPr>
          <w:rFonts w:hint="eastAsia" w:ascii="宋体" w:hAnsi="宋体" w:cs="宋体"/>
          <w:sz w:val="24"/>
          <w:szCs w:val="24"/>
          <w:lang w:val="en-US" w:eastAsia="zh-CN"/>
        </w:rPr>
        <w:t>绩效</w:t>
      </w:r>
      <w:r>
        <w:rPr>
          <w:rFonts w:hint="eastAsia" w:ascii="宋体" w:hAnsi="宋体" w:eastAsia="宋体" w:cs="宋体"/>
          <w:sz w:val="24"/>
          <w:szCs w:val="24"/>
        </w:rPr>
        <w:t>评价共</w:t>
      </w:r>
      <w:r>
        <w:rPr>
          <w:rFonts w:hint="eastAsia" w:ascii="宋体" w:hAnsi="宋体" w:eastAsia="宋体" w:cs="宋体"/>
          <w:sz w:val="24"/>
          <w:szCs w:val="24"/>
          <w:lang w:val="en-US" w:eastAsia="zh-CN"/>
        </w:rPr>
        <w:t>收回</w:t>
      </w:r>
      <w:r>
        <w:rPr>
          <w:rFonts w:hint="eastAsia" w:ascii="宋体" w:hAnsi="宋体" w:cs="宋体"/>
          <w:sz w:val="24"/>
          <w:szCs w:val="24"/>
          <w:lang w:val="en-US" w:eastAsia="zh-CN"/>
        </w:rPr>
        <w:t>57</w:t>
      </w:r>
      <w:r>
        <w:rPr>
          <w:rFonts w:hint="eastAsia" w:ascii="宋体" w:hAnsi="宋体" w:eastAsia="宋体" w:cs="宋体"/>
          <w:sz w:val="24"/>
          <w:szCs w:val="24"/>
        </w:rPr>
        <w:t>份</w:t>
      </w:r>
      <w:r>
        <w:rPr>
          <w:rFonts w:hint="eastAsia" w:ascii="宋体" w:hAnsi="宋体" w:cs="宋体"/>
          <w:sz w:val="24"/>
          <w:szCs w:val="24"/>
          <w:lang w:val="en-US" w:eastAsia="zh-CN"/>
        </w:rPr>
        <w:t>有效</w:t>
      </w:r>
      <w:r>
        <w:rPr>
          <w:rFonts w:hint="eastAsia" w:ascii="宋体" w:hAnsi="宋体" w:eastAsia="宋体" w:cs="宋体"/>
          <w:sz w:val="24"/>
          <w:szCs w:val="24"/>
        </w:rPr>
        <w:t>调查问卷，根据回收的</w:t>
      </w:r>
      <w:r>
        <w:rPr>
          <w:rFonts w:hint="eastAsia" w:ascii="宋体" w:hAnsi="宋体" w:eastAsia="宋体" w:cs="宋体"/>
          <w:sz w:val="24"/>
          <w:szCs w:val="24"/>
          <w:lang w:val="en-US" w:eastAsia="zh-CN"/>
        </w:rPr>
        <w:t>满意度</w:t>
      </w:r>
      <w:r>
        <w:rPr>
          <w:rFonts w:hint="eastAsia" w:ascii="宋体" w:hAnsi="宋体" w:eastAsia="宋体" w:cs="宋体"/>
          <w:sz w:val="24"/>
          <w:szCs w:val="24"/>
        </w:rPr>
        <w:t>调查问卷，</w:t>
      </w:r>
      <w:r>
        <w:rPr>
          <w:rFonts w:hint="eastAsia" w:ascii="宋体" w:hAnsi="宋体" w:cs="宋体"/>
          <w:sz w:val="24"/>
          <w:szCs w:val="24"/>
          <w:lang w:val="en-US" w:eastAsia="zh-CN"/>
        </w:rPr>
        <w:t>服务对象</w:t>
      </w:r>
      <w:r>
        <w:rPr>
          <w:rFonts w:hint="eastAsia" w:ascii="宋体" w:hAnsi="宋体" w:eastAsia="宋体" w:cs="宋体"/>
          <w:sz w:val="24"/>
          <w:szCs w:val="24"/>
          <w:lang w:val="en-US" w:eastAsia="zh-CN"/>
        </w:rPr>
        <w:t>（包括企业、科研院所</w:t>
      </w:r>
      <w:r>
        <w:rPr>
          <w:rFonts w:hint="eastAsia" w:ascii="宋体" w:hAnsi="宋体" w:cs="宋体"/>
          <w:sz w:val="24"/>
          <w:szCs w:val="24"/>
          <w:lang w:val="en-US" w:eastAsia="zh-CN"/>
        </w:rPr>
        <w:t>、高等院校</w:t>
      </w:r>
      <w:r>
        <w:rPr>
          <w:rFonts w:hint="eastAsia" w:ascii="宋体" w:hAnsi="宋体" w:eastAsia="宋体" w:cs="宋体"/>
          <w:sz w:val="24"/>
          <w:szCs w:val="24"/>
          <w:lang w:val="en-US" w:eastAsia="zh-CN"/>
        </w:rPr>
        <w:t>等）</w:t>
      </w:r>
      <w:r>
        <w:rPr>
          <w:rFonts w:hint="eastAsia" w:ascii="宋体" w:hAnsi="宋体" w:eastAsia="宋体" w:cs="宋体"/>
          <w:sz w:val="24"/>
          <w:szCs w:val="24"/>
        </w:rPr>
        <w:t>对奖励、扶持或补助资金</w:t>
      </w:r>
      <w:r>
        <w:rPr>
          <w:rFonts w:hint="eastAsia" w:ascii="宋体" w:hAnsi="宋体" w:cs="宋体"/>
          <w:sz w:val="24"/>
          <w:szCs w:val="24"/>
          <w:lang w:val="en-US" w:eastAsia="zh-CN"/>
        </w:rPr>
        <w:t>的</w:t>
      </w:r>
      <w:r>
        <w:rPr>
          <w:rFonts w:hint="eastAsia" w:ascii="宋体" w:hAnsi="宋体" w:eastAsia="宋体" w:cs="宋体"/>
          <w:sz w:val="24"/>
          <w:szCs w:val="24"/>
        </w:rPr>
        <w:t>申报</w:t>
      </w:r>
      <w:r>
        <w:rPr>
          <w:rFonts w:hint="eastAsia" w:ascii="宋体" w:hAnsi="宋体" w:cs="宋体"/>
          <w:sz w:val="24"/>
          <w:szCs w:val="24"/>
          <w:lang w:eastAsia="zh-CN"/>
        </w:rPr>
        <w:t>、</w:t>
      </w:r>
      <w:r>
        <w:rPr>
          <w:rFonts w:hint="eastAsia" w:ascii="宋体" w:hAnsi="宋体" w:cs="宋体"/>
          <w:sz w:val="24"/>
          <w:szCs w:val="24"/>
          <w:lang w:val="en-US" w:eastAsia="zh-CN"/>
        </w:rPr>
        <w:t>组织管理、资金到位及时性、扶持方式和标准的合理性、项目对本单位技术创新和研发能力提升的贡献，以及对本单位整体发展的贡献等</w:t>
      </w:r>
      <w:r>
        <w:rPr>
          <w:rFonts w:hint="eastAsia" w:ascii="宋体" w:hAnsi="宋体" w:eastAsia="宋体" w:cs="宋体"/>
          <w:sz w:val="24"/>
          <w:szCs w:val="24"/>
        </w:rPr>
        <w:t>是认同的，非常满意的选项占</w:t>
      </w:r>
      <w:r>
        <w:rPr>
          <w:rFonts w:hint="eastAsia" w:ascii="宋体" w:hAnsi="宋体" w:cs="宋体"/>
          <w:sz w:val="24"/>
          <w:szCs w:val="24"/>
          <w:lang w:val="en-US" w:eastAsia="zh-CN"/>
        </w:rPr>
        <w:t>79.7</w:t>
      </w:r>
      <w:r>
        <w:rPr>
          <w:rFonts w:hint="eastAsia" w:ascii="宋体" w:hAnsi="宋体" w:eastAsia="宋体" w:cs="宋体"/>
          <w:sz w:val="24"/>
          <w:szCs w:val="24"/>
        </w:rPr>
        <w:t>%，满意的占</w:t>
      </w:r>
      <w:r>
        <w:rPr>
          <w:rFonts w:hint="eastAsia" w:ascii="宋体" w:hAnsi="宋体" w:cs="宋体"/>
          <w:sz w:val="24"/>
          <w:szCs w:val="24"/>
          <w:lang w:val="en-US" w:eastAsia="zh-CN"/>
        </w:rPr>
        <w:t>18.5</w:t>
      </w:r>
      <w:r>
        <w:rPr>
          <w:rFonts w:hint="eastAsia" w:ascii="宋体" w:hAnsi="宋体" w:eastAsia="宋体" w:cs="宋体"/>
          <w:sz w:val="24"/>
          <w:szCs w:val="24"/>
        </w:rPr>
        <w:t>%，满意</w:t>
      </w:r>
      <w:r>
        <w:rPr>
          <w:rFonts w:hint="eastAsia" w:ascii="宋体" w:hAnsi="宋体" w:eastAsia="宋体" w:cs="宋体"/>
          <w:sz w:val="24"/>
          <w:szCs w:val="24"/>
          <w:lang w:val="en-US" w:eastAsia="zh-CN"/>
        </w:rPr>
        <w:t>度</w:t>
      </w:r>
      <w:r>
        <w:rPr>
          <w:rFonts w:hint="eastAsia" w:ascii="宋体" w:hAnsi="宋体" w:eastAsia="宋体" w:cs="宋体"/>
          <w:sz w:val="24"/>
          <w:szCs w:val="24"/>
        </w:rPr>
        <w:t>达到</w:t>
      </w:r>
      <w:r>
        <w:rPr>
          <w:rFonts w:hint="eastAsia" w:ascii="宋体" w:hAnsi="宋体" w:cs="宋体"/>
          <w:sz w:val="24"/>
          <w:szCs w:val="24"/>
          <w:lang w:val="en-US" w:eastAsia="zh-CN"/>
        </w:rPr>
        <w:t>98.2</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详</w:t>
      </w:r>
      <w:r>
        <w:rPr>
          <w:rFonts w:hint="eastAsia" w:ascii="宋体" w:hAnsi="宋体" w:eastAsia="宋体" w:cs="宋体"/>
          <w:sz w:val="24"/>
          <w:szCs w:val="24"/>
          <w:lang w:val="en-US" w:eastAsia="zh-CN"/>
        </w:rPr>
        <w:t>见表6</w:t>
      </w:r>
      <w:r>
        <w:rPr>
          <w:rFonts w:hint="eastAsia" w:ascii="宋体" w:hAnsi="宋体" w:eastAsia="宋体" w:cs="宋体"/>
          <w:sz w:val="24"/>
          <w:szCs w:val="24"/>
          <w:lang w:eastAsia="zh-CN"/>
        </w:rPr>
        <w:t>）</w:t>
      </w:r>
      <w:r>
        <w:rPr>
          <w:rFonts w:hint="eastAsia" w:ascii="宋体" w:hAnsi="宋体" w:eastAsia="宋体" w:cs="宋体"/>
          <w:sz w:val="24"/>
          <w:szCs w:val="24"/>
        </w:rPr>
        <w:t>。根据评分标准，</w:t>
      </w:r>
      <w:r>
        <w:rPr>
          <w:rFonts w:hint="eastAsia" w:ascii="宋体" w:hAnsi="宋体" w:cs="宋体"/>
          <w:sz w:val="24"/>
          <w:szCs w:val="24"/>
          <w:lang w:eastAsia="zh-CN"/>
        </w:rPr>
        <w:t>“</w:t>
      </w:r>
      <w:r>
        <w:rPr>
          <w:rFonts w:hint="eastAsia" w:ascii="宋体" w:hAnsi="宋体" w:cs="宋体"/>
          <w:sz w:val="24"/>
          <w:szCs w:val="24"/>
          <w:lang w:val="en-US" w:eastAsia="zh-CN"/>
        </w:rPr>
        <w:t>服务对象</w:t>
      </w:r>
      <w:r>
        <w:rPr>
          <w:rFonts w:hint="eastAsia" w:ascii="宋体" w:hAnsi="宋体" w:eastAsia="宋体" w:cs="宋体"/>
          <w:sz w:val="24"/>
          <w:szCs w:val="24"/>
          <w:lang w:val="en-US" w:eastAsia="zh-CN"/>
        </w:rPr>
        <w:t>满意度</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得</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最终，</w:t>
      </w:r>
      <w:r>
        <w:rPr>
          <w:rFonts w:hint="eastAsia" w:ascii="宋体" w:hAnsi="宋体" w:cs="宋体"/>
          <w:kern w:val="0"/>
          <w:sz w:val="24"/>
          <w:szCs w:val="24"/>
          <w:lang w:val="en-US" w:eastAsia="zh-CN"/>
        </w:rPr>
        <w:t>效益</w:t>
      </w:r>
      <w:r>
        <w:rPr>
          <w:rFonts w:hint="eastAsia" w:ascii="宋体" w:hAnsi="宋体" w:eastAsia="宋体" w:cs="宋体"/>
          <w:kern w:val="0"/>
          <w:sz w:val="24"/>
          <w:szCs w:val="24"/>
        </w:rPr>
        <w:t>指标总得分为</w:t>
      </w:r>
      <w:r>
        <w:rPr>
          <w:rFonts w:hint="eastAsia" w:ascii="宋体" w:hAnsi="宋体" w:cs="宋体"/>
          <w:kern w:val="0"/>
          <w:sz w:val="24"/>
          <w:szCs w:val="24"/>
          <w:lang w:val="en-US" w:eastAsia="zh-CN"/>
        </w:rPr>
        <w:t>25</w:t>
      </w:r>
      <w:r>
        <w:rPr>
          <w:rFonts w:hint="eastAsia" w:ascii="宋体" w:hAnsi="宋体" w:eastAsia="宋体" w:cs="宋体"/>
          <w:kern w:val="0"/>
          <w:sz w:val="24"/>
          <w:szCs w:val="24"/>
        </w:rPr>
        <w:t>分。</w:t>
      </w:r>
    </w:p>
    <w:p>
      <w:pPr>
        <w:spacing w:line="360" w:lineRule="auto"/>
        <w:jc w:val="center"/>
        <w:rPr>
          <w:rFonts w:hint="eastAsia" w:ascii="宋体" w:hAnsi="宋体" w:cs="宋体"/>
          <w:b/>
          <w:bCs/>
          <w:sz w:val="24"/>
          <w:lang w:val="en-US" w:eastAsia="zh-CN"/>
        </w:rPr>
      </w:pPr>
      <w:r>
        <w:rPr>
          <w:rFonts w:hint="eastAsia" w:ascii="宋体" w:hAnsi="宋体" w:cs="宋体"/>
          <w:b/>
          <w:bCs/>
          <w:sz w:val="24"/>
        </w:rPr>
        <w:t>表</w:t>
      </w:r>
      <w:r>
        <w:rPr>
          <w:rFonts w:hint="eastAsia" w:ascii="宋体" w:hAnsi="宋体" w:cs="宋体"/>
          <w:b/>
          <w:bCs/>
          <w:sz w:val="24"/>
          <w:lang w:val="en-US" w:eastAsia="zh-CN"/>
        </w:rPr>
        <w:t>6</w:t>
      </w:r>
      <w:r>
        <w:rPr>
          <w:rFonts w:hint="eastAsia" w:ascii="宋体" w:hAnsi="宋体" w:cs="宋体"/>
          <w:b/>
          <w:bCs/>
          <w:sz w:val="24"/>
        </w:rPr>
        <w:t xml:space="preserve">  </w:t>
      </w:r>
      <w:r>
        <w:rPr>
          <w:rFonts w:hint="eastAsia" w:ascii="宋体" w:hAnsi="宋体" w:cs="宋体"/>
          <w:b/>
          <w:bCs/>
          <w:sz w:val="24"/>
          <w:lang w:val="en-US" w:eastAsia="zh-CN"/>
        </w:rPr>
        <w:t>泉州市丰泽区</w:t>
      </w:r>
      <w:r>
        <w:rPr>
          <w:rFonts w:hint="eastAsia" w:ascii="宋体" w:hAnsi="宋体" w:cs="宋体"/>
          <w:b/>
          <w:bCs/>
          <w:sz w:val="24"/>
        </w:rPr>
        <w:t>201</w:t>
      </w:r>
      <w:r>
        <w:rPr>
          <w:rFonts w:hint="eastAsia" w:ascii="宋体" w:hAnsi="宋体" w:cs="宋体"/>
          <w:b/>
          <w:bCs/>
          <w:sz w:val="24"/>
          <w:lang w:val="en-US" w:eastAsia="zh-CN"/>
        </w:rPr>
        <w:t>9</w:t>
      </w:r>
      <w:r>
        <w:rPr>
          <w:rFonts w:hint="eastAsia" w:ascii="宋体" w:hAnsi="宋体" w:cs="宋体"/>
          <w:b/>
          <w:bCs/>
          <w:sz w:val="24"/>
        </w:rPr>
        <w:t>年</w:t>
      </w:r>
      <w:r>
        <w:rPr>
          <w:rFonts w:hint="eastAsia" w:ascii="宋体" w:hAnsi="宋体" w:cs="宋体"/>
          <w:b/>
          <w:bCs/>
          <w:sz w:val="24"/>
          <w:lang w:val="en-US" w:eastAsia="zh-CN"/>
        </w:rPr>
        <w:t>度扶持企业科技基金及扶持企业发展专项基金</w:t>
      </w:r>
    </w:p>
    <w:p>
      <w:pPr>
        <w:spacing w:line="360" w:lineRule="auto"/>
        <w:jc w:val="center"/>
        <w:rPr>
          <w:rFonts w:hint="default" w:ascii="宋体" w:hAnsi="宋体" w:cs="宋体"/>
          <w:b/>
          <w:bCs/>
          <w:sz w:val="24"/>
          <w:lang w:val="en-US" w:eastAsia="zh-CN"/>
        </w:rPr>
      </w:pPr>
      <w:r>
        <w:rPr>
          <w:rFonts w:hint="eastAsia" w:ascii="宋体" w:hAnsi="宋体" w:cs="宋体"/>
          <w:b/>
          <w:bCs/>
          <w:sz w:val="24"/>
          <w:lang w:val="en-US" w:eastAsia="zh-CN"/>
        </w:rPr>
        <w:t>满意度</w:t>
      </w:r>
      <w:r>
        <w:rPr>
          <w:rFonts w:hint="eastAsia" w:ascii="宋体" w:hAnsi="宋体" w:cs="宋体"/>
          <w:b/>
          <w:bCs/>
          <w:sz w:val="24"/>
        </w:rPr>
        <w:t>调查问卷</w:t>
      </w:r>
      <w:r>
        <w:rPr>
          <w:rFonts w:hint="eastAsia" w:ascii="宋体" w:hAnsi="宋体" w:cs="宋体"/>
          <w:b/>
          <w:bCs/>
          <w:sz w:val="24"/>
          <w:lang w:val="en-US" w:eastAsia="zh-CN"/>
        </w:rPr>
        <w:t>统计情况</w:t>
      </w:r>
    </w:p>
    <w:tbl>
      <w:tblPr>
        <w:tblStyle w:val="14"/>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1131"/>
        <w:gridCol w:w="1131"/>
        <w:gridCol w:w="113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116"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left="840" w:hanging="840" w:hangingChars="400"/>
              <w:jc w:val="center"/>
              <w:textAlignment w:val="auto"/>
              <w:outlineLvl w:val="9"/>
              <w:rPr>
                <w:rFonts w:hint="eastAsia"/>
                <w:sz w:val="21"/>
                <w:szCs w:val="21"/>
                <w:lang w:val="en-US" w:eastAsia="zh-CN"/>
              </w:rPr>
            </w:pPr>
            <w:r>
              <w:rPr>
                <w:rFonts w:hint="eastAsia"/>
                <w:sz w:val="21"/>
                <w:szCs w:val="21"/>
                <w:lang w:val="en-US" w:eastAsia="zh-CN"/>
              </w:rPr>
              <w:t xml:space="preserve">                    份数</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eastAsia="宋体"/>
                <w:sz w:val="21"/>
                <w:szCs w:val="21"/>
                <w:lang w:val="en-US" w:eastAsia="zh-CN"/>
              </w:rPr>
            </w:pPr>
            <w:r>
              <w:rPr>
                <w:rFonts w:hint="eastAsia"/>
                <w:sz w:val="21"/>
                <w:szCs w:val="21"/>
                <w:lang w:val="en-US" w:eastAsia="zh-CN"/>
              </w:rPr>
              <w:t>指标</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非常满意</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满意</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一般</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1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eastAsia="宋体"/>
                <w:sz w:val="21"/>
                <w:szCs w:val="21"/>
                <w:lang w:val="en-US" w:eastAsia="zh-CN"/>
              </w:rPr>
            </w:pPr>
            <w:r>
              <w:rPr>
                <w:rFonts w:hint="eastAsia" w:ascii="宋体" w:hAnsi="宋体" w:eastAsia="宋体" w:cs="宋体"/>
                <w:sz w:val="21"/>
                <w:szCs w:val="21"/>
              </w:rPr>
              <w:t>对奖励、扶持或补助资金申报过程的评价</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49</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1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对奖励、扶持或补助资金在组织实施信息公开和政策宣传等方面的评价</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47</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8</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2</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1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对项目立项或奖励扶持资金评审、验收等工作组织开展情况的评价</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45</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10</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2</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1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对奖励、扶持或补助资金到位及时性的评价</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45</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11</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1</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1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对奖励、扶持或补助资金合理性（包括扶持方式、奖补标准等）的评价</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43</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13</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1</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1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对奖励、扶持或补助资金对本单位技术创新、研发能力提升等方面贡献的评价</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44</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13</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1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对奖励、扶持或补助资金对本单位整体发展贡献的评价</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45</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12</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1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合计</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fldChar w:fldCharType="begin"/>
            </w:r>
            <w:r>
              <w:rPr>
                <w:rFonts w:hint="eastAsia" w:ascii="宋体" w:hAnsi="宋体" w:eastAsia="宋体"/>
                <w:sz w:val="21"/>
                <w:szCs w:val="21"/>
                <w:lang w:val="en-US" w:eastAsia="zh-CN"/>
              </w:rPr>
              <w:instrText xml:space="preserve"> = sum(B2:B8) \* MERGEFORMAT </w:instrText>
            </w:r>
            <w:r>
              <w:rPr>
                <w:rFonts w:hint="eastAsia" w:ascii="宋体" w:hAnsi="宋体" w:eastAsia="宋体"/>
                <w:sz w:val="21"/>
                <w:szCs w:val="21"/>
                <w:lang w:val="en-US" w:eastAsia="zh-CN"/>
              </w:rPr>
              <w:fldChar w:fldCharType="separate"/>
            </w:r>
            <w:r>
              <w:rPr>
                <w:rFonts w:hint="eastAsia" w:ascii="宋体" w:hAnsi="宋体" w:eastAsia="宋体"/>
                <w:sz w:val="21"/>
                <w:szCs w:val="21"/>
                <w:lang w:val="en-US" w:eastAsia="zh-CN"/>
              </w:rPr>
              <w:t>318</w:t>
            </w:r>
            <w:r>
              <w:rPr>
                <w:rFonts w:hint="eastAsia" w:ascii="宋体" w:hAnsi="宋体" w:eastAsia="宋体"/>
                <w:sz w:val="21"/>
                <w:szCs w:val="21"/>
                <w:lang w:val="en-US" w:eastAsia="zh-CN"/>
              </w:rPr>
              <w:fldChar w:fldCharType="end"/>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fldChar w:fldCharType="begin"/>
            </w:r>
            <w:r>
              <w:rPr>
                <w:rFonts w:hint="eastAsia" w:ascii="宋体" w:hAnsi="宋体" w:eastAsia="宋体"/>
                <w:sz w:val="21"/>
                <w:szCs w:val="21"/>
                <w:lang w:val="en-US" w:eastAsia="zh-CN"/>
              </w:rPr>
              <w:instrText xml:space="preserve"> = sum(C2:C8) \* MERGEFORMAT </w:instrText>
            </w:r>
            <w:r>
              <w:rPr>
                <w:rFonts w:hint="eastAsia" w:ascii="宋体" w:hAnsi="宋体" w:eastAsia="宋体"/>
                <w:sz w:val="21"/>
                <w:szCs w:val="21"/>
                <w:lang w:val="en-US" w:eastAsia="zh-CN"/>
              </w:rPr>
              <w:fldChar w:fldCharType="separate"/>
            </w:r>
            <w:r>
              <w:rPr>
                <w:rFonts w:hint="eastAsia" w:ascii="宋体" w:hAnsi="宋体" w:eastAsia="宋体"/>
                <w:sz w:val="21"/>
                <w:szCs w:val="21"/>
                <w:lang w:val="en-US" w:eastAsia="zh-CN"/>
              </w:rPr>
              <w:t>74</w:t>
            </w:r>
            <w:r>
              <w:rPr>
                <w:rFonts w:hint="eastAsia" w:ascii="宋体" w:hAnsi="宋体" w:eastAsia="宋体"/>
                <w:sz w:val="21"/>
                <w:szCs w:val="21"/>
                <w:lang w:val="en-US" w:eastAsia="zh-CN"/>
              </w:rPr>
              <w:fldChar w:fldCharType="end"/>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fldChar w:fldCharType="begin"/>
            </w:r>
            <w:r>
              <w:rPr>
                <w:rFonts w:hint="eastAsia" w:ascii="宋体" w:hAnsi="宋体" w:eastAsia="宋体"/>
                <w:sz w:val="21"/>
                <w:szCs w:val="21"/>
                <w:lang w:val="en-US" w:eastAsia="zh-CN"/>
              </w:rPr>
              <w:instrText xml:space="preserve"> = sum(D2:D8) \* MERGEFORMAT </w:instrText>
            </w:r>
            <w:r>
              <w:rPr>
                <w:rFonts w:hint="eastAsia" w:ascii="宋体" w:hAnsi="宋体" w:eastAsia="宋体"/>
                <w:sz w:val="21"/>
                <w:szCs w:val="21"/>
                <w:lang w:val="en-US" w:eastAsia="zh-CN"/>
              </w:rPr>
              <w:fldChar w:fldCharType="separate"/>
            </w:r>
            <w:r>
              <w:rPr>
                <w:rFonts w:hint="eastAsia" w:ascii="宋体" w:hAnsi="宋体" w:eastAsia="宋体"/>
                <w:sz w:val="21"/>
                <w:szCs w:val="21"/>
                <w:lang w:val="en-US" w:eastAsia="zh-CN"/>
              </w:rPr>
              <w:t>7</w:t>
            </w:r>
            <w:r>
              <w:rPr>
                <w:rFonts w:hint="eastAsia" w:ascii="宋体" w:hAnsi="宋体" w:eastAsia="宋体"/>
                <w:sz w:val="21"/>
                <w:szCs w:val="21"/>
                <w:lang w:val="en-US" w:eastAsia="zh-CN"/>
              </w:rPr>
              <w:fldChar w:fldCharType="end"/>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1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占比</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79.7%</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18.5%</w:t>
            </w:r>
          </w:p>
        </w:tc>
        <w:tc>
          <w:tcPr>
            <w:tcW w:w="113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宋体" w:hAnsi="宋体" w:eastAsia="宋体"/>
                <w:sz w:val="21"/>
                <w:szCs w:val="21"/>
                <w:lang w:val="en-US" w:eastAsia="zh-CN"/>
              </w:rPr>
            </w:pPr>
            <w:r>
              <w:rPr>
                <w:rFonts w:hint="eastAsia" w:ascii="宋体" w:hAnsi="宋体" w:eastAsia="宋体"/>
                <w:sz w:val="21"/>
                <w:szCs w:val="21"/>
                <w:lang w:val="en-US" w:eastAsia="zh-CN"/>
              </w:rPr>
              <w:t>1.8%</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sz w:val="21"/>
                <w:szCs w:val="21"/>
                <w:lang w:val="en-US" w:eastAsia="zh-CN"/>
              </w:rPr>
            </w:pPr>
            <w:r>
              <w:rPr>
                <w:rFonts w:hint="eastAsia" w:ascii="宋体" w:hAnsi="宋体" w:eastAsia="宋体"/>
                <w:sz w:val="21"/>
                <w:szCs w:val="21"/>
                <w:lang w:val="en-US" w:eastAsia="zh-CN"/>
              </w:rPr>
              <w:t>0</w:t>
            </w:r>
          </w:p>
        </w:tc>
      </w:tr>
    </w:tbl>
    <w:p>
      <w:pPr>
        <w:pStyle w:val="2"/>
        <w:spacing w:beforeLines="100" w:afterLines="100" w:line="240" w:lineRule="auto"/>
        <w:jc w:val="center"/>
        <w:rPr>
          <w:rFonts w:hint="default" w:ascii="方正小标宋_GBK" w:hAnsi="仿宋" w:eastAsia="方正小标宋_GBK" w:cs="黑体"/>
          <w:sz w:val="30"/>
          <w:szCs w:val="30"/>
          <w:lang w:val="en-US" w:eastAsia="zh-CN"/>
        </w:rPr>
      </w:pPr>
      <w:bookmarkStart w:id="57" w:name="_Toc14459"/>
      <w:bookmarkStart w:id="58" w:name="_Toc29341"/>
      <w:bookmarkStart w:id="59" w:name="_Toc29058"/>
      <w:bookmarkStart w:id="60" w:name="_Toc4421"/>
      <w:bookmarkStart w:id="61" w:name="_Toc13373"/>
      <w:bookmarkStart w:id="62" w:name="_Toc6373"/>
      <w:bookmarkStart w:id="63" w:name="_Toc15807"/>
      <w:r>
        <w:rPr>
          <w:rFonts w:hint="eastAsia" w:ascii="方正小标宋_GBK" w:hAnsi="仿宋" w:eastAsia="方正小标宋_GBK" w:cs="黑体"/>
          <w:sz w:val="30"/>
          <w:szCs w:val="30"/>
          <w:lang w:val="en-US" w:eastAsia="zh-CN"/>
        </w:rPr>
        <w:t>五</w:t>
      </w:r>
      <w:r>
        <w:rPr>
          <w:rFonts w:hint="eastAsia" w:ascii="方正小标宋_GBK" w:hAnsi="仿宋" w:eastAsia="方正小标宋_GBK" w:cs="黑体"/>
          <w:sz w:val="30"/>
          <w:szCs w:val="30"/>
        </w:rPr>
        <w:t>、</w:t>
      </w:r>
      <w:r>
        <w:rPr>
          <w:rFonts w:hint="eastAsia" w:ascii="方正小标宋_GBK" w:hAnsi="仿宋" w:eastAsia="方正小标宋_GBK" w:cs="黑体"/>
          <w:sz w:val="30"/>
          <w:szCs w:val="30"/>
          <w:lang w:val="en-US" w:eastAsia="zh-CN"/>
        </w:rPr>
        <w:t>主要经验及做法、存在</w:t>
      </w:r>
      <w:r>
        <w:rPr>
          <w:rFonts w:hint="eastAsia" w:ascii="方正小标宋_GBK" w:hAnsi="仿宋" w:eastAsia="方正小标宋_GBK" w:cs="黑体"/>
          <w:sz w:val="30"/>
          <w:szCs w:val="30"/>
        </w:rPr>
        <w:t>的问题</w:t>
      </w:r>
      <w:r>
        <w:rPr>
          <w:rFonts w:hint="eastAsia" w:ascii="方正小标宋_GBK" w:hAnsi="仿宋" w:eastAsia="方正小标宋_GBK" w:cs="黑体"/>
          <w:sz w:val="30"/>
          <w:szCs w:val="30"/>
          <w:lang w:val="en-US" w:eastAsia="zh-CN"/>
        </w:rPr>
        <w:t>及原因分析</w:t>
      </w:r>
      <w:bookmarkEnd w:id="57"/>
    </w:p>
    <w:bookmarkEnd w:id="58"/>
    <w:bookmarkEnd w:id="59"/>
    <w:bookmarkEnd w:id="60"/>
    <w:bookmarkEnd w:id="61"/>
    <w:bookmarkEnd w:id="62"/>
    <w:bookmarkEnd w:id="63"/>
    <w:p>
      <w:pPr>
        <w:pStyle w:val="3"/>
        <w:keepNext/>
        <w:keepLines/>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ascii="方正小标宋_GBK" w:hAnsi="仿宋" w:eastAsia="方正小标宋_GBK" w:cs="黑体"/>
          <w:sz w:val="28"/>
          <w:szCs w:val="28"/>
        </w:rPr>
      </w:pPr>
      <w:bookmarkStart w:id="64" w:name="_Toc29548"/>
      <w:r>
        <w:rPr>
          <w:rFonts w:hint="eastAsia" w:ascii="方正小标宋_GBK" w:hAnsi="仿宋" w:eastAsia="方正小标宋_GBK" w:cs="黑体"/>
          <w:sz w:val="28"/>
          <w:szCs w:val="28"/>
        </w:rPr>
        <w:t>（一）</w:t>
      </w:r>
      <w:r>
        <w:rPr>
          <w:rFonts w:hint="eastAsia" w:ascii="方正小标宋_GBK" w:hAnsi="仿宋" w:eastAsia="方正小标宋_GBK" w:cs="黑体"/>
          <w:sz w:val="28"/>
          <w:szCs w:val="28"/>
          <w:lang w:val="en-US" w:eastAsia="zh-CN"/>
        </w:rPr>
        <w:t>主要经验和做法</w:t>
      </w:r>
      <w:bookmarkEnd w:id="64"/>
    </w:p>
    <w:p>
      <w:pPr>
        <w:spacing w:line="360" w:lineRule="auto"/>
        <w:ind w:firstLine="480" w:firstLineChars="200"/>
        <w:jc w:val="both"/>
        <w:rPr>
          <w:rFonts w:hint="eastAsia" w:ascii="宋体" w:hAnsi="宋体" w:eastAsia="宋体" w:cs="宋体"/>
          <w:sz w:val="24"/>
          <w:szCs w:val="24"/>
        </w:rPr>
      </w:pP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度扶持企业科技基金及扶持企业发展专项基金纳入丰泽区财政局</w:t>
      </w:r>
      <w:r>
        <w:rPr>
          <w:rFonts w:hint="eastAsia" w:ascii="宋体" w:hAnsi="宋体" w:eastAsia="宋体" w:cs="宋体"/>
          <w:sz w:val="24"/>
          <w:szCs w:val="24"/>
        </w:rPr>
        <w:t>年初预算安排，主要用于</w:t>
      </w:r>
      <w:r>
        <w:rPr>
          <w:rFonts w:hint="eastAsia" w:ascii="宋体" w:hAnsi="宋体" w:cs="宋体"/>
          <w:sz w:val="24"/>
          <w:szCs w:val="24"/>
          <w:lang w:val="en-US" w:eastAsia="zh-CN"/>
        </w:rPr>
        <w:t>扶持区级科技计划项目</w:t>
      </w:r>
      <w:r>
        <w:rPr>
          <w:rFonts w:hint="eastAsia" w:ascii="宋体" w:hAnsi="宋体" w:eastAsia="宋体" w:cs="宋体"/>
          <w:sz w:val="24"/>
          <w:szCs w:val="24"/>
        </w:rPr>
        <w:t>、区级惠企奖励资金、省级高新技术企业入库出库奖补区级配套资金、科技优惠政策奖励金、人才港湾计划促进人才发展政策资金、城市安全信息系统项目、</w:t>
      </w:r>
      <w:r>
        <w:rPr>
          <w:rFonts w:hint="eastAsia" w:ascii="宋体" w:hAnsi="宋体" w:cs="宋体"/>
          <w:color w:val="000000"/>
          <w:sz w:val="24"/>
          <w:szCs w:val="24"/>
          <w:lang w:val="en-US" w:eastAsia="zh-CN"/>
        </w:rPr>
        <w:t>电子物证勘验中心经费、</w:t>
      </w:r>
      <w:r>
        <w:rPr>
          <w:rFonts w:hint="eastAsia" w:ascii="宋体" w:hAnsi="宋体" w:eastAsia="宋体" w:cs="宋体"/>
          <w:sz w:val="24"/>
          <w:szCs w:val="24"/>
        </w:rPr>
        <w:t>华侨大学（丰泽）创新创业园</w:t>
      </w:r>
      <w:r>
        <w:rPr>
          <w:rFonts w:hint="eastAsia" w:ascii="宋体" w:hAnsi="宋体" w:cs="宋体"/>
          <w:sz w:val="24"/>
          <w:szCs w:val="24"/>
          <w:lang w:val="en-US" w:eastAsia="zh-CN"/>
        </w:rPr>
        <w:t>建设与运营</w:t>
      </w:r>
      <w:r>
        <w:rPr>
          <w:rFonts w:hint="eastAsia" w:ascii="宋体" w:hAnsi="宋体" w:eastAsia="宋体" w:cs="宋体"/>
          <w:sz w:val="24"/>
          <w:szCs w:val="24"/>
        </w:rPr>
        <w:t>、北峰数控园区建设专项资金、</w:t>
      </w:r>
      <w:r>
        <w:rPr>
          <w:rFonts w:hint="eastAsia" w:ascii="宋体" w:hAnsi="宋体" w:cs="宋体"/>
          <w:sz w:val="24"/>
          <w:szCs w:val="24"/>
          <w:lang w:val="en-US" w:eastAsia="zh-CN"/>
        </w:rPr>
        <w:t>泉州南京大学环保产业研究院建设经费、泉州网商（虚拟）产业园扶持政策区级奖励资金、</w:t>
      </w:r>
      <w:r>
        <w:rPr>
          <w:rFonts w:hint="eastAsia" w:ascii="宋体" w:hAnsi="宋体" w:eastAsia="宋体" w:cs="宋体"/>
          <w:sz w:val="24"/>
          <w:szCs w:val="24"/>
        </w:rPr>
        <w:t>数字经济发展专项区级配套资金、加快机械装备产业和两化融合发展专项区级配套资金等项目</w:t>
      </w:r>
      <w:r>
        <w:rPr>
          <w:rFonts w:hint="eastAsia" w:ascii="宋体" w:hAnsi="宋体" w:cs="宋体"/>
          <w:sz w:val="24"/>
          <w:szCs w:val="24"/>
          <w:lang w:eastAsia="zh-CN"/>
        </w:rPr>
        <w:t>，</w:t>
      </w:r>
      <w:r>
        <w:rPr>
          <w:rFonts w:hint="eastAsia" w:ascii="宋体" w:hAnsi="宋体" w:cs="宋体"/>
          <w:sz w:val="24"/>
          <w:szCs w:val="24"/>
          <w:lang w:val="en-US" w:eastAsia="zh-CN"/>
        </w:rPr>
        <w:t>提升了丰泽区科技创新能力，助推了企业发展和产业转型升级</w:t>
      </w:r>
      <w:r>
        <w:rPr>
          <w:rFonts w:hint="eastAsia" w:ascii="宋体" w:hAnsi="宋体" w:eastAsia="宋体" w:cs="宋体"/>
          <w:sz w:val="24"/>
          <w:szCs w:val="24"/>
        </w:rPr>
        <w:t>。</w:t>
      </w:r>
      <w:r>
        <w:rPr>
          <w:rFonts w:hint="eastAsia" w:ascii="宋体" w:hAnsi="宋体" w:cs="宋体"/>
          <w:sz w:val="24"/>
          <w:szCs w:val="24"/>
          <w:lang w:val="en-US" w:eastAsia="zh-CN"/>
        </w:rPr>
        <w:t>丰泽区</w:t>
      </w:r>
      <w:r>
        <w:rPr>
          <w:rFonts w:hint="eastAsia" w:ascii="宋体" w:hAnsi="宋体" w:eastAsia="宋体" w:cs="宋体"/>
          <w:sz w:val="24"/>
          <w:szCs w:val="24"/>
        </w:rPr>
        <w:t>财政局</w:t>
      </w:r>
      <w:r>
        <w:rPr>
          <w:rFonts w:hint="eastAsia" w:ascii="宋体" w:hAnsi="宋体" w:cs="宋体"/>
          <w:sz w:val="24"/>
          <w:szCs w:val="24"/>
          <w:lang w:val="en-US" w:eastAsia="zh-CN"/>
        </w:rPr>
        <w:t>主要经验和做法</w:t>
      </w:r>
      <w:r>
        <w:rPr>
          <w:rFonts w:hint="eastAsia" w:ascii="宋体" w:hAnsi="宋体" w:eastAsia="宋体" w:cs="宋体"/>
          <w:sz w:val="24"/>
          <w:szCs w:val="24"/>
        </w:rPr>
        <w:t>如下：</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一是配合</w:t>
      </w:r>
      <w:r>
        <w:rPr>
          <w:rFonts w:hint="eastAsia" w:ascii="宋体" w:hAnsi="宋体" w:cs="宋体"/>
          <w:sz w:val="24"/>
          <w:szCs w:val="24"/>
          <w:lang w:val="en-US" w:eastAsia="zh-CN"/>
        </w:rPr>
        <w:t>丰泽区工业信息化和科技局</w:t>
      </w:r>
      <w:r>
        <w:rPr>
          <w:rFonts w:hint="eastAsia" w:ascii="宋体" w:hAnsi="宋体" w:eastAsia="宋体" w:cs="宋体"/>
          <w:sz w:val="24"/>
          <w:szCs w:val="24"/>
        </w:rPr>
        <w:t>等主管部门将收集的符合本区实际的中央、省、市出台相关政策认真梳理，组织各街道办事处以巡回宣讲、现场咨询、个别辅导、重点解读相结合的方式，向企业广泛开展政策宣讲解读。督促各主管部门及时将扶持企业政策在政务网、《看丰泽》等媒体上发布，详细告知政策的具体内容、扶持对象、申请方法等，提高政策公开透明程度。同时，协助主管部门指导企业有针对性地编报项目，提升企业向上争取意识，提高资金申报效率。</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二是联合各主管部门重点积极争取上级部门和领导对本区的关注与支持，给予政策倾斜，争取省、市产业投资基金等方面的支持。对每一个争取到的项目扎实推进，为下次争取项目资金做好铺垫，打好基础。</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三是强化责任，全程监督。切实履行好相关扶持项目资金监督职责，做好项目资金绩效管理，对项目资金拨付及运行进行全程监控，让每一笔扶持项目资金都用在实处。</w:t>
      </w:r>
    </w:p>
    <w:p>
      <w:pPr>
        <w:pStyle w:val="3"/>
        <w:spacing w:before="0" w:after="0" w:line="360" w:lineRule="auto"/>
        <w:ind w:firstLine="560" w:firstLineChars="200"/>
        <w:rPr>
          <w:rFonts w:hint="default" w:ascii="方正小标宋_GBK" w:hAnsi="仿宋" w:eastAsia="方正小标宋_GBK" w:cs="黑体"/>
          <w:sz w:val="28"/>
          <w:szCs w:val="28"/>
          <w:lang w:val="en-US" w:eastAsia="zh-CN"/>
        </w:rPr>
      </w:pPr>
      <w:bookmarkStart w:id="65" w:name="_Toc15985"/>
      <w:bookmarkStart w:id="66" w:name="_Toc4029"/>
      <w:bookmarkStart w:id="67" w:name="_Toc32262"/>
      <w:bookmarkStart w:id="68" w:name="_Toc8504"/>
      <w:bookmarkStart w:id="69" w:name="_Toc12492"/>
      <w:bookmarkStart w:id="70" w:name="_Toc2390"/>
      <w:bookmarkStart w:id="71" w:name="_Toc500226195"/>
      <w:bookmarkStart w:id="72" w:name="_Hlk495161375"/>
      <w:bookmarkStart w:id="73" w:name="_Toc20239"/>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二</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存在的问题及原因分析</w:t>
      </w:r>
      <w:bookmarkEnd w:id="65"/>
    </w:p>
    <w:bookmarkEnd w:id="66"/>
    <w:bookmarkEnd w:id="67"/>
    <w:bookmarkEnd w:id="68"/>
    <w:bookmarkEnd w:id="69"/>
    <w:bookmarkEnd w:id="70"/>
    <w:bookmarkEnd w:id="71"/>
    <w:bookmarkEnd w:id="72"/>
    <w:bookmarkEnd w:id="73"/>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尽管</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度扶持企业科技基金及扶持企业发展专项基金基本</w:t>
      </w:r>
      <w:r>
        <w:rPr>
          <w:rFonts w:hint="eastAsia" w:ascii="宋体" w:hAnsi="宋体" w:eastAsia="宋体" w:cs="宋体"/>
          <w:sz w:val="24"/>
          <w:szCs w:val="24"/>
        </w:rPr>
        <w:t>达到预期目</w:t>
      </w:r>
      <w:r>
        <w:rPr>
          <w:rFonts w:hint="eastAsia" w:ascii="宋体" w:hAnsi="宋体" w:cs="宋体"/>
          <w:sz w:val="24"/>
          <w:szCs w:val="24"/>
          <w:lang w:val="en-US" w:eastAsia="zh-CN"/>
        </w:rPr>
        <w:t>的</w:t>
      </w:r>
      <w:r>
        <w:rPr>
          <w:rFonts w:hint="eastAsia" w:ascii="宋体" w:hAnsi="宋体" w:cs="宋体"/>
          <w:sz w:val="24"/>
          <w:szCs w:val="24"/>
          <w:lang w:eastAsia="zh-CN"/>
        </w:rPr>
        <w:t>，</w:t>
      </w:r>
      <w:r>
        <w:rPr>
          <w:rFonts w:hint="eastAsia" w:ascii="宋体" w:hAnsi="宋体" w:eastAsia="宋体" w:cs="宋体"/>
          <w:sz w:val="24"/>
          <w:szCs w:val="24"/>
        </w:rPr>
        <w:t>但是，绩效评价工作组在绩效分析的过程中也发展</w:t>
      </w:r>
      <w:r>
        <w:rPr>
          <w:rFonts w:hint="eastAsia" w:ascii="宋体" w:hAnsi="宋体" w:cs="宋体"/>
          <w:sz w:val="24"/>
          <w:szCs w:val="24"/>
          <w:lang w:val="en-US" w:eastAsia="zh-CN"/>
        </w:rPr>
        <w:t>该专项资金在预算管理和使用中</w:t>
      </w:r>
      <w:r>
        <w:rPr>
          <w:rFonts w:hint="eastAsia" w:ascii="宋体" w:hAnsi="宋体" w:eastAsia="宋体" w:cs="宋体"/>
          <w:sz w:val="24"/>
          <w:szCs w:val="24"/>
        </w:rPr>
        <w:t>仍存在一些问题。</w:t>
      </w:r>
    </w:p>
    <w:p>
      <w:pPr>
        <w:spacing w:line="360" w:lineRule="auto"/>
        <w:ind w:firstLine="482" w:firstLineChars="200"/>
        <w:jc w:val="both"/>
        <w:rPr>
          <w:rFonts w:hint="eastAsia" w:ascii="宋体" w:hAnsi="宋体" w:eastAsia="宋体" w:cs="宋体"/>
          <w:b/>
          <w:bCs/>
          <w:sz w:val="24"/>
          <w:szCs w:val="24"/>
        </w:rPr>
      </w:pPr>
      <w:r>
        <w:rPr>
          <w:rFonts w:hint="eastAsia" w:ascii="宋体" w:hAnsi="宋体" w:cs="宋体"/>
          <w:b/>
          <w:bCs/>
          <w:sz w:val="24"/>
          <w:szCs w:val="24"/>
          <w:lang w:val="en-US" w:eastAsia="zh-CN"/>
        </w:rPr>
        <w:t>1.专项资金未制定</w:t>
      </w:r>
      <w:r>
        <w:rPr>
          <w:rFonts w:hint="eastAsia" w:ascii="宋体" w:hAnsi="宋体" w:eastAsia="宋体" w:cs="宋体"/>
          <w:b/>
          <w:bCs/>
          <w:sz w:val="24"/>
          <w:szCs w:val="24"/>
        </w:rPr>
        <w:t>绩效目标</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在绩效评价过程中，</w:t>
      </w:r>
      <w:r>
        <w:rPr>
          <w:rFonts w:hint="eastAsia" w:ascii="宋体" w:hAnsi="宋体" w:cs="宋体"/>
          <w:sz w:val="24"/>
          <w:szCs w:val="24"/>
          <w:lang w:val="en-US" w:eastAsia="zh-CN"/>
        </w:rPr>
        <w:t>绩效评价工作组</w:t>
      </w:r>
      <w:r>
        <w:rPr>
          <w:rFonts w:hint="eastAsia" w:ascii="宋体" w:hAnsi="宋体" w:eastAsia="宋体" w:cs="宋体"/>
          <w:sz w:val="24"/>
          <w:szCs w:val="24"/>
        </w:rPr>
        <w:t>发现</w:t>
      </w:r>
      <w:r>
        <w:rPr>
          <w:rFonts w:hint="eastAsia" w:ascii="宋体" w:hAnsi="宋体" w:cs="宋体"/>
          <w:color w:val="000000"/>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没有单独的预算批复文件，只是在丰泽区本级财政预算报告，属于丰泽区财政局预留专项资金。该专项资金年初没有制定绩效目标，也没有明确规定资金的具体用途，只是根据财力和上下年惠企政策兑现情况安排资金支出。由于没有制定绩效目标，该专项资金也就没有设置绩效指标，更没有通过清晰、可衡量的指标值予以体现。</w:t>
      </w:r>
      <w:r>
        <w:rPr>
          <w:rFonts w:hint="eastAsia" w:ascii="宋体" w:hAnsi="宋体" w:eastAsia="宋体" w:cs="宋体"/>
          <w:sz w:val="24"/>
          <w:szCs w:val="24"/>
        </w:rPr>
        <w:t>绩效目标</w:t>
      </w:r>
      <w:r>
        <w:rPr>
          <w:rFonts w:hint="eastAsia" w:ascii="宋体" w:hAnsi="宋体" w:cs="宋体"/>
          <w:sz w:val="24"/>
          <w:szCs w:val="24"/>
          <w:lang w:val="en-US" w:eastAsia="zh-CN"/>
        </w:rPr>
        <w:t>和绩效指标的缺乏，</w:t>
      </w:r>
      <w:r>
        <w:rPr>
          <w:rFonts w:hint="eastAsia" w:ascii="宋体" w:hAnsi="宋体" w:eastAsia="宋体" w:cs="宋体"/>
          <w:sz w:val="24"/>
          <w:szCs w:val="24"/>
        </w:rPr>
        <w:t>导致无法判断</w:t>
      </w:r>
      <w:r>
        <w:rPr>
          <w:rFonts w:hint="eastAsia" w:ascii="宋体" w:hAnsi="宋体" w:cs="宋体"/>
          <w:sz w:val="24"/>
          <w:szCs w:val="24"/>
          <w:lang w:val="en-US" w:eastAsia="zh-CN"/>
        </w:rPr>
        <w:t>专项</w:t>
      </w:r>
      <w:r>
        <w:rPr>
          <w:rFonts w:hint="eastAsia" w:ascii="宋体" w:hAnsi="宋体" w:eastAsia="宋体" w:cs="宋体"/>
          <w:sz w:val="24"/>
          <w:szCs w:val="24"/>
        </w:rPr>
        <w:t>资金是否实现了设立目的</w:t>
      </w:r>
      <w:r>
        <w:rPr>
          <w:rFonts w:hint="eastAsia" w:ascii="宋体" w:hAnsi="宋体" w:cs="宋体"/>
          <w:sz w:val="24"/>
          <w:szCs w:val="24"/>
          <w:lang w:eastAsia="zh-CN"/>
        </w:rPr>
        <w:t>，</w:t>
      </w:r>
      <w:r>
        <w:rPr>
          <w:rFonts w:hint="eastAsia" w:ascii="宋体" w:hAnsi="宋体" w:cs="宋体"/>
          <w:sz w:val="24"/>
          <w:szCs w:val="24"/>
          <w:lang w:val="en-US" w:eastAsia="zh-CN"/>
        </w:rPr>
        <w:t>既不利于提高财政资源配置效率和资金使用效益，也</w:t>
      </w:r>
      <w:r>
        <w:rPr>
          <w:rFonts w:hint="eastAsia" w:ascii="宋体" w:hAnsi="宋体" w:eastAsia="宋体" w:cs="宋体"/>
          <w:sz w:val="24"/>
          <w:szCs w:val="24"/>
        </w:rPr>
        <w:t>影响</w:t>
      </w:r>
      <w:r>
        <w:rPr>
          <w:rFonts w:hint="eastAsia" w:ascii="宋体" w:hAnsi="宋体" w:cs="宋体"/>
          <w:sz w:val="24"/>
          <w:szCs w:val="24"/>
          <w:lang w:val="en-US" w:eastAsia="zh-CN"/>
        </w:rPr>
        <w:t>了</w:t>
      </w:r>
      <w:r>
        <w:rPr>
          <w:rFonts w:hint="eastAsia" w:ascii="宋体" w:hAnsi="宋体" w:eastAsia="宋体" w:cs="宋体"/>
          <w:sz w:val="24"/>
          <w:szCs w:val="24"/>
        </w:rPr>
        <w:t>对</w:t>
      </w:r>
      <w:r>
        <w:rPr>
          <w:rFonts w:hint="eastAsia" w:ascii="宋体" w:hAnsi="宋体" w:cs="宋体"/>
          <w:sz w:val="24"/>
          <w:szCs w:val="24"/>
          <w:lang w:val="en-US" w:eastAsia="zh-CN"/>
        </w:rPr>
        <w:t>专项资金</w:t>
      </w:r>
      <w:r>
        <w:rPr>
          <w:rFonts w:hint="eastAsia" w:ascii="宋体" w:hAnsi="宋体" w:eastAsia="宋体" w:cs="宋体"/>
          <w:sz w:val="24"/>
          <w:szCs w:val="24"/>
        </w:rPr>
        <w:t>的绩效评价。</w:t>
      </w:r>
    </w:p>
    <w:p>
      <w:pPr>
        <w:spacing w:line="360" w:lineRule="auto"/>
        <w:ind w:firstLine="482" w:firstLineChars="200"/>
        <w:jc w:val="both"/>
        <w:rPr>
          <w:rFonts w:hint="default" w:ascii="宋体" w:hAnsi="宋体" w:cs="宋体"/>
          <w:sz w:val="24"/>
          <w:szCs w:val="24"/>
          <w:lang w:val="en-US" w:eastAsia="zh-CN"/>
        </w:rPr>
      </w:pPr>
      <w:r>
        <w:rPr>
          <w:rFonts w:hint="eastAsia" w:ascii="宋体" w:hAnsi="宋体" w:cs="宋体"/>
          <w:b/>
          <w:bCs/>
          <w:sz w:val="24"/>
          <w:szCs w:val="24"/>
          <w:lang w:val="en-US" w:eastAsia="zh-CN"/>
        </w:rPr>
        <w:t>2.专项资金预算编制的科学性和预算调整的规范性需加强</w:t>
      </w:r>
    </w:p>
    <w:p>
      <w:pPr>
        <w:spacing w:line="360" w:lineRule="auto"/>
        <w:ind w:firstLine="480" w:firstLineChars="200"/>
        <w:jc w:val="both"/>
        <w:rPr>
          <w:rFonts w:hint="eastAsia" w:ascii="宋体" w:hAnsi="宋体" w:cs="宋体"/>
          <w:color w:val="000000"/>
          <w:sz w:val="24"/>
          <w:szCs w:val="24"/>
          <w:lang w:val="en-US" w:eastAsia="zh-CN"/>
        </w:rPr>
      </w:pPr>
      <w:r>
        <w:rPr>
          <w:rFonts w:hint="eastAsia" w:ascii="宋体" w:hAnsi="宋体" w:cs="宋体"/>
          <w:sz w:val="24"/>
          <w:lang w:val="en-US" w:eastAsia="zh-CN"/>
        </w:rPr>
        <w:t>泉州市</w:t>
      </w:r>
      <w:r>
        <w:rPr>
          <w:rFonts w:hint="eastAsia" w:ascii="宋体" w:hAnsi="宋体" w:cs="宋体"/>
          <w:sz w:val="24"/>
          <w:szCs w:val="24"/>
          <w:lang w:val="en-US" w:eastAsia="zh-CN"/>
        </w:rPr>
        <w:t>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度扶持企业科技基金及扶持企业发展专项基金预算编制没有细化到部门或项目，且在年初安排预算时，由于缺乏测算依据，主要凭以前年度规模，再考虑丰泽区政府财力进行安排，</w:t>
      </w:r>
      <w:r>
        <w:rPr>
          <w:rFonts w:hint="eastAsia" w:ascii="宋体" w:hAnsi="宋体" w:eastAsia="宋体" w:cs="宋体"/>
          <w:sz w:val="24"/>
          <w:szCs w:val="24"/>
          <w:lang w:val="en-US" w:eastAsia="zh-CN"/>
        </w:rPr>
        <w:t>预算额度测算</w:t>
      </w:r>
      <w:r>
        <w:rPr>
          <w:rFonts w:hint="eastAsia" w:ascii="宋体" w:hAnsi="宋体" w:cs="宋体"/>
          <w:sz w:val="24"/>
          <w:szCs w:val="24"/>
          <w:lang w:val="en-US" w:eastAsia="zh-CN"/>
        </w:rPr>
        <w:t>不太准确。2019</w:t>
      </w:r>
      <w:r>
        <w:rPr>
          <w:rFonts w:hint="eastAsia" w:ascii="宋体" w:hAnsi="宋体" w:cs="宋体"/>
          <w:color w:val="000000"/>
          <w:sz w:val="24"/>
          <w:szCs w:val="24"/>
          <w:lang w:val="en-US" w:eastAsia="zh-CN"/>
        </w:rPr>
        <w:t>年初丰泽区财政局预算安排</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科技三项费用）4000万元、</w:t>
      </w:r>
      <w:r>
        <w:rPr>
          <w:rFonts w:hint="eastAsia" w:ascii="宋体" w:hAnsi="宋体" w:eastAsia="宋体" w:cs="宋体"/>
          <w:color w:val="000000"/>
          <w:sz w:val="24"/>
          <w:szCs w:val="24"/>
        </w:rPr>
        <w:t>扶持企业发展专项基金</w:t>
      </w:r>
      <w:r>
        <w:rPr>
          <w:rFonts w:hint="eastAsia" w:ascii="宋体" w:hAnsi="宋体" w:cs="宋体"/>
          <w:color w:val="000000"/>
          <w:sz w:val="24"/>
          <w:szCs w:val="24"/>
          <w:lang w:val="en-US" w:eastAsia="zh-CN"/>
        </w:rPr>
        <w:t>2500万元，年中，</w:t>
      </w:r>
      <w:r>
        <w:rPr>
          <w:rFonts w:hint="eastAsia" w:ascii="宋体" w:hAnsi="宋体" w:eastAsia="宋体" w:cs="宋体"/>
          <w:color w:val="000000"/>
          <w:sz w:val="24"/>
          <w:szCs w:val="24"/>
        </w:rPr>
        <w:t>扶持企业科技基金</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科技三项费用）调减为2950万元，余下的1050万元调整至扶持企业发展专项基金，最后</w:t>
      </w:r>
      <w:r>
        <w:rPr>
          <w:rFonts w:hint="eastAsia" w:ascii="宋体" w:hAnsi="宋体" w:eastAsia="宋体" w:cs="宋体"/>
          <w:color w:val="000000"/>
          <w:sz w:val="24"/>
          <w:szCs w:val="24"/>
        </w:rPr>
        <w:t>扶持企业发展专项基金</w:t>
      </w:r>
      <w:r>
        <w:rPr>
          <w:rFonts w:hint="eastAsia" w:ascii="宋体" w:hAnsi="宋体" w:cs="宋体"/>
          <w:color w:val="000000"/>
          <w:sz w:val="24"/>
          <w:szCs w:val="24"/>
          <w:lang w:val="en-US" w:eastAsia="zh-CN"/>
        </w:rPr>
        <w:t>年度预算金额为3550万元。2019年度，该专项资金实际支出6310.895万元，预算执行率为97.1%。此外，这笔预算调整没有履行相应审批手续，预算调整的规范性和严肃性有待增强。</w:t>
      </w:r>
    </w:p>
    <w:p>
      <w:pPr>
        <w:spacing w:line="360" w:lineRule="auto"/>
        <w:ind w:firstLine="482" w:firstLineChars="200"/>
        <w:jc w:val="both"/>
        <w:rPr>
          <w:rFonts w:hint="default" w:ascii="宋体" w:hAnsi="宋体" w:cs="宋体"/>
          <w:color w:val="000000"/>
          <w:sz w:val="24"/>
          <w:szCs w:val="24"/>
          <w:lang w:val="en-US" w:eastAsia="zh-CN"/>
        </w:rPr>
      </w:pPr>
      <w:r>
        <w:rPr>
          <w:rFonts w:hint="eastAsia" w:ascii="宋体" w:hAnsi="宋体" w:cs="宋体"/>
          <w:b/>
          <w:bCs/>
          <w:color w:val="000000"/>
          <w:sz w:val="24"/>
          <w:szCs w:val="24"/>
          <w:lang w:val="en-US" w:eastAsia="zh-CN"/>
        </w:rPr>
        <w:t>3.未制定专门的专项资金管理制度</w:t>
      </w:r>
    </w:p>
    <w:p>
      <w:pPr>
        <w:spacing w:line="360" w:lineRule="auto"/>
        <w:ind w:firstLine="480" w:firstLineChars="200"/>
        <w:jc w:val="both"/>
        <w:rPr>
          <w:rFonts w:hint="eastAsia" w:ascii="宋体" w:hAnsi="宋体" w:cs="宋体"/>
          <w:sz w:val="24"/>
          <w:szCs w:val="24"/>
          <w:lang w:val="en-US" w:eastAsia="zh-CN"/>
        </w:rPr>
      </w:pPr>
      <w:r>
        <w:rPr>
          <w:rFonts w:hint="eastAsia" w:ascii="宋体" w:hAnsi="宋体" w:cs="宋体"/>
          <w:sz w:val="24"/>
          <w:lang w:val="en-US" w:eastAsia="zh-CN"/>
        </w:rPr>
        <w:t>泉州市</w:t>
      </w:r>
      <w:r>
        <w:rPr>
          <w:rFonts w:hint="eastAsia" w:ascii="宋体" w:hAnsi="宋体" w:cs="宋体"/>
          <w:color w:val="000000"/>
          <w:sz w:val="24"/>
          <w:szCs w:val="24"/>
          <w:lang w:val="en-US" w:eastAsia="zh-CN"/>
        </w:rPr>
        <w:t>丰泽区2019年度</w:t>
      </w:r>
      <w:r>
        <w:rPr>
          <w:rFonts w:hint="eastAsia" w:ascii="宋体" w:hAnsi="宋体" w:cs="宋体"/>
          <w:sz w:val="24"/>
          <w:szCs w:val="24"/>
          <w:lang w:val="en-US" w:eastAsia="zh-CN"/>
        </w:rPr>
        <w:t>扶持企业科技基金及扶持企业发展专项基金没有制定专门的专项资金管理制度（包括财务和业务管理制度），只是根据区政府有关会议纪要精神或各种惠企奖励扶持办法，报区政府批准后再安排资金支出。因此，该专项资金扶持的项目比较零散，项目主管部门较多，包括丰泽区工业信息化和科技局、泉州市公安局丰泽分局、丰泽区发展和改革局、街道办事处等。专项资金管理制度的缺乏，导致资金使用随意性较大，个别扶持项目（如丰泽区城市安全信息系统项目2019年度监控点光纤链路租金）不符合专项资金设立的目的；预算部门和项目主管部门的不统一，也不利于对财政资金的使用绩效进行考核监督，影响财政资金的使用效益。</w:t>
      </w:r>
    </w:p>
    <w:p>
      <w:pPr>
        <w:spacing w:line="360" w:lineRule="auto"/>
        <w:ind w:firstLine="482" w:firstLineChars="200"/>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4.专项资金扶持效果有待提升</w:t>
      </w:r>
    </w:p>
    <w:p>
      <w:pPr>
        <w:spacing w:line="360" w:lineRule="auto"/>
        <w:ind w:firstLine="480" w:firstLineChars="200"/>
        <w:jc w:val="both"/>
        <w:rPr>
          <w:rFonts w:hint="eastAsia" w:ascii="宋体" w:hAnsi="宋体" w:cs="宋体"/>
          <w:sz w:val="24"/>
          <w:szCs w:val="24"/>
          <w:lang w:val="en-US" w:eastAsia="zh-CN"/>
        </w:rPr>
      </w:pPr>
      <w:r>
        <w:rPr>
          <w:rFonts w:hint="eastAsia" w:ascii="宋体" w:hAnsi="宋体" w:cs="宋体"/>
          <w:sz w:val="24"/>
          <w:lang w:val="en-US" w:eastAsia="zh-CN"/>
        </w:rPr>
        <w:t>泉州市</w:t>
      </w:r>
      <w:r>
        <w:rPr>
          <w:rFonts w:hint="eastAsia" w:ascii="宋体" w:hAnsi="宋体" w:cs="宋体"/>
          <w:color w:val="000000"/>
          <w:sz w:val="24"/>
          <w:szCs w:val="24"/>
          <w:lang w:val="en-US" w:eastAsia="zh-CN"/>
        </w:rPr>
        <w:t>丰泽区2019年度</w:t>
      </w:r>
      <w:r>
        <w:rPr>
          <w:rFonts w:hint="eastAsia" w:ascii="宋体" w:hAnsi="宋体" w:cs="宋体"/>
          <w:sz w:val="24"/>
          <w:szCs w:val="24"/>
          <w:lang w:val="en-US" w:eastAsia="zh-CN"/>
        </w:rPr>
        <w:t>扶持企业科技基金及扶持企业发展专项基金主要用于</w:t>
      </w:r>
      <w:r>
        <w:rPr>
          <w:rFonts w:hint="eastAsia" w:ascii="宋体" w:hAnsi="宋体" w:cs="宋体"/>
          <w:color w:val="000000"/>
          <w:sz w:val="24"/>
          <w:szCs w:val="24"/>
          <w:lang w:val="en-US" w:eastAsia="zh-CN"/>
        </w:rPr>
        <w:t>年中各单位跟惠企有关的追加支出，以及执行中上级政府要求配套的惠企资金，以</w:t>
      </w:r>
      <w:r>
        <w:rPr>
          <w:rFonts w:hint="eastAsia" w:ascii="宋体" w:hAnsi="宋体" w:cs="宋体"/>
          <w:sz w:val="24"/>
          <w:szCs w:val="24"/>
          <w:lang w:val="en-US" w:eastAsia="zh-CN"/>
        </w:rPr>
        <w:t>提升丰泽区科技创新能力，助推企业发展和产业转型升级</w:t>
      </w:r>
      <w:r>
        <w:rPr>
          <w:rFonts w:hint="eastAsia" w:ascii="宋体" w:hAnsi="宋体" w:eastAsia="宋体" w:cs="宋体"/>
          <w:sz w:val="24"/>
          <w:szCs w:val="24"/>
        </w:rPr>
        <w:t>。</w:t>
      </w:r>
      <w:r>
        <w:rPr>
          <w:rFonts w:hint="eastAsia" w:ascii="宋体" w:hAnsi="宋体" w:cs="宋体"/>
          <w:sz w:val="24"/>
          <w:szCs w:val="24"/>
          <w:lang w:val="en-US" w:eastAsia="zh-CN"/>
        </w:rPr>
        <w:t>但是，由于目前扶持政策繁杂、缺乏统一的政策体系，扶持结构不合理，部分企业扶持效果不理想，比如北峰数控园区，2019年度该园区入驻企业6家，入驻率仅为28%，当年</w:t>
      </w:r>
      <w:r>
        <w:rPr>
          <w:rFonts w:hint="eastAsia" w:ascii="宋体" w:hAnsi="宋体" w:eastAsia="宋体" w:cs="宋体"/>
          <w:sz w:val="24"/>
          <w:szCs w:val="24"/>
          <w:lang w:val="en-US" w:eastAsia="zh-CN"/>
        </w:rPr>
        <w:t>园</w:t>
      </w:r>
      <w:r>
        <w:rPr>
          <w:rFonts w:hint="eastAsia" w:ascii="宋体" w:hAnsi="宋体" w:cs="宋体"/>
          <w:sz w:val="24"/>
          <w:szCs w:val="24"/>
          <w:lang w:val="en-US" w:eastAsia="zh-CN"/>
        </w:rPr>
        <w:t>区企业纳税金额190万元，比2018年下降39.5%；2019年</w:t>
      </w:r>
      <w:r>
        <w:rPr>
          <w:rFonts w:hint="eastAsia" w:ascii="宋体" w:hAnsi="宋体" w:eastAsia="宋体" w:cs="宋体"/>
          <w:sz w:val="24"/>
          <w:szCs w:val="24"/>
          <w:lang w:val="en-US" w:eastAsia="zh-CN"/>
        </w:rPr>
        <w:t>泉州网商（虚拟）产业园</w:t>
      </w:r>
      <w:r>
        <w:rPr>
          <w:rFonts w:hint="eastAsia" w:ascii="宋体" w:hAnsi="宋体" w:cs="宋体"/>
          <w:sz w:val="24"/>
          <w:szCs w:val="24"/>
          <w:lang w:val="en-US" w:eastAsia="zh-CN"/>
        </w:rPr>
        <w:t>区纳税金额11323.7万元，也比2018年下降了11.7%。此外，2019年丰泽区仅增加1家市级新型研发机构，仅有1项成果获得2018年度福建省科技进步奖三等奖。可见，专项资金的产出和效益有待提升。</w:t>
      </w:r>
    </w:p>
    <w:p>
      <w:pPr>
        <w:spacing w:line="360" w:lineRule="auto"/>
        <w:ind w:firstLine="482" w:firstLineChars="200"/>
        <w:jc w:val="both"/>
        <w:rPr>
          <w:rFonts w:hint="default" w:ascii="宋体" w:hAnsi="宋体" w:cs="宋体"/>
          <w:b/>
          <w:bCs/>
          <w:sz w:val="24"/>
          <w:szCs w:val="24"/>
          <w:lang w:val="en-US" w:eastAsia="zh-CN"/>
        </w:rPr>
      </w:pPr>
      <w:r>
        <w:rPr>
          <w:rFonts w:hint="eastAsia" w:ascii="宋体" w:hAnsi="宋体" w:cs="宋体"/>
          <w:b/>
          <w:bCs/>
          <w:sz w:val="24"/>
          <w:szCs w:val="24"/>
          <w:lang w:val="en-US" w:eastAsia="zh-CN"/>
        </w:rPr>
        <w:t>5.专项资金拨付不及时</w:t>
      </w:r>
    </w:p>
    <w:p>
      <w:pPr>
        <w:spacing w:line="360" w:lineRule="auto"/>
        <w:ind w:firstLine="480" w:firstLineChars="200"/>
        <w:jc w:val="both"/>
        <w:rPr>
          <w:rFonts w:hint="eastAsia" w:ascii="宋体" w:hAnsi="宋体" w:eastAsia="宋体" w:cs="宋体"/>
          <w:sz w:val="24"/>
          <w:szCs w:val="24"/>
        </w:rPr>
      </w:pPr>
      <w:r>
        <w:rPr>
          <w:rFonts w:hint="eastAsia" w:ascii="宋体" w:hAnsi="宋体" w:cs="宋体"/>
          <w:sz w:val="24"/>
          <w:szCs w:val="24"/>
          <w:lang w:val="en-US" w:eastAsia="zh-CN"/>
        </w:rPr>
        <w:t>泉州市丰泽区</w:t>
      </w:r>
      <w:r>
        <w:rPr>
          <w:rFonts w:hint="eastAsia" w:ascii="宋体" w:hAnsi="宋体" w:eastAsia="宋体" w:cs="宋体"/>
          <w:sz w:val="24"/>
          <w:szCs w:val="24"/>
        </w:rPr>
        <w:t>201</w:t>
      </w:r>
      <w:r>
        <w:rPr>
          <w:rFonts w:hint="eastAsia" w:ascii="宋体" w:hAnsi="宋体" w:cs="宋体"/>
          <w:sz w:val="24"/>
          <w:szCs w:val="24"/>
          <w:lang w:val="en-US" w:eastAsia="zh-CN"/>
        </w:rPr>
        <w:t>9</w:t>
      </w:r>
      <w:r>
        <w:rPr>
          <w:rFonts w:hint="eastAsia" w:ascii="宋体" w:hAnsi="宋体" w:eastAsia="宋体" w:cs="宋体"/>
          <w:sz w:val="24"/>
          <w:szCs w:val="24"/>
        </w:rPr>
        <w:t>年</w:t>
      </w:r>
      <w:r>
        <w:rPr>
          <w:rFonts w:hint="eastAsia" w:ascii="宋体" w:hAnsi="宋体" w:cs="宋体"/>
          <w:sz w:val="24"/>
          <w:szCs w:val="24"/>
          <w:lang w:val="en-US" w:eastAsia="zh-CN"/>
        </w:rPr>
        <w:t>度扶持企业科技基金及扶持企业发展专项基金扶持的项目中有的资金拨付不及时，比如华创园2018和2019年的基本运营费。根据《华侨大学（丰泽）创新创业园运营商招标采购承包合同书》，2018和2019年度的基本运营费应分别在2018年2月1日前、2019年2月1日前付款，可实际上，华创园2018和2019年的基本运营费是2019年7月4日才从区财政局拨付。造成这种现象的主要原因是项目运营与资金拨付脱节，华创园管理委员会办公室要根据有关专题会议精神，向丰泽区政府请示，领导审批后，区财政局再拨付资金。</w:t>
      </w:r>
    </w:p>
    <w:p>
      <w:pPr>
        <w:pStyle w:val="2"/>
        <w:spacing w:beforeLines="100" w:afterLines="100" w:line="360" w:lineRule="auto"/>
        <w:jc w:val="center"/>
        <w:rPr>
          <w:rFonts w:ascii="方正小标宋_GBK" w:hAnsi="仿宋" w:eastAsia="方正小标宋_GBK" w:cs="黑体"/>
          <w:sz w:val="30"/>
          <w:szCs w:val="30"/>
        </w:rPr>
      </w:pPr>
      <w:bookmarkStart w:id="74" w:name="_Toc4872"/>
      <w:r>
        <w:rPr>
          <w:rFonts w:hint="eastAsia" w:ascii="方正小标宋_GBK" w:hAnsi="仿宋" w:eastAsia="方正小标宋_GBK" w:cs="黑体"/>
          <w:sz w:val="30"/>
          <w:szCs w:val="30"/>
          <w:lang w:val="en-US" w:eastAsia="zh-CN"/>
        </w:rPr>
        <w:t>六</w:t>
      </w:r>
      <w:r>
        <w:rPr>
          <w:rFonts w:hint="eastAsia" w:ascii="方正小标宋_GBK" w:hAnsi="仿宋" w:eastAsia="方正小标宋_GBK" w:cs="黑体"/>
          <w:sz w:val="30"/>
          <w:szCs w:val="30"/>
        </w:rPr>
        <w:t>、</w:t>
      </w:r>
      <w:r>
        <w:rPr>
          <w:rFonts w:hint="eastAsia" w:ascii="方正小标宋_GBK" w:hAnsi="仿宋" w:eastAsia="方正小标宋_GBK" w:cs="黑体"/>
          <w:sz w:val="30"/>
          <w:szCs w:val="30"/>
          <w:lang w:val="en-US" w:eastAsia="zh-CN"/>
        </w:rPr>
        <w:t>有关</w:t>
      </w:r>
      <w:r>
        <w:rPr>
          <w:rFonts w:hint="eastAsia" w:ascii="方正小标宋_GBK" w:hAnsi="仿宋" w:eastAsia="方正小标宋_GBK" w:cs="黑体"/>
          <w:sz w:val="30"/>
          <w:szCs w:val="30"/>
        </w:rPr>
        <w:t>建议</w:t>
      </w:r>
      <w:bookmarkEnd w:id="74"/>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针对上述存在的不足，为了提高</w:t>
      </w:r>
      <w:r>
        <w:rPr>
          <w:rFonts w:hint="eastAsia" w:ascii="宋体" w:hAnsi="宋体" w:cs="宋体"/>
          <w:sz w:val="24"/>
          <w:szCs w:val="24"/>
          <w:lang w:val="en-US" w:eastAsia="zh-CN"/>
        </w:rPr>
        <w:t>泉州市丰泽区扶持企业科技基金及扶持企业发展专项</w:t>
      </w:r>
      <w:r>
        <w:rPr>
          <w:rFonts w:hint="eastAsia" w:ascii="宋体" w:hAnsi="宋体" w:eastAsia="宋体" w:cs="宋体"/>
          <w:color w:val="000000"/>
          <w:sz w:val="24"/>
          <w:szCs w:val="24"/>
        </w:rPr>
        <w:t>的绩效水平，提出如下对策建议：</w:t>
      </w:r>
    </w:p>
    <w:p>
      <w:pPr>
        <w:pStyle w:val="3"/>
        <w:spacing w:before="0" w:after="0" w:line="360" w:lineRule="auto"/>
        <w:ind w:firstLine="560" w:firstLineChars="200"/>
        <w:rPr>
          <w:rFonts w:ascii="方正小标宋_GBK" w:hAnsi="仿宋" w:eastAsia="方正小标宋_GBK" w:cs="黑体"/>
          <w:sz w:val="28"/>
          <w:szCs w:val="28"/>
        </w:rPr>
      </w:pPr>
      <w:bookmarkStart w:id="75" w:name="_Toc14528"/>
      <w:bookmarkStart w:id="76" w:name="_Toc3854"/>
      <w:bookmarkStart w:id="77" w:name="_Toc4928"/>
      <w:bookmarkStart w:id="78" w:name="_Toc184"/>
      <w:bookmarkStart w:id="79" w:name="_Toc3618"/>
      <w:bookmarkStart w:id="80" w:name="_Toc7961"/>
      <w:bookmarkStart w:id="81" w:name="_Toc7262"/>
      <w:r>
        <w:rPr>
          <w:rFonts w:hint="eastAsia" w:ascii="方正小标宋_GBK" w:hAnsi="仿宋" w:eastAsia="方正小标宋_GBK" w:cs="黑体"/>
          <w:sz w:val="28"/>
          <w:szCs w:val="28"/>
        </w:rPr>
        <w:t>（一）制定</w:t>
      </w:r>
      <w:r>
        <w:rPr>
          <w:rFonts w:hint="eastAsia" w:ascii="方正小标宋_GBK" w:hAnsi="仿宋" w:eastAsia="方正小标宋_GBK" w:cs="黑体"/>
          <w:sz w:val="28"/>
          <w:szCs w:val="28"/>
          <w:lang w:val="en-US" w:eastAsia="zh-CN"/>
        </w:rPr>
        <w:t>科学合理的</w:t>
      </w:r>
      <w:r>
        <w:rPr>
          <w:rFonts w:hint="eastAsia" w:ascii="方正小标宋_GBK" w:hAnsi="仿宋" w:eastAsia="方正小标宋_GBK" w:cs="黑体"/>
          <w:sz w:val="28"/>
          <w:szCs w:val="28"/>
        </w:rPr>
        <w:t>绩效目标，并细化、量化</w:t>
      </w:r>
      <w:r>
        <w:rPr>
          <w:rFonts w:hint="eastAsia" w:ascii="方正小标宋_GBK" w:hAnsi="仿宋" w:eastAsia="方正小标宋_GBK" w:cs="黑体"/>
          <w:sz w:val="28"/>
          <w:szCs w:val="28"/>
          <w:lang w:val="en-US" w:eastAsia="zh-CN"/>
        </w:rPr>
        <w:t>绩效</w:t>
      </w:r>
      <w:r>
        <w:rPr>
          <w:rFonts w:hint="eastAsia" w:ascii="方正小标宋_GBK" w:hAnsi="仿宋" w:eastAsia="方正小标宋_GBK" w:cs="黑体"/>
          <w:sz w:val="28"/>
          <w:szCs w:val="28"/>
        </w:rPr>
        <w:t>指标</w:t>
      </w:r>
      <w:bookmarkEnd w:id="75"/>
    </w:p>
    <w:bookmarkEnd w:id="76"/>
    <w:bookmarkEnd w:id="77"/>
    <w:bookmarkEnd w:id="78"/>
    <w:bookmarkEnd w:id="79"/>
    <w:bookmarkEnd w:id="80"/>
    <w:bookmarkEnd w:id="81"/>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绩效目标是全面实施预算绩效管理的起点和基础，是全过程预算绩效管理</w:t>
      </w:r>
      <w:r>
        <w:rPr>
          <w:rFonts w:hint="eastAsia" w:ascii="宋体" w:hAnsi="宋体" w:cs="宋体"/>
          <w:color w:val="000000"/>
          <w:sz w:val="24"/>
          <w:szCs w:val="24"/>
          <w:lang w:val="en-US" w:eastAsia="zh-CN"/>
        </w:rPr>
        <w:t>的</w:t>
      </w:r>
      <w:r>
        <w:rPr>
          <w:rFonts w:hint="eastAsia" w:ascii="宋体" w:hAnsi="宋体" w:eastAsia="宋体" w:cs="宋体"/>
          <w:color w:val="000000"/>
          <w:sz w:val="24"/>
          <w:szCs w:val="24"/>
        </w:rPr>
        <w:t>“生命线”，也是绩效评估</w:t>
      </w:r>
      <w:r>
        <w:rPr>
          <w:rFonts w:hint="eastAsia" w:ascii="宋体" w:hAnsi="宋体" w:cs="宋体"/>
          <w:color w:val="000000"/>
          <w:sz w:val="24"/>
          <w:szCs w:val="24"/>
          <w:lang w:eastAsia="zh-CN"/>
        </w:rPr>
        <w:t>、</w:t>
      </w:r>
      <w:r>
        <w:rPr>
          <w:rFonts w:hint="eastAsia" w:ascii="宋体" w:hAnsi="宋体" w:eastAsia="宋体" w:cs="宋体"/>
          <w:color w:val="000000"/>
          <w:sz w:val="24"/>
          <w:szCs w:val="24"/>
        </w:rPr>
        <w:t>绩效监控和结果应用的前提和依据。</w:t>
      </w:r>
      <w:r>
        <w:rPr>
          <w:rFonts w:hint="eastAsia" w:ascii="宋体" w:hAnsi="宋体" w:cs="宋体"/>
          <w:sz w:val="24"/>
          <w:szCs w:val="24"/>
          <w:lang w:val="en-US" w:eastAsia="zh-CN"/>
        </w:rPr>
        <w:t>泉州市丰泽区工业信息化和科技局等项目主管部门应提高预算绩效管理意识，积极与区财政局协调对接，在扶持企业科技基金及扶持企业发展专项基金申报预算时就协助填报绩效目标，且</w:t>
      </w:r>
      <w:r>
        <w:rPr>
          <w:rFonts w:hint="eastAsia" w:ascii="宋体" w:hAnsi="宋体" w:eastAsia="宋体" w:cs="宋体"/>
          <w:sz w:val="24"/>
          <w:szCs w:val="24"/>
        </w:rPr>
        <w:t>绩效目标</w:t>
      </w:r>
      <w:r>
        <w:rPr>
          <w:rFonts w:hint="eastAsia" w:ascii="宋体" w:hAnsi="宋体" w:cs="宋体"/>
          <w:sz w:val="24"/>
          <w:szCs w:val="24"/>
          <w:lang w:val="en-US" w:eastAsia="zh-CN"/>
        </w:rPr>
        <w:t>的</w:t>
      </w:r>
      <w:r>
        <w:rPr>
          <w:rFonts w:hint="eastAsia" w:ascii="宋体" w:hAnsi="宋体" w:eastAsia="宋体" w:cs="宋体"/>
          <w:sz w:val="24"/>
          <w:szCs w:val="24"/>
        </w:rPr>
        <w:t>设置</w:t>
      </w:r>
      <w:r>
        <w:rPr>
          <w:rFonts w:hint="eastAsia" w:ascii="宋体" w:hAnsi="宋体" w:cs="宋体"/>
          <w:sz w:val="24"/>
          <w:szCs w:val="24"/>
          <w:lang w:val="en-US" w:eastAsia="zh-CN"/>
        </w:rPr>
        <w:t>应</w:t>
      </w:r>
      <w:r>
        <w:rPr>
          <w:rFonts w:hint="eastAsia" w:ascii="宋体" w:hAnsi="宋体" w:eastAsia="宋体" w:cs="宋体"/>
          <w:sz w:val="24"/>
          <w:szCs w:val="24"/>
        </w:rPr>
        <w:t>与工作目标设置相统筹、相衔接</w:t>
      </w:r>
      <w:r>
        <w:rPr>
          <w:rFonts w:hint="eastAsia" w:ascii="宋体" w:hAnsi="宋体" w:cs="宋体"/>
          <w:sz w:val="24"/>
          <w:szCs w:val="24"/>
          <w:lang w:eastAsia="zh-CN"/>
        </w:rPr>
        <w:t>。</w:t>
      </w:r>
      <w:r>
        <w:rPr>
          <w:rFonts w:hint="eastAsia" w:ascii="宋体" w:hAnsi="宋体" w:eastAsia="宋体" w:cs="宋体"/>
          <w:sz w:val="24"/>
          <w:szCs w:val="24"/>
        </w:rPr>
        <w:t>在绩效目标设定中，</w:t>
      </w:r>
      <w:r>
        <w:rPr>
          <w:rFonts w:hint="eastAsia" w:ascii="宋体" w:hAnsi="宋体" w:cs="宋体"/>
          <w:sz w:val="24"/>
          <w:szCs w:val="24"/>
          <w:lang w:val="en-US" w:eastAsia="zh-CN"/>
        </w:rPr>
        <w:t>应</w:t>
      </w:r>
      <w:r>
        <w:rPr>
          <w:rFonts w:hint="eastAsia" w:ascii="宋体" w:hAnsi="宋体" w:eastAsia="宋体" w:cs="宋体"/>
          <w:sz w:val="24"/>
          <w:szCs w:val="24"/>
        </w:rPr>
        <w:t>科学界定和测算绩效目标值，并进一步细化、量化指标</w:t>
      </w:r>
      <w:r>
        <w:rPr>
          <w:rFonts w:hint="eastAsia" w:ascii="宋体" w:hAnsi="宋体" w:cs="宋体"/>
          <w:sz w:val="24"/>
        </w:rPr>
        <w:t>内容</w:t>
      </w:r>
      <w:r>
        <w:rPr>
          <w:rFonts w:hint="eastAsia" w:ascii="宋体" w:hAnsi="宋体" w:eastAsia="宋体" w:cs="宋体"/>
          <w:sz w:val="24"/>
          <w:szCs w:val="24"/>
        </w:rPr>
        <w:t>。只有制定了清晰的可衡量绩效目标，今后工作努力的方向就明确了，这样有利于实现目标，提高</w:t>
      </w:r>
      <w:r>
        <w:rPr>
          <w:rFonts w:hint="eastAsia" w:ascii="宋体" w:hAnsi="宋体" w:cs="宋体"/>
          <w:sz w:val="24"/>
        </w:rPr>
        <w:t>专项资金</w:t>
      </w:r>
      <w:r>
        <w:rPr>
          <w:rFonts w:hint="eastAsia" w:ascii="宋体" w:hAnsi="宋体" w:eastAsia="宋体" w:cs="宋体"/>
          <w:sz w:val="24"/>
          <w:szCs w:val="24"/>
        </w:rPr>
        <w:t>绩效水平。</w:t>
      </w:r>
    </w:p>
    <w:p>
      <w:pPr>
        <w:pStyle w:val="3"/>
        <w:spacing w:before="0" w:after="0" w:line="360" w:lineRule="auto"/>
        <w:ind w:firstLine="560" w:firstLineChars="200"/>
        <w:rPr>
          <w:rFonts w:hint="eastAsia" w:ascii="方正小标宋_GBK" w:hAnsi="仿宋" w:eastAsia="方正小标宋_GBK" w:cs="黑体"/>
          <w:sz w:val="28"/>
          <w:szCs w:val="28"/>
          <w:lang w:val="en-US" w:eastAsia="zh-CN"/>
        </w:rPr>
      </w:pPr>
      <w:bookmarkStart w:id="82" w:name="_Toc20433"/>
      <w:r>
        <w:rPr>
          <w:rFonts w:hint="eastAsia" w:ascii="方正小标宋_GBK" w:hAnsi="仿宋" w:eastAsia="方正小标宋_GBK" w:cs="黑体"/>
          <w:sz w:val="28"/>
          <w:szCs w:val="28"/>
        </w:rPr>
        <w:t>（二）</w:t>
      </w:r>
      <w:r>
        <w:rPr>
          <w:rFonts w:hint="eastAsia" w:ascii="方正小标宋_GBK" w:hAnsi="仿宋" w:eastAsia="方正小标宋_GBK" w:cs="黑体"/>
          <w:sz w:val="28"/>
          <w:szCs w:val="28"/>
          <w:lang w:val="en-US" w:eastAsia="zh-CN"/>
        </w:rPr>
        <w:t>精细编制专项资金预算，并规范预算调整</w:t>
      </w:r>
      <w:bookmarkEnd w:id="82"/>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泉州市丰泽区扶持企业科技基金及扶持企业发展专项基金作为丰泽区财政局预留专项资金，其实施主体是丰泽区工业信息化和科技局等部门，这些主管部门的各业务科室要切实履行牵头责任，主动与区财政局会商，把专项资金的预算编制细化到部门和项目，不断提高预算编制的精细度，</w:t>
      </w:r>
      <w:r>
        <w:rPr>
          <w:rFonts w:hint="eastAsia" w:ascii="宋体" w:hAnsi="宋体" w:eastAsia="宋体" w:cs="宋体"/>
          <w:sz w:val="24"/>
          <w:szCs w:val="24"/>
        </w:rPr>
        <w:t>全面提升预算管理的准确性、规范性、科学性和可行性。</w:t>
      </w:r>
      <w:r>
        <w:rPr>
          <w:rFonts w:hint="eastAsia" w:ascii="宋体" w:hAnsi="宋体" w:cs="宋体"/>
          <w:sz w:val="24"/>
          <w:szCs w:val="24"/>
          <w:lang w:val="en-US" w:eastAsia="zh-CN"/>
        </w:rPr>
        <w:t>此外，应</w:t>
      </w:r>
      <w:r>
        <w:rPr>
          <w:rFonts w:hint="eastAsia" w:ascii="宋体" w:hAnsi="宋体" w:eastAsia="宋体" w:cs="宋体"/>
          <w:sz w:val="24"/>
          <w:szCs w:val="24"/>
        </w:rPr>
        <w:t>规范</w:t>
      </w:r>
      <w:r>
        <w:rPr>
          <w:rFonts w:hint="eastAsia" w:ascii="宋体" w:hAnsi="宋体" w:cs="宋体"/>
          <w:sz w:val="24"/>
          <w:szCs w:val="24"/>
          <w:lang w:val="en-US" w:eastAsia="zh-CN"/>
        </w:rPr>
        <w:t>预算</w:t>
      </w:r>
      <w:r>
        <w:rPr>
          <w:rFonts w:hint="eastAsia" w:ascii="宋体" w:hAnsi="宋体" w:eastAsia="宋体" w:cs="宋体"/>
          <w:sz w:val="24"/>
          <w:szCs w:val="24"/>
        </w:rPr>
        <w:t>调整</w:t>
      </w:r>
      <w:r>
        <w:rPr>
          <w:rFonts w:hint="eastAsia" w:ascii="宋体" w:hAnsi="宋体" w:cs="宋体"/>
          <w:sz w:val="24"/>
          <w:szCs w:val="24"/>
          <w:lang w:val="en-US" w:eastAsia="zh-CN"/>
        </w:rPr>
        <w:t>行为，</w:t>
      </w:r>
      <w:r>
        <w:rPr>
          <w:rFonts w:hint="eastAsia" w:ascii="宋体" w:hAnsi="宋体" w:eastAsia="宋体" w:cs="宋体"/>
          <w:sz w:val="24"/>
          <w:szCs w:val="24"/>
        </w:rPr>
        <w:t>预算单位要严格执行批复的</w:t>
      </w:r>
      <w:r>
        <w:rPr>
          <w:rFonts w:hint="eastAsia" w:ascii="宋体" w:hAnsi="宋体" w:cs="宋体"/>
          <w:sz w:val="24"/>
          <w:szCs w:val="24"/>
          <w:lang w:val="en-US" w:eastAsia="zh-CN"/>
        </w:rPr>
        <w:t>专项资金</w:t>
      </w:r>
      <w:r>
        <w:rPr>
          <w:rFonts w:hint="eastAsia" w:ascii="宋体" w:hAnsi="宋体" w:eastAsia="宋体" w:cs="宋体"/>
          <w:sz w:val="24"/>
          <w:szCs w:val="24"/>
        </w:rPr>
        <w:t>预算和绩效目标，未经审核批准不得随意调整预算，同时逐步减少预算执行中的追加和调整事项，切实强化预算的约束力，增强预算的严肃性。</w:t>
      </w:r>
    </w:p>
    <w:p>
      <w:pPr>
        <w:pStyle w:val="3"/>
        <w:spacing w:before="0" w:after="0" w:line="360" w:lineRule="auto"/>
        <w:ind w:firstLine="560" w:firstLineChars="200"/>
        <w:rPr>
          <w:rFonts w:hint="eastAsia" w:ascii="方正小标宋_GBK" w:hAnsi="仿宋" w:eastAsia="方正小标宋_GBK" w:cs="黑体"/>
          <w:sz w:val="28"/>
          <w:szCs w:val="28"/>
          <w:lang w:val="en-US" w:eastAsia="zh-CN"/>
        </w:rPr>
      </w:pPr>
      <w:bookmarkStart w:id="83" w:name="_Toc23009"/>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三</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制定专项资金管理制度</w:t>
      </w:r>
      <w:bookmarkEnd w:id="83"/>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lang w:val="en-US" w:eastAsia="zh-CN"/>
        </w:rPr>
        <w:t>针对泉州市</w:t>
      </w:r>
      <w:r>
        <w:rPr>
          <w:rFonts w:hint="eastAsia" w:ascii="宋体" w:hAnsi="宋体" w:cs="宋体"/>
          <w:color w:val="000000"/>
          <w:sz w:val="24"/>
          <w:szCs w:val="24"/>
          <w:lang w:val="en-US" w:eastAsia="zh-CN"/>
        </w:rPr>
        <w:t>丰泽区2019年度</w:t>
      </w:r>
      <w:r>
        <w:rPr>
          <w:rFonts w:hint="eastAsia" w:ascii="宋体" w:hAnsi="宋体" w:cs="宋体"/>
          <w:sz w:val="24"/>
          <w:szCs w:val="24"/>
          <w:lang w:val="en-US" w:eastAsia="zh-CN"/>
        </w:rPr>
        <w:t>扶持企业科技基金及扶持企业发展专项基金没有制定专门的专项资金管理制度，个别扶持项目（如丰泽区城市安全信息系统项目2019年度监控点光纤链路租金）与专项资金设立目的不太匹配的问题，丰泽区工业信息化和科技局等项目主管部门和街道办事处应认真梳理整合各项扶持企业优惠政策和扶持项目，主动与丰泽区财政局协商，制定专门的专项资金管理制度，明确并细化专项资金的目标和用途，完善专项资金的使用管理流程，确保财政资金的安全合理使用，做到有规可依，有规必依。</w:t>
      </w:r>
    </w:p>
    <w:p>
      <w:pPr>
        <w:pStyle w:val="3"/>
        <w:spacing w:before="0" w:after="0" w:line="360" w:lineRule="auto"/>
        <w:ind w:firstLine="560" w:firstLineChars="200"/>
        <w:rPr>
          <w:rFonts w:hint="eastAsia" w:ascii="方正小标宋_GBK" w:hAnsi="仿宋" w:eastAsia="方正小标宋_GBK" w:cs="黑体"/>
          <w:sz w:val="28"/>
          <w:szCs w:val="28"/>
          <w:lang w:val="en-US" w:eastAsia="zh-CN"/>
        </w:rPr>
      </w:pPr>
      <w:bookmarkStart w:id="84" w:name="_Toc22037"/>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四</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提升专项资金扶持效果</w:t>
      </w:r>
      <w:bookmarkEnd w:id="84"/>
    </w:p>
    <w:p>
      <w:pPr>
        <w:spacing w:line="360" w:lineRule="auto"/>
        <w:ind w:firstLine="480" w:firstLineChars="200"/>
        <w:rPr>
          <w:rFonts w:hint="default" w:ascii="宋体" w:hAnsi="宋体" w:eastAsia="宋体" w:cs="宋体"/>
          <w:sz w:val="24"/>
          <w:szCs w:val="24"/>
          <w:lang w:val="en-US"/>
        </w:rPr>
      </w:pPr>
      <w:r>
        <w:rPr>
          <w:rFonts w:hint="eastAsia" w:ascii="宋体" w:hAnsi="宋体" w:cs="宋体"/>
          <w:sz w:val="24"/>
          <w:szCs w:val="24"/>
          <w:lang w:val="en-US" w:eastAsia="zh-CN"/>
        </w:rPr>
        <w:t>一方面，应提高项目决策的科学性。项目主管部门在项目立项申报以及资金申请环节应进行必要性、可行性的充分论证，对于重点项目重大政策，应在可行性研究阶段进行事前绩效评估，为项目决策提供科学依据，以提高政府决策的科学性、精准性，优化财政预算安排，真正将钱用在“刀刃”上，使财政支出关口前移，避免财政资金的浪费。另一方面，加大扶持企业投入力度，突出扶持重点和关键领域，侧重对先进制造业、战略新兴产业、科研院所、园区和企业中心等公共服务平台的精准帮扶，支持龙头企业做强发挥带动作用，吸引中小微企业进入龙头企业产业链，培育壮大产业集群，释放区域经济发展潜力。</w:t>
      </w:r>
    </w:p>
    <w:p>
      <w:pPr>
        <w:pStyle w:val="3"/>
        <w:spacing w:before="0" w:after="0" w:line="360" w:lineRule="auto"/>
        <w:ind w:firstLine="560" w:firstLineChars="200"/>
        <w:rPr>
          <w:rFonts w:hint="eastAsia" w:ascii="方正小标宋_GBK" w:hAnsi="仿宋" w:eastAsia="方正小标宋_GBK" w:cs="黑体"/>
          <w:sz w:val="28"/>
          <w:szCs w:val="28"/>
          <w:lang w:val="en-US" w:eastAsia="zh-CN"/>
        </w:rPr>
      </w:pPr>
      <w:bookmarkStart w:id="85" w:name="_Toc14783"/>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五</w:t>
      </w:r>
      <w:r>
        <w:rPr>
          <w:rFonts w:hint="eastAsia" w:ascii="方正小标宋_GBK" w:hAnsi="仿宋" w:eastAsia="方正小标宋_GBK" w:cs="黑体"/>
          <w:sz w:val="28"/>
          <w:szCs w:val="28"/>
        </w:rPr>
        <w:t>）</w:t>
      </w:r>
      <w:r>
        <w:rPr>
          <w:rFonts w:hint="eastAsia" w:ascii="方正小标宋_GBK" w:hAnsi="仿宋" w:eastAsia="方正小标宋_GBK" w:cs="黑体"/>
          <w:sz w:val="28"/>
          <w:szCs w:val="28"/>
          <w:lang w:val="en-US" w:eastAsia="zh-CN"/>
        </w:rPr>
        <w:t>提高专项资金拨付时效</w:t>
      </w:r>
      <w:bookmarkEnd w:id="85"/>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lang w:val="en-US" w:eastAsia="zh-CN"/>
        </w:rPr>
        <w:t>泉州市</w:t>
      </w:r>
      <w:r>
        <w:rPr>
          <w:rFonts w:hint="eastAsia" w:ascii="宋体" w:hAnsi="宋体" w:cs="宋体"/>
          <w:color w:val="000000"/>
          <w:sz w:val="24"/>
          <w:szCs w:val="24"/>
          <w:lang w:val="en-US" w:eastAsia="zh-CN"/>
        </w:rPr>
        <w:t>丰泽区</w:t>
      </w:r>
      <w:r>
        <w:rPr>
          <w:rFonts w:hint="eastAsia" w:ascii="宋体" w:hAnsi="宋体" w:cs="宋体"/>
          <w:sz w:val="24"/>
          <w:szCs w:val="24"/>
          <w:lang w:val="en-US" w:eastAsia="zh-CN"/>
        </w:rPr>
        <w:t>扶持企业科技基金及扶持企业发展专项基金主要用于各项扶持企业政策资金兑现，丰泽区工业信息化和科技局等主管部门和街道办事处应主动服务，跟踪落实，加大政策信息宣传力度，及时将各项惠企政策、企业享受政策的条件、申请享受政策的流程、需要提供的材料等通知到各申报企业，为企业申报项目提供更便捷的政策引导，不断提高服务水平，贴心为企业服务。同时，对符合扶持政策的重点企业和重点项目，各项目主管部门和街道办事处要落实专人具体负责，从项目材料的组织申报和审核批准实行“一条龙”服务。通过精准帮扶，既提高专项资金拨付的及时性，又能打造重商、亲商、爱商、富商、安商的发展环境。</w:t>
      </w:r>
    </w:p>
    <w:p>
      <w:pPr>
        <w:spacing w:line="360" w:lineRule="auto"/>
        <w:ind w:firstLine="480" w:firstLineChars="200"/>
        <w:rPr>
          <w:rFonts w:hint="eastAsia" w:ascii="宋体" w:hAnsi="宋体" w:cs="宋体"/>
          <w:sz w:val="24"/>
          <w:lang w:eastAsia="zh-CN"/>
        </w:rPr>
      </w:pPr>
    </w:p>
    <w:p>
      <w:pPr>
        <w:pStyle w:val="2"/>
        <w:spacing w:beforeLines="100" w:afterLines="100" w:line="360" w:lineRule="auto"/>
        <w:jc w:val="center"/>
        <w:rPr>
          <w:rFonts w:hint="default" w:ascii="方正小标宋_GBK" w:hAnsi="仿宋" w:eastAsia="方正小标宋_GBK" w:cs="黑体"/>
          <w:sz w:val="30"/>
          <w:szCs w:val="30"/>
          <w:lang w:val="en-US" w:eastAsia="zh-CN"/>
        </w:rPr>
      </w:pPr>
      <w:bookmarkStart w:id="86" w:name="_Toc20381"/>
      <w:r>
        <w:rPr>
          <w:rFonts w:hint="eastAsia" w:ascii="方正小标宋_GBK" w:hAnsi="仿宋" w:eastAsia="方正小标宋_GBK" w:cs="黑体"/>
          <w:sz w:val="30"/>
          <w:szCs w:val="30"/>
          <w:lang w:val="en-US" w:eastAsia="zh-CN"/>
        </w:rPr>
        <w:t>七</w:t>
      </w:r>
      <w:r>
        <w:rPr>
          <w:rFonts w:hint="eastAsia" w:ascii="方正小标宋_GBK" w:hAnsi="仿宋" w:eastAsia="方正小标宋_GBK" w:cs="黑体"/>
          <w:sz w:val="30"/>
          <w:szCs w:val="30"/>
        </w:rPr>
        <w:t>、</w:t>
      </w:r>
      <w:r>
        <w:rPr>
          <w:rFonts w:hint="eastAsia" w:ascii="方正小标宋_GBK" w:hAnsi="仿宋" w:eastAsia="方正小标宋_GBK" w:cs="黑体"/>
          <w:sz w:val="30"/>
          <w:szCs w:val="30"/>
          <w:lang w:val="en-US" w:eastAsia="zh-CN"/>
        </w:rPr>
        <w:t>其他需要说明的事项</w:t>
      </w:r>
      <w:bookmarkEnd w:id="86"/>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cs="宋体"/>
          <w:color w:val="000000"/>
          <w:sz w:val="24"/>
          <w:szCs w:val="24"/>
          <w:lang w:val="en-US" w:eastAsia="zh-CN"/>
        </w:rPr>
        <w:t>本</w:t>
      </w:r>
      <w:r>
        <w:rPr>
          <w:rFonts w:hint="eastAsia" w:ascii="宋体" w:hAnsi="宋体" w:eastAsia="宋体" w:cs="宋体"/>
          <w:color w:val="000000"/>
          <w:sz w:val="24"/>
          <w:szCs w:val="24"/>
        </w:rPr>
        <w:t>绩效评价报告是在</w:t>
      </w:r>
      <w:r>
        <w:rPr>
          <w:rFonts w:hint="eastAsia" w:ascii="宋体" w:hAnsi="宋体" w:cs="宋体"/>
          <w:color w:val="000000"/>
          <w:sz w:val="24"/>
          <w:szCs w:val="24"/>
          <w:lang w:val="en-US" w:eastAsia="zh-CN"/>
        </w:rPr>
        <w:t>财政部门和项目主管单位</w:t>
      </w:r>
      <w:r>
        <w:rPr>
          <w:rFonts w:hint="eastAsia" w:ascii="宋体" w:hAnsi="宋体" w:eastAsia="宋体" w:cs="宋体"/>
          <w:color w:val="000000"/>
          <w:sz w:val="24"/>
          <w:szCs w:val="24"/>
        </w:rPr>
        <w:t>提供资料的基础上形成的。</w:t>
      </w:r>
    </w:p>
    <w:p>
      <w:pPr>
        <w:spacing w:line="360" w:lineRule="auto"/>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val="en-US" w:eastAsia="zh-CN"/>
        </w:rPr>
        <w:t>2.本</w:t>
      </w:r>
      <w:r>
        <w:rPr>
          <w:rFonts w:hint="eastAsia" w:ascii="宋体" w:hAnsi="宋体" w:eastAsia="宋体" w:cs="宋体"/>
          <w:color w:val="000000"/>
          <w:sz w:val="24"/>
          <w:szCs w:val="24"/>
        </w:rPr>
        <w:t>绩效评价报告仅供</w:t>
      </w:r>
      <w:r>
        <w:rPr>
          <w:rFonts w:hint="eastAsia" w:ascii="宋体" w:hAnsi="宋体" w:eastAsia="宋体" w:cs="宋体"/>
          <w:sz w:val="24"/>
          <w:szCs w:val="24"/>
        </w:rPr>
        <w:t>泉州市丰泽区财政局</w:t>
      </w:r>
      <w:r>
        <w:rPr>
          <w:rFonts w:hint="eastAsia" w:ascii="宋体" w:hAnsi="宋体" w:eastAsia="宋体" w:cs="宋体"/>
          <w:color w:val="000000"/>
          <w:sz w:val="24"/>
          <w:szCs w:val="24"/>
        </w:rPr>
        <w:t>开展201</w:t>
      </w:r>
      <w:r>
        <w:rPr>
          <w:rFonts w:hint="eastAsia" w:ascii="宋体" w:hAnsi="宋体" w:cs="宋体"/>
          <w:color w:val="000000"/>
          <w:sz w:val="24"/>
          <w:szCs w:val="24"/>
          <w:lang w:val="en-US" w:eastAsia="zh-CN"/>
        </w:rPr>
        <w:t>9</w:t>
      </w:r>
      <w:r>
        <w:rPr>
          <w:rFonts w:hint="eastAsia" w:ascii="宋体" w:hAnsi="宋体" w:eastAsia="宋体" w:cs="宋体"/>
          <w:color w:val="000000"/>
          <w:sz w:val="24"/>
          <w:szCs w:val="24"/>
        </w:rPr>
        <w:t>年</w:t>
      </w:r>
      <w:r>
        <w:rPr>
          <w:rFonts w:hint="eastAsia" w:ascii="宋体" w:hAnsi="宋体" w:cs="宋体"/>
          <w:color w:val="000000"/>
          <w:sz w:val="24"/>
          <w:szCs w:val="24"/>
          <w:lang w:val="en-US" w:eastAsia="zh-CN"/>
        </w:rPr>
        <w:t>度</w:t>
      </w:r>
      <w:r>
        <w:rPr>
          <w:rFonts w:hint="eastAsia" w:ascii="宋体" w:hAnsi="宋体" w:cs="宋体"/>
          <w:sz w:val="24"/>
          <w:szCs w:val="24"/>
          <w:lang w:val="en-US" w:eastAsia="zh-CN"/>
        </w:rPr>
        <w:t>扶持企业科技基金及扶持企业发展专项基金</w:t>
      </w:r>
      <w:r>
        <w:rPr>
          <w:rFonts w:hint="eastAsia" w:ascii="宋体" w:hAnsi="宋体" w:eastAsia="宋体" w:cs="宋体"/>
          <w:color w:val="000000"/>
          <w:sz w:val="24"/>
          <w:szCs w:val="24"/>
          <w:lang w:val="en-US" w:eastAsia="zh-CN"/>
        </w:rPr>
        <w:t>绩效</w:t>
      </w:r>
      <w:r>
        <w:rPr>
          <w:rFonts w:hint="eastAsia" w:ascii="宋体" w:hAnsi="宋体" w:eastAsia="宋体" w:cs="宋体"/>
          <w:sz w:val="24"/>
          <w:szCs w:val="24"/>
        </w:rPr>
        <w:t>重点</w:t>
      </w:r>
      <w:r>
        <w:rPr>
          <w:rFonts w:hint="eastAsia" w:ascii="宋体" w:hAnsi="宋体" w:eastAsia="宋体" w:cs="宋体"/>
          <w:color w:val="000000"/>
          <w:sz w:val="24"/>
          <w:szCs w:val="24"/>
        </w:rPr>
        <w:t>评价相关工作使用，不作他用。</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jc w:val="left"/>
        <w:rPr>
          <w:rFonts w:ascii="宋体" w:hAnsi="宋体" w:cs="宋体"/>
          <w:sz w:val="24"/>
        </w:rPr>
      </w:pP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p>
    <w:p>
      <w:pPr>
        <w:spacing w:line="240" w:lineRule="auto"/>
        <w:ind w:firstLine="560" w:firstLineChars="200"/>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集美大学地方财政绩效研究中心</w:t>
      </w:r>
    </w:p>
    <w:p>
      <w:pPr>
        <w:keepNext w:val="0"/>
        <w:keepLines w:val="0"/>
        <w:pageBreakBefore w:val="0"/>
        <w:widowControl w:val="0"/>
        <w:kinsoku/>
        <w:wordWrap/>
        <w:overflowPunct/>
        <w:topLinePunct w:val="0"/>
        <w:autoSpaceDE/>
        <w:autoSpaceDN/>
        <w:bidi w:val="0"/>
        <w:adjustRightInd/>
        <w:snapToGrid/>
        <w:spacing w:line="360" w:lineRule="auto"/>
        <w:ind w:right="31" w:rightChars="0"/>
        <w:jc w:val="lef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12</w:t>
      </w:r>
      <w:r>
        <w:rPr>
          <w:rFonts w:hint="eastAsia" w:ascii="宋体" w:hAnsi="宋体" w:eastAsia="宋体" w:cs="宋体"/>
          <w:sz w:val="24"/>
          <w:szCs w:val="24"/>
        </w:rPr>
        <w:t>月</w:t>
      </w:r>
      <w:r>
        <w:rPr>
          <w:rFonts w:hint="eastAsia" w:ascii="宋体" w:hAnsi="宋体" w:cs="宋体"/>
          <w:sz w:val="24"/>
          <w:szCs w:val="24"/>
          <w:lang w:val="en-US" w:eastAsia="zh-CN"/>
        </w:rPr>
        <w:t>3</w:t>
      </w:r>
      <w:r>
        <w:rPr>
          <w:rFonts w:hint="eastAsia" w:ascii="宋体" w:hAnsi="宋体" w:eastAsia="宋体" w:cs="宋体"/>
          <w:sz w:val="24"/>
          <w:szCs w:val="24"/>
        </w:rPr>
        <w:t>日</w:t>
      </w:r>
    </w:p>
    <w:p>
      <w:pPr>
        <w:spacing w:line="360" w:lineRule="auto"/>
        <w:ind w:firstLine="480" w:firstLineChars="200"/>
        <w:rPr>
          <w:rFonts w:ascii="宋体" w:hAnsi="宋体" w:cs="宋体"/>
          <w:sz w:val="24"/>
        </w:rPr>
      </w:pPr>
    </w:p>
    <w:p>
      <w:pPr>
        <w:rPr>
          <w:b/>
          <w:bCs/>
          <w:sz w:val="24"/>
        </w:rPr>
        <w:sectPr>
          <w:footerReference r:id="rId4" w:type="default"/>
          <w:pgSz w:w="11906" w:h="16838"/>
          <w:pgMar w:top="1247" w:right="1418" w:bottom="1417" w:left="1417" w:header="851" w:footer="992" w:gutter="0"/>
          <w:pgNumType w:start="1"/>
          <w:cols w:space="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Lines="100" w:after="313" w:afterLines="100" w:line="360" w:lineRule="auto"/>
        <w:ind w:left="420" w:leftChars="200" w:right="420" w:rightChars="200"/>
        <w:jc w:val="center"/>
        <w:textAlignment w:val="auto"/>
        <w:rPr>
          <w:rFonts w:hint="eastAsia" w:ascii="方正小标宋_GBK" w:hAnsi="仿宋" w:eastAsia="方正小标宋_GBK" w:cs="黑体"/>
          <w:sz w:val="30"/>
          <w:szCs w:val="30"/>
          <w:lang w:val="en-US" w:eastAsia="zh-CN"/>
        </w:rPr>
      </w:pPr>
      <w:bookmarkStart w:id="87" w:name="_Toc11873"/>
      <w:bookmarkStart w:id="88" w:name="_Toc11044"/>
      <w:bookmarkStart w:id="89" w:name="_Toc32578"/>
      <w:bookmarkStart w:id="90" w:name="_Toc26564"/>
      <w:bookmarkStart w:id="91" w:name="_Toc24730"/>
      <w:bookmarkStart w:id="92" w:name="_Toc15156"/>
      <w:bookmarkStart w:id="93" w:name="_Toc8619"/>
      <w:bookmarkStart w:id="94" w:name="_Toc15718"/>
      <w:bookmarkStart w:id="95" w:name="_Toc4755"/>
      <w:bookmarkStart w:id="96" w:name="_Toc22711"/>
      <w:bookmarkStart w:id="97" w:name="_Toc22865"/>
      <w:r>
        <w:rPr>
          <w:rFonts w:hint="eastAsia" w:ascii="方正小标宋_GBK" w:hAnsi="仿宋" w:eastAsia="方正小标宋_GBK" w:cs="黑体"/>
          <w:sz w:val="30"/>
          <w:szCs w:val="30"/>
          <w:lang w:val="en-US" w:eastAsia="zh-CN"/>
        </w:rPr>
        <w:t>附录一  泉州市丰泽区2019年度扶持企业科技基金及扶持企业发展专项基金绩效评价评分表</w:t>
      </w:r>
      <w:bookmarkEnd w:id="87"/>
    </w:p>
    <w:tbl>
      <w:tblPr>
        <w:tblStyle w:val="14"/>
        <w:tblW w:w="9908" w:type="dxa"/>
        <w:tblInd w:w="-27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059"/>
        <w:gridCol w:w="1750"/>
        <w:gridCol w:w="5300"/>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41" w:type="dxa"/>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一级指标</w:t>
            </w:r>
          </w:p>
        </w:tc>
        <w:tc>
          <w:tcPr>
            <w:tcW w:w="1059"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二级指标</w:t>
            </w: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三级指标</w:t>
            </w:r>
          </w:p>
        </w:tc>
        <w:tc>
          <w:tcPr>
            <w:tcW w:w="5300" w:type="dxa"/>
            <w:tcBorders>
              <w:top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r>
              <w:rPr>
                <w:rFonts w:hint="eastAsia" w:ascii="宋体" w:hAnsi="宋体" w:eastAsia="宋体" w:cs="宋体"/>
                <w:b/>
                <w:bCs/>
                <w:kern w:val="0"/>
                <w:sz w:val="24"/>
              </w:rPr>
              <w:t>评分标准</w:t>
            </w:r>
          </w:p>
        </w:tc>
        <w:tc>
          <w:tcPr>
            <w:tcW w:w="758" w:type="dxa"/>
            <w:tcBorders>
              <w:top w:val="single" w:color="auto" w:sz="4" w:space="0"/>
              <w:bottom w:val="single" w:color="auto" w:sz="4" w:space="0"/>
              <w:right w:val="single" w:color="auto" w:sz="4" w:space="0"/>
            </w:tcBorders>
            <w:noWrap/>
            <w:vAlign w:val="center"/>
          </w:tcPr>
          <w:p>
            <w:pPr>
              <w:widowControl/>
              <w:ind w:left="-105" w:leftChars="-50" w:right="-105" w:rightChars="-50"/>
              <w:jc w:val="center"/>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1041" w:type="dxa"/>
            <w:vMerge w:val="restart"/>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决策</w:t>
            </w:r>
          </w:p>
          <w:p>
            <w:pPr>
              <w:widowControl/>
              <w:ind w:left="-105" w:leftChars="-50" w:right="-105" w:rightChars="-50"/>
              <w:jc w:val="center"/>
              <w:rPr>
                <w:rFonts w:hint="eastAsia" w:ascii="宋体" w:hAnsi="宋体" w:cs="宋体"/>
                <w:b/>
                <w:bCs/>
                <w:kern w:val="0"/>
                <w:sz w:val="24"/>
                <w:lang w:val="en-US" w:eastAsia="zh-CN"/>
              </w:rPr>
            </w:pPr>
            <w:r>
              <w:rPr>
                <w:rFonts w:hint="eastAsia" w:ascii="宋体" w:hAnsi="宋体" w:cs="宋体"/>
                <w:b/>
                <w:bCs/>
                <w:kern w:val="0"/>
                <w:sz w:val="21"/>
                <w:szCs w:val="21"/>
                <w:lang w:val="en-US" w:eastAsia="zh-CN"/>
              </w:rPr>
              <w:t>（15分）</w:t>
            </w:r>
          </w:p>
        </w:tc>
        <w:tc>
          <w:tcPr>
            <w:tcW w:w="1059"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项目立项</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（6分）</w:t>
            </w: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立项依据充分性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（3分）</w:t>
            </w:r>
          </w:p>
        </w:tc>
        <w:tc>
          <w:tcPr>
            <w:tcW w:w="5300" w:type="dxa"/>
            <w:tcBorders>
              <w:top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jc w:val="both"/>
              <w:rPr>
                <w:rFonts w:hint="eastAsia" w:ascii="宋体" w:hAnsi="宋体" w:eastAsia="宋体" w:cs="宋体"/>
                <w:b w:val="0"/>
                <w:bCs w:val="0"/>
                <w:kern w:val="0"/>
                <w:sz w:val="21"/>
                <w:szCs w:val="21"/>
              </w:rPr>
            </w:pPr>
            <w:r>
              <w:rPr>
                <w:rFonts w:hint="eastAsia" w:ascii="宋体" w:hAnsi="宋体" w:eastAsia="宋体" w:cs="宋体"/>
                <w:color w:val="000000"/>
                <w:kern w:val="0"/>
                <w:sz w:val="21"/>
                <w:szCs w:val="21"/>
                <w:lang w:val="en-US" w:eastAsia="zh-CN" w:bidi="ar"/>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一项不符合扣1分，扣完为止。</w:t>
            </w:r>
          </w:p>
        </w:tc>
        <w:tc>
          <w:tcPr>
            <w:tcW w:w="758" w:type="dxa"/>
            <w:tcBorders>
              <w:top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jc w:val="center"/>
              <w:rPr>
                <w:rFonts w:hint="default"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41"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59" w:type="dxa"/>
            <w:vMerge w:val="continue"/>
            <w:tcBorders>
              <w:top w:val="single" w:color="auto" w:sz="4" w:space="0"/>
              <w:bottom w:val="single" w:color="auto" w:sz="4" w:space="0"/>
            </w:tcBorders>
            <w:noWrap/>
            <w:vAlign w:val="center"/>
          </w:tcPr>
          <w:p>
            <w:pPr>
              <w:widowControl/>
              <w:ind w:left="-105" w:leftChars="-50" w:right="-105" w:rightChars="-50"/>
              <w:jc w:val="center"/>
            </w:pP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立项程序规范性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（3分）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①项目是否按照规定的程序申请设立；②审批文件、材料是否符合相关要求；③事前是否</w:t>
            </w:r>
            <w:r>
              <w:rPr>
                <w:rFonts w:hint="eastAsia" w:ascii="宋体" w:hAnsi="宋体" w:cs="宋体"/>
                <w:b w:val="0"/>
                <w:bCs w:val="0"/>
                <w:kern w:val="0"/>
                <w:sz w:val="21"/>
                <w:szCs w:val="21"/>
                <w:lang w:val="en-US" w:eastAsia="zh-CN"/>
              </w:rPr>
              <w:t>已经</w:t>
            </w:r>
            <w:r>
              <w:rPr>
                <w:rFonts w:hint="eastAsia" w:ascii="宋体" w:hAnsi="宋体" w:eastAsia="宋体" w:cs="宋体"/>
                <w:b w:val="0"/>
                <w:bCs w:val="0"/>
                <w:kern w:val="0"/>
                <w:sz w:val="21"/>
                <w:szCs w:val="21"/>
                <w:lang w:val="en-US" w:eastAsia="zh-CN"/>
              </w:rPr>
              <w:t>过必要的论证</w:t>
            </w:r>
            <w:r>
              <w:rPr>
                <w:rFonts w:hint="eastAsia" w:ascii="宋体" w:hAnsi="宋体" w:cs="宋体"/>
                <w:b w:val="0"/>
                <w:bCs w:val="0"/>
                <w:kern w:val="0"/>
                <w:sz w:val="21"/>
                <w:szCs w:val="21"/>
                <w:lang w:val="en-US" w:eastAsia="zh-CN"/>
              </w:rPr>
              <w:t>或</w:t>
            </w:r>
            <w:r>
              <w:rPr>
                <w:rFonts w:hint="eastAsia" w:ascii="宋体" w:hAnsi="宋体" w:eastAsia="宋体" w:cs="宋体"/>
                <w:b w:val="0"/>
                <w:bCs w:val="0"/>
                <w:kern w:val="0"/>
                <w:sz w:val="21"/>
                <w:szCs w:val="21"/>
                <w:lang w:val="en-US" w:eastAsia="zh-CN"/>
              </w:rPr>
              <w:t>集体决策。</w:t>
            </w:r>
            <w:r>
              <w:rPr>
                <w:rFonts w:hint="eastAsia" w:ascii="宋体" w:hAnsi="宋体" w:eastAsia="宋体" w:cs="宋体"/>
                <w:color w:val="000000"/>
                <w:kern w:val="0"/>
                <w:sz w:val="21"/>
                <w:szCs w:val="21"/>
                <w:lang w:val="en-US" w:eastAsia="zh-CN" w:bidi="ar"/>
              </w:rPr>
              <w:t>一项不符合扣1分，严重的此项完全不得分。</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041"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59"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绩效目标</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（5分）</w:t>
            </w: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绩效目标合理性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（3分）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①项目是否有绩效目标；②项目绩效目标与实际工作内容是否具有相关性；③项目预期产出效益和效果是否符合正常的业绩水平；④是否与预算确定的项目投资额或资金量相匹配。</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w:t>
            </w:r>
            <w:r>
              <w:rPr>
                <w:rFonts w:hint="eastAsia" w:ascii="宋体" w:hAnsi="宋体" w:cs="宋体"/>
                <w:color w:val="000000"/>
                <w:kern w:val="0"/>
                <w:sz w:val="21"/>
                <w:szCs w:val="21"/>
                <w:lang w:val="en-US" w:eastAsia="zh-CN" w:bidi="ar"/>
              </w:rPr>
              <w:t>扣完为止</w:t>
            </w:r>
            <w:r>
              <w:rPr>
                <w:rFonts w:hint="eastAsia" w:ascii="宋体" w:hAnsi="宋体" w:eastAsia="宋体" w:cs="宋体"/>
                <w:color w:val="000000"/>
                <w:kern w:val="0"/>
                <w:sz w:val="21"/>
                <w:szCs w:val="21"/>
                <w:lang w:val="en-US" w:eastAsia="zh-CN" w:bidi="ar"/>
              </w:rPr>
              <w:t>。</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41"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59" w:type="dxa"/>
            <w:vMerge w:val="continue"/>
            <w:tcBorders>
              <w:top w:val="single" w:color="auto" w:sz="4" w:space="0"/>
              <w:bottom w:val="single" w:color="auto" w:sz="4" w:space="0"/>
            </w:tcBorders>
            <w:noWrap/>
            <w:vAlign w:val="center"/>
          </w:tcPr>
          <w:p>
            <w:pPr>
              <w:widowControl/>
              <w:ind w:left="-105" w:leftChars="-50" w:right="-105" w:rightChars="-50"/>
              <w:jc w:val="center"/>
            </w:pP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绩效指标明确性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①是否将项目绩效目标细化分解为具体的绩效指标；②是否通过清晰、可衡量的指标值予以体现；③是否与项目目标任务数或计划数相对</w:t>
            </w:r>
            <w:r>
              <w:rPr>
                <w:rFonts w:hint="eastAsia" w:ascii="宋体" w:hAnsi="宋体" w:cs="宋体"/>
                <w:b w:val="0"/>
                <w:bCs w:val="0"/>
                <w:kern w:val="0"/>
                <w:sz w:val="21"/>
                <w:szCs w:val="21"/>
                <w:lang w:val="en-US" w:eastAsia="zh-CN"/>
              </w:rPr>
              <w:t>应。</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w:t>
            </w:r>
            <w:r>
              <w:rPr>
                <w:rFonts w:hint="eastAsia" w:ascii="宋体" w:hAnsi="宋体" w:cs="宋体"/>
                <w:color w:val="000000"/>
                <w:kern w:val="0"/>
                <w:sz w:val="21"/>
                <w:szCs w:val="21"/>
                <w:lang w:val="en-US" w:eastAsia="zh-CN" w:bidi="ar"/>
              </w:rPr>
              <w:t>扣完为止</w:t>
            </w:r>
            <w:r>
              <w:rPr>
                <w:rFonts w:hint="eastAsia" w:ascii="宋体" w:hAnsi="宋体" w:eastAsia="宋体" w:cs="宋体"/>
                <w:color w:val="000000"/>
                <w:kern w:val="0"/>
                <w:sz w:val="21"/>
                <w:szCs w:val="21"/>
                <w:lang w:val="en-US" w:eastAsia="zh-CN" w:bidi="ar"/>
              </w:rPr>
              <w:t>。</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041"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bCs/>
                <w:kern w:val="0"/>
                <w:sz w:val="24"/>
              </w:rPr>
            </w:pPr>
          </w:p>
        </w:tc>
        <w:tc>
          <w:tcPr>
            <w:tcW w:w="1059"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资金投入</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（4分）</w:t>
            </w:r>
          </w:p>
        </w:tc>
        <w:tc>
          <w:tcPr>
            <w:tcW w:w="1750" w:type="dxa"/>
            <w:tcBorders>
              <w:top w:val="single" w:color="auto" w:sz="4" w:space="0"/>
              <w:bottom w:val="single" w:color="auto" w:sz="4" w:space="0"/>
            </w:tcBorders>
            <w:noWrap/>
            <w:vAlign w:val="center"/>
          </w:tcPr>
          <w:p>
            <w:pPr>
              <w:widowControl/>
              <w:ind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预算编制科学性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①预算编制是否经过科学论证；②预算内容与项目内容是否匹配；③预算额度测算依据是否充分，是否按照标准编制；④预算确定的项目投资额或资金量是否与工作任务相匹配。</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0.5</w:t>
            </w:r>
            <w:r>
              <w:rPr>
                <w:rFonts w:hint="eastAsia" w:ascii="宋体" w:hAnsi="宋体" w:eastAsia="宋体" w:cs="宋体"/>
                <w:color w:val="000000"/>
                <w:kern w:val="0"/>
                <w:sz w:val="21"/>
                <w:szCs w:val="21"/>
                <w:lang w:val="en-US" w:eastAsia="zh-CN" w:bidi="ar"/>
              </w:rPr>
              <w:t>分，严重的此项完全不得分。</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41"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59" w:type="dxa"/>
            <w:vMerge w:val="continue"/>
            <w:tcBorders>
              <w:top w:val="single" w:color="auto" w:sz="4" w:space="0"/>
              <w:bottom w:val="single" w:color="auto" w:sz="4" w:space="0"/>
            </w:tcBorders>
            <w:noWrap/>
            <w:vAlign w:val="center"/>
          </w:tcPr>
          <w:p>
            <w:pPr>
              <w:widowControl/>
              <w:ind w:left="-105" w:leftChars="-50" w:right="-105" w:rightChars="-50"/>
              <w:jc w:val="center"/>
            </w:pP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资金分配合理性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①预算资金分配依据是否充分；②资金分配额度是否合理，与项目单位或地方实际是否相适应。</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分，严重的此项完全不得分。</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041" w:type="dxa"/>
            <w:vMerge w:val="restart"/>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cs="宋体"/>
                <w:b/>
                <w:bCs/>
                <w:i w:val="0"/>
                <w:iCs w:val="0"/>
                <w:kern w:val="0"/>
                <w:sz w:val="21"/>
                <w:szCs w:val="21"/>
                <w:lang w:val="en-US" w:eastAsia="zh-CN"/>
              </w:rPr>
            </w:pPr>
            <w:r>
              <w:rPr>
                <w:rFonts w:hint="eastAsia" w:ascii="宋体" w:hAnsi="宋体" w:cs="宋体"/>
                <w:b/>
                <w:bCs/>
                <w:i w:val="0"/>
                <w:iCs w:val="0"/>
                <w:kern w:val="0"/>
                <w:sz w:val="21"/>
                <w:szCs w:val="21"/>
                <w:lang w:val="en-US" w:eastAsia="zh-CN"/>
              </w:rPr>
              <w:t>过程</w:t>
            </w:r>
          </w:p>
          <w:p>
            <w:pPr>
              <w:widowControl/>
              <w:ind w:left="-105" w:leftChars="-50" w:right="-105" w:rightChars="-50"/>
              <w:jc w:val="center"/>
              <w:rPr>
                <w:rFonts w:hint="eastAsia" w:ascii="宋体" w:hAnsi="宋体" w:cs="宋体"/>
                <w:b/>
                <w:bCs/>
                <w:kern w:val="0"/>
                <w:sz w:val="21"/>
                <w:szCs w:val="21"/>
                <w:lang w:val="en-US" w:eastAsia="zh-CN"/>
              </w:rPr>
            </w:pPr>
            <w:r>
              <w:rPr>
                <w:rFonts w:hint="eastAsia" w:ascii="宋体" w:hAnsi="宋体" w:cs="宋体"/>
                <w:b/>
                <w:bCs/>
                <w:i w:val="0"/>
                <w:iCs w:val="0"/>
                <w:kern w:val="0"/>
                <w:sz w:val="21"/>
                <w:szCs w:val="21"/>
                <w:lang w:val="en-US" w:eastAsia="zh-CN"/>
              </w:rPr>
              <w:t>（15分）</w:t>
            </w:r>
          </w:p>
        </w:tc>
        <w:tc>
          <w:tcPr>
            <w:tcW w:w="1059"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资金管理</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（10分）</w:t>
            </w: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资金到位率</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（4分）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资金到位率=（实际到位资金/预算资金）×100%</w:t>
            </w:r>
            <w:r>
              <w:rPr>
                <w:rFonts w:hint="eastAsia" w:ascii="宋体" w:hAnsi="宋体" w:cs="宋体"/>
                <w:b w:val="0"/>
                <w:bCs w:val="0"/>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实际到位资金：一定时期（本年度或项目期）内落实到具体项目的资金</w:t>
            </w:r>
            <w:r>
              <w:rPr>
                <w:rFonts w:hint="eastAsia" w:ascii="宋体" w:hAnsi="宋体" w:cs="宋体"/>
                <w:b w:val="0"/>
                <w:bCs w:val="0"/>
                <w:kern w:val="0"/>
                <w:sz w:val="21"/>
                <w:szCs w:val="21"/>
                <w:lang w:val="en-US" w:eastAsia="zh-CN"/>
              </w:rPr>
              <w:t>。</w:t>
            </w:r>
            <w:r>
              <w:rPr>
                <w:rFonts w:hint="eastAsia" w:ascii="宋体" w:hAnsi="宋体" w:eastAsia="宋体" w:cs="宋体"/>
                <w:b w:val="0"/>
                <w:bCs w:val="0"/>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预算资金：一定时期（本年度或项目期）内预算安排到具体项目的资金</w:t>
            </w:r>
            <w:r>
              <w:rPr>
                <w:rFonts w:hint="eastAsia" w:ascii="宋体" w:hAnsi="宋体" w:cs="宋体"/>
                <w:b w:val="0"/>
                <w:bCs w:val="0"/>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资金到位率=100%，得4分，每降低5个百分点扣1分，扣完为止。</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041"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pPr>
          </w:p>
        </w:tc>
        <w:tc>
          <w:tcPr>
            <w:tcW w:w="1059" w:type="dxa"/>
            <w:vMerge w:val="continue"/>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预算执行率</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（4分）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kern w:val="0"/>
                <w:szCs w:val="21"/>
              </w:rPr>
            </w:pPr>
            <w:r>
              <w:rPr>
                <w:rFonts w:hint="eastAsia" w:ascii="宋体" w:hAnsi="宋体" w:eastAsia="宋体" w:cs="宋体"/>
                <w:kern w:val="0"/>
                <w:szCs w:val="21"/>
                <w:lang w:val="en-US" w:eastAsia="zh-CN"/>
              </w:rPr>
              <w:t>预算执行率=（实际支出资金/实际到位资金）</w:t>
            </w:r>
            <w:r>
              <w:rPr>
                <w:rFonts w:hint="eastAsia" w:ascii="宋体" w:hAnsi="宋体" w:eastAsia="宋体" w:cs="宋体"/>
                <w:b w:val="0"/>
                <w:bCs w:val="0"/>
                <w:kern w:val="0"/>
                <w:sz w:val="21"/>
                <w:szCs w:val="21"/>
                <w:lang w:val="en-US" w:eastAsia="zh-CN"/>
              </w:rPr>
              <w:t>×</w:t>
            </w:r>
            <w:r>
              <w:rPr>
                <w:rFonts w:hint="eastAsia" w:ascii="宋体" w:hAnsi="宋体" w:eastAsia="宋体" w:cs="宋体"/>
                <w:kern w:val="0"/>
                <w:szCs w:val="21"/>
                <w:lang w:val="en-US" w:eastAsia="zh-CN"/>
              </w:rPr>
              <w:t>100%</w:t>
            </w:r>
            <w:r>
              <w:rPr>
                <w:rFonts w:hint="eastAsia" w:ascii="宋体" w:hAnsi="宋体" w:cs="宋体"/>
                <w:kern w:val="0"/>
                <w:szCs w:val="21"/>
                <w:lang w:val="en-US" w:eastAsia="zh-CN"/>
              </w:rPr>
              <w:t>。</w:t>
            </w:r>
            <w:r>
              <w:rPr>
                <w:rFonts w:hint="eastAsia" w:ascii="宋体" w:hAnsi="宋体" w:eastAsia="宋体" w:cs="宋体"/>
                <w:kern w:val="0"/>
                <w:szCs w:val="21"/>
                <w:lang w:val="en-US" w:eastAsia="zh-CN"/>
              </w:rPr>
              <w:t xml:space="preserve"> </w:t>
            </w:r>
          </w:p>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kern w:val="0"/>
                <w:szCs w:val="21"/>
              </w:rPr>
            </w:pPr>
            <w:r>
              <w:rPr>
                <w:rFonts w:hint="eastAsia" w:ascii="宋体" w:hAnsi="宋体" w:eastAsia="宋体" w:cs="宋体"/>
                <w:kern w:val="0"/>
                <w:szCs w:val="21"/>
                <w:lang w:val="en-US" w:eastAsia="zh-CN"/>
              </w:rPr>
              <w:t>实际支出资金：一定时期（本年度或项目期）内项目实际拨付的资金</w:t>
            </w:r>
            <w:r>
              <w:rPr>
                <w:rFonts w:hint="eastAsia" w:ascii="宋体" w:hAnsi="宋体" w:cs="宋体"/>
                <w:kern w:val="0"/>
                <w:szCs w:val="21"/>
                <w:lang w:val="en-US" w:eastAsia="zh-CN"/>
              </w:rPr>
              <w:t>。</w:t>
            </w:r>
          </w:p>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kern w:val="0"/>
                <w:szCs w:val="21"/>
              </w:rPr>
              <w:t>得分=预算执行率×</w:t>
            </w:r>
            <w:r>
              <w:rPr>
                <w:rFonts w:hint="eastAsia" w:ascii="宋体" w:hAnsi="宋体" w:cs="宋体"/>
                <w:kern w:val="0"/>
                <w:szCs w:val="21"/>
                <w:lang w:val="en-US" w:eastAsia="zh-CN"/>
              </w:rPr>
              <w:t>4</w:t>
            </w:r>
            <w:r>
              <w:rPr>
                <w:rFonts w:hint="eastAsia" w:ascii="宋体" w:hAnsi="宋体" w:eastAsia="宋体" w:cs="宋体"/>
                <w:kern w:val="0"/>
                <w:szCs w:val="21"/>
              </w:rPr>
              <w:t>。</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3.88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041"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1059" w:type="dxa"/>
            <w:vMerge w:val="continue"/>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资金使用合规性</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r>
              <w:rPr>
                <w:rFonts w:hint="eastAsia" w:ascii="宋体" w:hAnsi="宋体" w:eastAsia="宋体" w:cs="宋体"/>
                <w:color w:val="000000"/>
                <w:kern w:val="0"/>
                <w:sz w:val="21"/>
                <w:szCs w:val="21"/>
                <w:lang w:val="en-US" w:eastAsia="zh-CN" w:bidi="ar"/>
              </w:rPr>
              <w:t>一项不符合扣</w:t>
            </w:r>
            <w:r>
              <w:rPr>
                <w:rFonts w:hint="eastAsia" w:ascii="宋体" w:hAnsi="宋体" w:cs="宋体"/>
                <w:color w:val="000000"/>
                <w:kern w:val="0"/>
                <w:sz w:val="21"/>
                <w:szCs w:val="21"/>
                <w:lang w:val="en-US" w:eastAsia="zh-CN" w:bidi="ar"/>
              </w:rPr>
              <w:t>0.5</w:t>
            </w:r>
            <w:r>
              <w:rPr>
                <w:rFonts w:hint="eastAsia" w:ascii="宋体" w:hAnsi="宋体" w:eastAsia="宋体" w:cs="宋体"/>
                <w:color w:val="000000"/>
                <w:kern w:val="0"/>
                <w:sz w:val="21"/>
                <w:szCs w:val="21"/>
                <w:lang w:val="en-US" w:eastAsia="zh-CN" w:bidi="ar"/>
              </w:rPr>
              <w:t>分，严重的此项完全不得分。</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041"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1059" w:type="dxa"/>
            <w:vMerge w:val="restart"/>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组织实施</w:t>
            </w:r>
          </w:p>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（5分）</w:t>
            </w: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管理制度健全性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①是否己制定或具有相应的财务和业务管理制度；②财务和业务管理制度是否合法、合规、完整。</w:t>
            </w:r>
            <w:r>
              <w:rPr>
                <w:rFonts w:hint="eastAsia" w:ascii="宋体" w:hAnsi="宋体" w:cs="宋体"/>
                <w:b w:val="0"/>
                <w:bCs w:val="0"/>
                <w:kern w:val="0"/>
                <w:sz w:val="21"/>
                <w:szCs w:val="21"/>
                <w:lang w:val="en-US" w:eastAsia="zh-CN"/>
              </w:rPr>
              <w:t>两项都</w:t>
            </w:r>
            <w:r>
              <w:rPr>
                <w:rFonts w:hint="eastAsia" w:ascii="宋体" w:hAnsi="宋体" w:eastAsia="宋体" w:cs="宋体"/>
                <w:color w:val="000000"/>
                <w:kern w:val="0"/>
                <w:sz w:val="21"/>
                <w:szCs w:val="21"/>
                <w:lang w:val="en-US" w:eastAsia="zh-CN" w:bidi="ar"/>
              </w:rPr>
              <w:t>符合</w:t>
            </w:r>
            <w:r>
              <w:rPr>
                <w:rFonts w:hint="eastAsia" w:ascii="宋体" w:hAnsi="宋体" w:cs="宋体"/>
                <w:color w:val="000000"/>
                <w:kern w:val="0"/>
                <w:sz w:val="21"/>
                <w:szCs w:val="21"/>
                <w:lang w:val="en-US" w:eastAsia="zh-CN" w:bidi="ar"/>
              </w:rPr>
              <w:t>，得2分，若有部分不符合，酌情扣分，</w:t>
            </w:r>
            <w:r>
              <w:rPr>
                <w:rFonts w:hint="eastAsia" w:ascii="宋体" w:hAnsi="宋体" w:eastAsia="宋体" w:cs="宋体"/>
                <w:color w:val="000000"/>
                <w:kern w:val="0"/>
                <w:sz w:val="21"/>
                <w:szCs w:val="21"/>
                <w:lang w:val="en-US" w:eastAsia="zh-CN" w:bidi="ar"/>
              </w:rPr>
              <w:t>严重的此项完全不得分。</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041" w:type="dxa"/>
            <w:vMerge w:val="continue"/>
            <w:tcBorders>
              <w:top w:val="single" w:color="auto" w:sz="4" w:space="0"/>
              <w:left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1059" w:type="dxa"/>
            <w:vMerge w:val="continue"/>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eastAsia="宋体" w:cs="宋体"/>
                <w:b w:val="0"/>
                <w:bCs w:val="0"/>
                <w:kern w:val="0"/>
                <w:sz w:val="21"/>
                <w:szCs w:val="21"/>
              </w:rPr>
            </w:pPr>
          </w:p>
        </w:tc>
        <w:tc>
          <w:tcPr>
            <w:tcW w:w="1750" w:type="dxa"/>
            <w:tcBorders>
              <w:top w:val="single" w:color="auto" w:sz="4" w:space="0"/>
              <w:bottom w:val="single" w:color="auto" w:sz="4" w:space="0"/>
            </w:tcBorders>
            <w:noWrap/>
            <w:vAlign w:val="center"/>
          </w:tcPr>
          <w:p>
            <w:pPr>
              <w:widowControl/>
              <w:ind w:left="-105" w:leftChars="-50" w:right="-105" w:rightChars="-50"/>
              <w:jc w:val="cente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制度执行有效性</w:t>
            </w:r>
          </w:p>
          <w:p>
            <w:pPr>
              <w:widowControl/>
              <w:ind w:left="-105" w:leftChars="-50" w:right="-105" w:rightChars="-50"/>
              <w:jc w:val="center"/>
              <w:rPr>
                <w:rFonts w:hint="default"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（3分）</w:t>
            </w:r>
          </w:p>
        </w:tc>
        <w:tc>
          <w:tcPr>
            <w:tcW w:w="5300"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en-US" w:eastAsia="zh-CN"/>
              </w:rPr>
              <w:t>①是否遵守相关法律法规和相关管理规定；②项目调整及支出调整手续是否完备；③项目合同书、验收报告、技术鉴定等资料是否齐全并及时归档；④项目实施的人员条件、场地设备、信息支撑等是否落实到位。</w:t>
            </w:r>
            <w:r>
              <w:rPr>
                <w:rFonts w:hint="eastAsia" w:ascii="宋体" w:hAnsi="宋体" w:eastAsia="宋体" w:cs="宋体"/>
                <w:color w:val="000000"/>
                <w:kern w:val="0"/>
                <w:sz w:val="21"/>
                <w:szCs w:val="21"/>
                <w:lang w:val="en-US" w:eastAsia="zh-CN" w:bidi="ar"/>
              </w:rPr>
              <w:t>一项不符合扣1分，扣完为止。</w:t>
            </w:r>
          </w:p>
        </w:tc>
        <w:tc>
          <w:tcPr>
            <w:tcW w:w="758" w:type="dxa"/>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ind w:left="0" w:leftChars="0" w:right="0" w:rightChars="0"/>
              <w:jc w:val="center"/>
              <w:textAlignment w:val="auto"/>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041" w:type="dxa"/>
            <w:vMerge w:val="restart"/>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产出</w:t>
            </w:r>
          </w:p>
          <w:p>
            <w:pPr>
              <w:widowControl/>
              <w:jc w:val="center"/>
              <w:rPr>
                <w:rFonts w:hint="eastAsia" w:ascii="宋体" w:hAnsi="宋体" w:eastAsia="宋体" w:cs="宋体"/>
                <w:b/>
                <w:bCs/>
                <w:kern w:val="0"/>
                <w:szCs w:val="21"/>
              </w:rPr>
            </w:pPr>
            <w:r>
              <w:rPr>
                <w:rFonts w:hint="eastAsia" w:ascii="宋体" w:hAnsi="宋体" w:cs="宋体"/>
                <w:b/>
                <w:bCs/>
                <w:kern w:val="0"/>
                <w:szCs w:val="21"/>
                <w:lang w:val="en-US" w:eastAsia="zh-CN"/>
              </w:rPr>
              <w:t>（40</w:t>
            </w:r>
            <w:r>
              <w:rPr>
                <w:rFonts w:hint="eastAsia" w:ascii="宋体" w:hAnsi="宋体" w:eastAsia="宋体" w:cs="宋体"/>
                <w:b/>
                <w:bCs/>
                <w:kern w:val="0"/>
                <w:szCs w:val="21"/>
              </w:rPr>
              <w:t>分）</w:t>
            </w:r>
          </w:p>
        </w:tc>
        <w:tc>
          <w:tcPr>
            <w:tcW w:w="1059" w:type="dxa"/>
            <w:vMerge w:val="restart"/>
            <w:tcBorders>
              <w:top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产出数量</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20</w:t>
            </w:r>
            <w:r>
              <w:rPr>
                <w:rFonts w:hint="eastAsia" w:ascii="宋体" w:hAnsi="宋体" w:eastAsia="宋体" w:cs="宋体"/>
                <w:kern w:val="0"/>
                <w:szCs w:val="21"/>
              </w:rPr>
              <w:t>分）</w:t>
            </w:r>
          </w:p>
        </w:tc>
        <w:tc>
          <w:tcPr>
            <w:tcW w:w="1750" w:type="dxa"/>
            <w:tcBorders>
              <w:top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园区入驻率</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cs="宋体"/>
                <w:kern w:val="0"/>
                <w:szCs w:val="21"/>
                <w:lang w:val="en-US" w:eastAsia="zh-CN"/>
              </w:rPr>
            </w:pPr>
            <w:r>
              <w:rPr>
                <w:rFonts w:hint="eastAsia" w:ascii="宋体" w:hAnsi="宋体" w:eastAsia="宋体" w:cs="宋体"/>
                <w:b w:val="0"/>
                <w:bCs w:val="0"/>
                <w:kern w:val="0"/>
                <w:sz w:val="21"/>
                <w:szCs w:val="21"/>
                <w:lang w:val="en-US" w:eastAsia="zh-CN"/>
              </w:rPr>
              <w:t>①</w:t>
            </w:r>
            <w:r>
              <w:rPr>
                <w:rFonts w:hint="eastAsia" w:ascii="宋体" w:hAnsi="宋体" w:cs="宋体"/>
                <w:kern w:val="0"/>
                <w:szCs w:val="21"/>
                <w:lang w:val="en-US" w:eastAsia="zh-CN"/>
              </w:rPr>
              <w:t>华创园入驻率</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90%，得2分，每降低5个百分点扣1分，扣完为止。</w:t>
            </w:r>
          </w:p>
          <w:p>
            <w:pPr>
              <w:widowControl/>
              <w:jc w:val="both"/>
              <w:rPr>
                <w:rFonts w:hint="eastAsia" w:ascii="宋体" w:hAnsi="宋体" w:eastAsia="宋体" w:cs="宋体"/>
                <w:kern w:val="0"/>
                <w:szCs w:val="21"/>
              </w:rPr>
            </w:pPr>
            <w:r>
              <w:rPr>
                <w:rFonts w:hint="eastAsia" w:ascii="宋体" w:hAnsi="宋体" w:eastAsia="宋体" w:cs="宋体"/>
                <w:b w:val="0"/>
                <w:bCs w:val="0"/>
                <w:kern w:val="0"/>
                <w:sz w:val="21"/>
                <w:szCs w:val="21"/>
                <w:lang w:val="en-US" w:eastAsia="zh-CN"/>
              </w:rPr>
              <w:t>②</w:t>
            </w:r>
            <w:r>
              <w:rPr>
                <w:rFonts w:hint="eastAsia" w:ascii="宋体" w:hAnsi="宋体" w:cs="宋体"/>
                <w:kern w:val="0"/>
                <w:szCs w:val="21"/>
                <w:lang w:val="en-US" w:eastAsia="zh-CN"/>
              </w:rPr>
              <w:t>北峰数控园区入驻率以前一年份为标准，超过得2分，持平得1分，降低得0分。</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041" w:type="dxa"/>
            <w:vMerge w:val="continue"/>
            <w:tcBorders>
              <w:left w:val="single" w:color="auto" w:sz="4" w:space="0"/>
              <w:bottom w:val="single" w:color="auto" w:sz="4" w:space="0"/>
            </w:tcBorders>
            <w:noWrap/>
            <w:vAlign w:val="center"/>
          </w:tcPr>
          <w:p>
            <w:pPr>
              <w:widowControl/>
              <w:jc w:val="center"/>
            </w:pPr>
          </w:p>
        </w:tc>
        <w:tc>
          <w:tcPr>
            <w:tcW w:w="1059" w:type="dxa"/>
            <w:vMerge w:val="continue"/>
            <w:noWrap/>
            <w:vAlign w:val="center"/>
          </w:tcPr>
          <w:p>
            <w:pPr>
              <w:widowControl/>
              <w:tabs>
                <w:tab w:val="left" w:pos="240"/>
              </w:tabs>
              <w:jc w:val="center"/>
            </w:pPr>
          </w:p>
        </w:tc>
        <w:tc>
          <w:tcPr>
            <w:tcW w:w="1750"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高新技术企业和科技小巨人领军企业数</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eastAsia="宋体" w:cs="宋体"/>
                <w:kern w:val="0"/>
                <w:szCs w:val="21"/>
                <w:lang w:val="en-US" w:eastAsia="zh-CN"/>
              </w:rPr>
              <w:t>的</w:t>
            </w:r>
            <w:r>
              <w:rPr>
                <w:rFonts w:hint="eastAsia" w:ascii="宋体" w:hAnsi="宋体" w:cs="宋体"/>
                <w:kern w:val="0"/>
                <w:szCs w:val="21"/>
                <w:lang w:val="en-US" w:eastAsia="zh-CN"/>
              </w:rPr>
              <w:t>国家、省级</w:t>
            </w:r>
            <w:r>
              <w:rPr>
                <w:rFonts w:hint="eastAsia" w:ascii="宋体" w:hAnsi="宋体" w:eastAsia="宋体" w:cs="宋体"/>
                <w:kern w:val="0"/>
                <w:szCs w:val="21"/>
                <w:lang w:val="en-US" w:eastAsia="zh-CN"/>
              </w:rPr>
              <w:t>高新技术企业和</w:t>
            </w:r>
            <w:r>
              <w:rPr>
                <w:rFonts w:hint="eastAsia" w:ascii="宋体" w:hAnsi="宋体" w:cs="宋体"/>
                <w:kern w:val="0"/>
                <w:szCs w:val="21"/>
                <w:lang w:val="en-US" w:eastAsia="zh-CN"/>
              </w:rPr>
              <w:t>省级</w:t>
            </w:r>
            <w:r>
              <w:rPr>
                <w:rFonts w:hint="eastAsia" w:ascii="宋体" w:hAnsi="宋体" w:eastAsia="宋体" w:cs="宋体"/>
                <w:kern w:val="0"/>
                <w:szCs w:val="21"/>
                <w:lang w:val="en-US" w:eastAsia="zh-CN"/>
              </w:rPr>
              <w:t>科技小巨人领军企业数</w:t>
            </w:r>
            <w:r>
              <w:rPr>
                <w:rFonts w:hint="eastAsia" w:ascii="宋体" w:hAnsi="宋体" w:cs="宋体"/>
                <w:kern w:val="0"/>
                <w:szCs w:val="21"/>
                <w:lang w:val="en-US" w:eastAsia="zh-CN"/>
              </w:rPr>
              <w:t>为标准，持平或减少得0分，每增加1家得0.1分，最高4分。</w:t>
            </w:r>
          </w:p>
        </w:tc>
        <w:tc>
          <w:tcPr>
            <w:tcW w:w="758" w:type="dxa"/>
            <w:tcBorders>
              <w:top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b/>
                <w:bCs/>
                <w:kern w:val="0"/>
                <w:sz w:val="21"/>
                <w:szCs w:val="21"/>
                <w:lang w:val="en-US" w:eastAsia="zh-CN"/>
              </w:rPr>
            </w:pPr>
            <w:r>
              <w:rPr>
                <w:rFonts w:hint="eastAsia" w:ascii="宋体" w:hAnsi="宋体" w:cs="宋体"/>
                <w:b/>
                <w:bCs/>
                <w:kern w:val="0"/>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041"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szCs w:val="21"/>
              </w:rPr>
            </w:pPr>
          </w:p>
        </w:tc>
        <w:tc>
          <w:tcPr>
            <w:tcW w:w="1059" w:type="dxa"/>
            <w:vMerge w:val="continue"/>
            <w:noWrap/>
            <w:vAlign w:val="center"/>
          </w:tcPr>
          <w:p>
            <w:pPr>
              <w:widowControl/>
              <w:jc w:val="center"/>
              <w:rPr>
                <w:rFonts w:hint="eastAsia" w:ascii="宋体" w:hAnsi="宋体" w:eastAsia="宋体" w:cs="宋体"/>
                <w:szCs w:val="21"/>
              </w:rPr>
            </w:pPr>
          </w:p>
        </w:tc>
        <w:tc>
          <w:tcPr>
            <w:tcW w:w="1750" w:type="dxa"/>
            <w:tcBorders>
              <w:top w:val="single" w:color="auto" w:sz="4" w:space="0"/>
              <w:bottom w:val="single" w:color="auto" w:sz="4" w:space="0"/>
            </w:tcBorders>
            <w:noWrap/>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孵化器和众创空间数</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eastAsia="宋体" w:cs="宋体"/>
                <w:kern w:val="0"/>
                <w:szCs w:val="21"/>
                <w:lang w:val="en-US" w:eastAsia="zh-CN"/>
              </w:rPr>
              <w:t>的</w:t>
            </w:r>
            <w:r>
              <w:rPr>
                <w:rFonts w:hint="eastAsia" w:ascii="宋体" w:hAnsi="宋体" w:cs="宋体"/>
                <w:kern w:val="0"/>
                <w:szCs w:val="21"/>
                <w:lang w:val="en-US" w:eastAsia="zh-CN"/>
              </w:rPr>
              <w:t>国家级、省级、市级科技企业孵化器和众创空间数，以及省级互联网孵化器数为标准，减少或持平得0分，每增加1家得1分，最高4分。</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41"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p>
        </w:tc>
        <w:tc>
          <w:tcPr>
            <w:tcW w:w="1059" w:type="dxa"/>
            <w:vMerge w:val="continue"/>
            <w:noWrap/>
            <w:vAlign w:val="center"/>
          </w:tcPr>
          <w:p>
            <w:pPr>
              <w:widowControl/>
              <w:jc w:val="center"/>
              <w:rPr>
                <w:rFonts w:hint="eastAsia" w:ascii="宋体" w:hAnsi="宋体" w:eastAsia="宋体" w:cs="宋体"/>
                <w:kern w:val="0"/>
                <w:szCs w:val="21"/>
              </w:rPr>
            </w:pPr>
          </w:p>
        </w:tc>
        <w:tc>
          <w:tcPr>
            <w:tcW w:w="1750" w:type="dxa"/>
            <w:tcBorders>
              <w:top w:val="single" w:color="auto" w:sz="4" w:space="0"/>
              <w:bottom w:val="single" w:color="auto" w:sz="4" w:space="0"/>
            </w:tcBorders>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科技创新平台数</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eastAsia="宋体" w:cs="宋体"/>
                <w:kern w:val="0"/>
                <w:szCs w:val="21"/>
                <w:lang w:val="en-US" w:eastAsia="zh-CN"/>
              </w:rPr>
              <w:t>的</w:t>
            </w:r>
            <w:r>
              <w:rPr>
                <w:rFonts w:hint="eastAsia" w:ascii="宋体" w:hAnsi="宋体" w:cs="宋体"/>
                <w:kern w:val="0"/>
                <w:szCs w:val="21"/>
                <w:lang w:val="en-US" w:eastAsia="zh-CN"/>
              </w:rPr>
              <w:t>国家级、省级、市级</w:t>
            </w:r>
            <w:r>
              <w:rPr>
                <w:rFonts w:hint="eastAsia" w:ascii="宋体" w:hAnsi="宋体" w:eastAsia="宋体" w:cs="宋体"/>
                <w:kern w:val="0"/>
                <w:szCs w:val="21"/>
                <w:lang w:val="en-US" w:eastAsia="zh-CN"/>
              </w:rPr>
              <w:t>科技创新平台数</w:t>
            </w:r>
            <w:r>
              <w:rPr>
                <w:rFonts w:hint="eastAsia" w:ascii="宋体" w:hAnsi="宋体" w:cs="宋体"/>
                <w:kern w:val="0"/>
                <w:szCs w:val="21"/>
                <w:lang w:val="en-US" w:eastAsia="zh-CN"/>
              </w:rPr>
              <w:t>为标准，减少或持平得0分，每增加1家得1分，最高3分。</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041"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szCs w:val="21"/>
              </w:rPr>
            </w:pPr>
          </w:p>
        </w:tc>
        <w:tc>
          <w:tcPr>
            <w:tcW w:w="1059" w:type="dxa"/>
            <w:vMerge w:val="continue"/>
            <w:noWrap/>
            <w:vAlign w:val="center"/>
          </w:tcPr>
          <w:p>
            <w:pPr>
              <w:widowControl/>
              <w:jc w:val="center"/>
              <w:rPr>
                <w:rFonts w:hint="eastAsia" w:ascii="宋体" w:hAnsi="宋体" w:eastAsia="宋体" w:cs="宋体"/>
                <w:szCs w:val="21"/>
              </w:rPr>
            </w:pPr>
          </w:p>
        </w:tc>
        <w:tc>
          <w:tcPr>
            <w:tcW w:w="1750" w:type="dxa"/>
            <w:tcBorders>
              <w:top w:val="single" w:color="auto" w:sz="4" w:space="0"/>
              <w:bottom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专利授权数</w:t>
            </w:r>
          </w:p>
          <w:p>
            <w:pPr>
              <w:widowControl/>
              <w:jc w:val="center"/>
              <w:rPr>
                <w:rFonts w:hint="eastAsia" w:ascii="宋体" w:hAnsi="宋体" w:eastAsia="宋体" w:cs="宋体"/>
                <w:kern w:val="0"/>
                <w:szCs w:val="21"/>
              </w:rPr>
            </w:pPr>
            <w:r>
              <w:rPr>
                <w:rFonts w:hint="eastAsia" w:ascii="宋体" w:hAnsi="宋体" w:cs="宋体"/>
                <w:kern w:val="0"/>
                <w:szCs w:val="21"/>
                <w:lang w:val="en-US" w:eastAsia="zh-CN"/>
              </w:rPr>
              <w:t>（3分）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eastAsia="宋体" w:cs="宋体"/>
                <w:kern w:val="0"/>
                <w:szCs w:val="21"/>
                <w:lang w:val="en-US" w:eastAsia="zh-CN"/>
              </w:rPr>
              <w:t>的</w:t>
            </w:r>
            <w:r>
              <w:rPr>
                <w:rFonts w:hint="eastAsia" w:ascii="宋体" w:hAnsi="宋体" w:cs="宋体"/>
                <w:kern w:val="0"/>
                <w:szCs w:val="21"/>
                <w:lang w:val="en-US" w:eastAsia="zh-CN"/>
              </w:rPr>
              <w:t>专利授权数为标准，持平或减少得0分，每增加5%得1分，最高3分</w:t>
            </w:r>
            <w:r>
              <w:rPr>
                <w:rFonts w:hint="eastAsia" w:ascii="宋体" w:hAnsi="宋体" w:eastAsia="宋体" w:cs="宋体"/>
                <w:kern w:val="0"/>
                <w:szCs w:val="21"/>
              </w:rPr>
              <w:t>。</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41" w:type="dxa"/>
            <w:vMerge w:val="continue"/>
            <w:tcBorders>
              <w:top w:val="single" w:color="auto" w:sz="4" w:space="0"/>
              <w:left w:val="single" w:color="auto" w:sz="4" w:space="0"/>
              <w:bottom w:val="single" w:color="auto" w:sz="4" w:space="0"/>
            </w:tcBorders>
            <w:noWrap/>
            <w:vAlign w:val="center"/>
          </w:tcPr>
          <w:p>
            <w:pPr>
              <w:widowControl/>
              <w:jc w:val="left"/>
              <w:rPr>
                <w:rFonts w:hint="eastAsia" w:ascii="宋体" w:hAnsi="宋体" w:eastAsia="宋体" w:cs="宋体"/>
                <w:b/>
                <w:bCs/>
                <w:kern w:val="0"/>
                <w:szCs w:val="21"/>
              </w:rPr>
            </w:pPr>
          </w:p>
        </w:tc>
        <w:tc>
          <w:tcPr>
            <w:tcW w:w="1059" w:type="dxa"/>
            <w:vMerge w:val="continue"/>
            <w:noWrap/>
            <w:vAlign w:val="center"/>
          </w:tcPr>
          <w:p>
            <w:pPr>
              <w:widowControl/>
              <w:jc w:val="left"/>
              <w:rPr>
                <w:rFonts w:hint="eastAsia" w:ascii="宋体" w:hAnsi="宋体" w:eastAsia="宋体" w:cs="宋体"/>
                <w:kern w:val="0"/>
                <w:szCs w:val="21"/>
              </w:rPr>
            </w:pPr>
          </w:p>
        </w:tc>
        <w:tc>
          <w:tcPr>
            <w:tcW w:w="1750" w:type="dxa"/>
            <w:tcBorders>
              <w:top w:val="single" w:color="auto" w:sz="4" w:space="0"/>
              <w:bottom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泉州南京大学环保产业研究院科技成果</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2</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cs="宋体"/>
                <w:kern w:val="0"/>
                <w:szCs w:val="21"/>
                <w:lang w:val="en-US" w:eastAsia="zh-CN"/>
              </w:rPr>
              <w:t>当年实施1个以上重大科技专项，取得4项以上自主知识产权成果，孵化2家以上科技型企业。达到以上目标</w:t>
            </w:r>
            <w:r>
              <w:rPr>
                <w:rFonts w:hint="eastAsia" w:ascii="宋体" w:hAnsi="宋体" w:eastAsia="宋体" w:cs="宋体"/>
                <w:kern w:val="0"/>
                <w:szCs w:val="21"/>
              </w:rPr>
              <w:t>得</w:t>
            </w:r>
            <w:r>
              <w:rPr>
                <w:rFonts w:hint="eastAsia" w:ascii="宋体" w:hAnsi="宋体" w:cs="宋体"/>
                <w:kern w:val="0"/>
                <w:szCs w:val="21"/>
                <w:lang w:val="en-US" w:eastAsia="zh-CN"/>
              </w:rPr>
              <w:t>2分，没达到酌情扣分，最低0分</w:t>
            </w:r>
            <w:r>
              <w:rPr>
                <w:rFonts w:hint="eastAsia" w:ascii="宋体" w:hAnsi="宋体" w:eastAsia="宋体" w:cs="宋体"/>
                <w:kern w:val="0"/>
                <w:szCs w:val="21"/>
              </w:rPr>
              <w:t>。</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041"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p>
        </w:tc>
        <w:tc>
          <w:tcPr>
            <w:tcW w:w="1059" w:type="dxa"/>
            <w:vMerge w:val="restart"/>
            <w:noWrap/>
            <w:vAlign w:val="center"/>
          </w:tcPr>
          <w:p>
            <w:pPr>
              <w:widowControl/>
              <w:tabs>
                <w:tab w:val="left" w:pos="240"/>
              </w:tabs>
              <w:jc w:val="center"/>
              <w:rPr>
                <w:rFonts w:hint="eastAsia" w:ascii="宋体" w:hAnsi="宋体" w:eastAsia="宋体" w:cs="宋体"/>
                <w:kern w:val="0"/>
                <w:szCs w:val="21"/>
              </w:rPr>
            </w:pPr>
            <w:r>
              <w:rPr>
                <w:rFonts w:hint="eastAsia" w:ascii="宋体" w:hAnsi="宋体" w:eastAsia="宋体" w:cs="宋体"/>
                <w:kern w:val="0"/>
                <w:szCs w:val="21"/>
              </w:rPr>
              <w:t>产出质量</w:t>
            </w:r>
          </w:p>
          <w:p>
            <w:pPr>
              <w:widowControl/>
              <w:tabs>
                <w:tab w:val="left" w:pos="240"/>
              </w:tabs>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10</w:t>
            </w:r>
            <w:r>
              <w:rPr>
                <w:rFonts w:hint="eastAsia" w:ascii="宋体" w:hAnsi="宋体" w:eastAsia="宋体" w:cs="宋体"/>
                <w:kern w:val="0"/>
                <w:szCs w:val="21"/>
              </w:rPr>
              <w:t>分）</w:t>
            </w:r>
          </w:p>
        </w:tc>
        <w:tc>
          <w:tcPr>
            <w:tcW w:w="1750" w:type="dxa"/>
            <w:tcBorders>
              <w:top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区级科技计划项目验收合格率</w:t>
            </w:r>
          </w:p>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cs="宋体"/>
                <w:kern w:val="0"/>
                <w:szCs w:val="21"/>
                <w:lang w:val="en-US" w:eastAsia="zh-CN"/>
              </w:rPr>
              <w:t>区级科技计划项目验收合格率</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95%，得3分，每降低5个百分点扣1分，扣完为止。</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041" w:type="dxa"/>
            <w:vMerge w:val="continue"/>
            <w:tcBorders>
              <w:left w:val="single" w:color="auto" w:sz="4" w:space="0"/>
              <w:bottom w:val="single" w:color="auto" w:sz="4" w:space="0"/>
            </w:tcBorders>
            <w:noWrap/>
            <w:vAlign w:val="center"/>
          </w:tcPr>
          <w:p>
            <w:pPr>
              <w:widowControl/>
              <w:jc w:val="both"/>
            </w:pPr>
          </w:p>
        </w:tc>
        <w:tc>
          <w:tcPr>
            <w:tcW w:w="1059" w:type="dxa"/>
            <w:vMerge w:val="continue"/>
            <w:noWrap/>
            <w:vAlign w:val="center"/>
          </w:tcPr>
          <w:p>
            <w:pPr>
              <w:widowControl/>
              <w:jc w:val="both"/>
            </w:pPr>
          </w:p>
        </w:tc>
        <w:tc>
          <w:tcPr>
            <w:tcW w:w="1750" w:type="dxa"/>
            <w:tcBorders>
              <w:top w:val="single" w:color="auto" w:sz="4" w:space="0"/>
              <w:bottom w:val="single" w:color="auto" w:sz="4" w:space="0"/>
            </w:tcBorders>
            <w:noWrap/>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项目质量合格情况</w:t>
            </w:r>
          </w:p>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（3分）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华创园3个建设项目和公安局1个建设项目都验收合格得3分，一项不合格扣1分，扣完为止。</w:t>
            </w:r>
          </w:p>
        </w:tc>
        <w:tc>
          <w:tcPr>
            <w:tcW w:w="758" w:type="dxa"/>
            <w:tcBorders>
              <w:top w:val="single" w:color="auto" w:sz="4" w:space="0"/>
              <w:bottom w:val="single" w:color="auto" w:sz="4" w:space="0"/>
              <w:right w:val="single" w:color="auto" w:sz="4" w:space="0"/>
            </w:tcBorders>
            <w:noWrap/>
            <w:vAlign w:val="center"/>
          </w:tcPr>
          <w:p>
            <w:pPr>
              <w:widowControl/>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41" w:type="dxa"/>
            <w:vMerge w:val="continue"/>
            <w:tcBorders>
              <w:top w:val="single" w:color="auto" w:sz="4" w:space="0"/>
              <w:left w:val="single" w:color="auto" w:sz="4" w:space="0"/>
              <w:bottom w:val="single" w:color="auto" w:sz="4" w:space="0"/>
            </w:tcBorders>
            <w:noWrap/>
            <w:vAlign w:val="center"/>
          </w:tcPr>
          <w:p>
            <w:pPr>
              <w:widowControl/>
              <w:jc w:val="left"/>
              <w:rPr>
                <w:rFonts w:hint="eastAsia" w:ascii="宋体" w:hAnsi="宋体" w:eastAsia="宋体" w:cs="宋体"/>
                <w:szCs w:val="21"/>
              </w:rPr>
            </w:pPr>
          </w:p>
        </w:tc>
        <w:tc>
          <w:tcPr>
            <w:tcW w:w="1059" w:type="dxa"/>
            <w:vMerge w:val="continue"/>
            <w:noWrap/>
            <w:vAlign w:val="center"/>
          </w:tcPr>
          <w:p>
            <w:pPr>
              <w:widowControl/>
              <w:jc w:val="left"/>
              <w:rPr>
                <w:rFonts w:hint="eastAsia" w:ascii="宋体" w:hAnsi="宋体" w:eastAsia="宋体" w:cs="宋体"/>
                <w:szCs w:val="21"/>
              </w:rPr>
            </w:pPr>
          </w:p>
        </w:tc>
        <w:tc>
          <w:tcPr>
            <w:tcW w:w="1750" w:type="dxa"/>
            <w:tcBorders>
              <w:top w:val="single" w:color="auto" w:sz="4" w:space="0"/>
              <w:bottom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奖励扶持项目合规性</w:t>
            </w:r>
          </w:p>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default" w:ascii="宋体" w:hAnsi="宋体" w:eastAsia="宋体" w:cs="宋体"/>
                <w:kern w:val="0"/>
                <w:szCs w:val="21"/>
                <w:lang w:val="en-US" w:eastAsia="zh-CN"/>
              </w:rPr>
            </w:pPr>
            <w:r>
              <w:rPr>
                <w:rFonts w:hint="eastAsia" w:ascii="宋体" w:hAnsi="宋体" w:cs="宋体"/>
                <w:kern w:val="0"/>
                <w:szCs w:val="21"/>
                <w:lang w:val="en-US" w:eastAsia="zh-CN"/>
              </w:rPr>
              <w:t>奖励扶持项目都合规得4分，一项不合规扣1分，扣完为止。</w:t>
            </w:r>
          </w:p>
        </w:tc>
        <w:tc>
          <w:tcPr>
            <w:tcW w:w="758" w:type="dxa"/>
            <w:tcBorders>
              <w:top w:val="single" w:color="auto" w:sz="4" w:space="0"/>
              <w:bottom w:val="single" w:color="auto" w:sz="4" w:space="0"/>
              <w:right w:val="single" w:color="auto" w:sz="4" w:space="0"/>
            </w:tcBorders>
            <w:noWrap/>
            <w:vAlign w:val="center"/>
          </w:tcPr>
          <w:p>
            <w:pPr>
              <w:widowControl/>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041" w:type="dxa"/>
            <w:vMerge w:val="continue"/>
            <w:tcBorders>
              <w:top w:val="single" w:color="auto" w:sz="4" w:space="0"/>
              <w:left w:val="single" w:color="auto" w:sz="4" w:space="0"/>
              <w:bottom w:val="single" w:color="auto" w:sz="4" w:space="0"/>
            </w:tcBorders>
            <w:noWrap/>
            <w:vAlign w:val="center"/>
          </w:tcPr>
          <w:p>
            <w:pPr>
              <w:widowControl/>
              <w:jc w:val="center"/>
            </w:pPr>
          </w:p>
        </w:tc>
        <w:tc>
          <w:tcPr>
            <w:tcW w:w="1059" w:type="dxa"/>
            <w:vMerge w:val="restart"/>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产出时效</w:t>
            </w:r>
          </w:p>
          <w:p>
            <w:pPr>
              <w:widowControl/>
              <w:jc w:val="center"/>
            </w:pPr>
            <w:r>
              <w:rPr>
                <w:rFonts w:hint="eastAsia" w:ascii="宋体" w:hAnsi="宋体" w:eastAsia="宋体" w:cs="宋体"/>
                <w:kern w:val="0"/>
                <w:szCs w:val="21"/>
              </w:rPr>
              <w:t>（</w:t>
            </w:r>
            <w:r>
              <w:rPr>
                <w:rFonts w:hint="eastAsia" w:ascii="宋体" w:hAnsi="宋体" w:cs="宋体"/>
                <w:kern w:val="0"/>
                <w:szCs w:val="21"/>
                <w:lang w:val="en-US" w:eastAsia="zh-CN"/>
              </w:rPr>
              <w:t>6</w:t>
            </w:r>
            <w:r>
              <w:rPr>
                <w:rFonts w:hint="eastAsia" w:ascii="宋体" w:hAnsi="宋体" w:eastAsia="宋体" w:cs="宋体"/>
                <w:kern w:val="0"/>
                <w:szCs w:val="21"/>
              </w:rPr>
              <w:t>分）</w:t>
            </w:r>
          </w:p>
        </w:tc>
        <w:tc>
          <w:tcPr>
            <w:tcW w:w="1750" w:type="dxa"/>
            <w:tcBorders>
              <w:top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资金拨付</w:t>
            </w:r>
            <w:r>
              <w:rPr>
                <w:rFonts w:hint="eastAsia" w:ascii="宋体" w:hAnsi="宋体" w:eastAsia="宋体" w:cs="宋体"/>
                <w:kern w:val="0"/>
                <w:szCs w:val="21"/>
              </w:rPr>
              <w:t>及时性</w:t>
            </w:r>
          </w:p>
          <w:p>
            <w:pPr>
              <w:widowControl/>
              <w:jc w:val="center"/>
              <w:rPr>
                <w:rFonts w:hint="default" w:ascii="宋体" w:hAnsi="宋体" w:cs="宋体"/>
                <w:kern w:val="0"/>
                <w:szCs w:val="21"/>
                <w:lang w:val="en-US" w:eastAsia="zh-CN"/>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default" w:ascii="宋体" w:hAnsi="宋体" w:eastAsia="宋体" w:cs="宋体"/>
                <w:kern w:val="0"/>
                <w:szCs w:val="21"/>
                <w:lang w:val="en-US" w:eastAsia="zh-CN"/>
              </w:rPr>
            </w:pPr>
            <w:r>
              <w:rPr>
                <w:rFonts w:hint="eastAsia" w:ascii="宋体" w:hAnsi="宋体" w:cs="宋体"/>
                <w:kern w:val="0"/>
                <w:szCs w:val="21"/>
                <w:lang w:val="en-US" w:eastAsia="zh-CN"/>
              </w:rPr>
              <w:t>专项资金均按计划、合同或有关规定及时拨付，得3分；若有延误，酌情扣分，扣完为止。</w:t>
            </w:r>
          </w:p>
        </w:tc>
        <w:tc>
          <w:tcPr>
            <w:tcW w:w="758" w:type="dxa"/>
            <w:tcBorders>
              <w:top w:val="single" w:color="auto" w:sz="4" w:space="0"/>
              <w:bottom w:val="single" w:color="auto" w:sz="4" w:space="0"/>
              <w:right w:val="single" w:color="auto" w:sz="4" w:space="0"/>
            </w:tcBorders>
            <w:noWrap/>
            <w:vAlign w:val="center"/>
          </w:tcPr>
          <w:p>
            <w:pPr>
              <w:widowControl/>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041"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szCs w:val="21"/>
              </w:rPr>
            </w:pPr>
          </w:p>
        </w:tc>
        <w:tc>
          <w:tcPr>
            <w:tcW w:w="1059" w:type="dxa"/>
            <w:vMerge w:val="continue"/>
            <w:noWrap/>
            <w:vAlign w:val="center"/>
          </w:tcPr>
          <w:p>
            <w:pPr>
              <w:widowControl/>
              <w:jc w:val="center"/>
              <w:rPr>
                <w:rFonts w:hint="eastAsia" w:ascii="宋体" w:hAnsi="宋体" w:eastAsia="宋体" w:cs="宋体"/>
                <w:kern w:val="0"/>
                <w:szCs w:val="21"/>
              </w:rPr>
            </w:pPr>
          </w:p>
        </w:tc>
        <w:tc>
          <w:tcPr>
            <w:tcW w:w="1750"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项目开展</w:t>
            </w:r>
            <w:r>
              <w:rPr>
                <w:rFonts w:hint="eastAsia" w:ascii="宋体" w:hAnsi="宋体" w:eastAsia="宋体" w:cs="宋体"/>
                <w:kern w:val="0"/>
                <w:szCs w:val="21"/>
              </w:rPr>
              <w:t>及时性</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default" w:ascii="宋体" w:hAnsi="宋体" w:eastAsia="宋体" w:cs="宋体"/>
                <w:kern w:val="0"/>
                <w:szCs w:val="21"/>
                <w:lang w:val="en-US" w:eastAsia="zh-CN"/>
              </w:rPr>
            </w:pPr>
            <w:r>
              <w:rPr>
                <w:rFonts w:hint="eastAsia" w:ascii="宋体" w:hAnsi="宋体" w:cs="宋体"/>
                <w:kern w:val="0"/>
                <w:szCs w:val="21"/>
                <w:lang w:val="en-US" w:eastAsia="zh-CN"/>
              </w:rPr>
              <w:t>按计划建设项目或开展活动</w:t>
            </w:r>
            <w:r>
              <w:rPr>
                <w:rFonts w:hint="eastAsia" w:ascii="宋体" w:hAnsi="宋体" w:eastAsia="宋体" w:cs="宋体"/>
                <w:kern w:val="0"/>
                <w:szCs w:val="21"/>
              </w:rPr>
              <w:t>，得</w:t>
            </w:r>
            <w:r>
              <w:rPr>
                <w:rFonts w:hint="eastAsia" w:ascii="宋体" w:hAnsi="宋体" w:cs="宋体"/>
                <w:kern w:val="0"/>
                <w:szCs w:val="21"/>
                <w:lang w:val="en-US" w:eastAsia="zh-CN"/>
              </w:rPr>
              <w:t>3</w:t>
            </w:r>
            <w:r>
              <w:rPr>
                <w:rFonts w:hint="eastAsia" w:ascii="宋体" w:hAnsi="宋体" w:eastAsia="宋体" w:cs="宋体"/>
                <w:kern w:val="0"/>
                <w:szCs w:val="21"/>
              </w:rPr>
              <w:t>分；</w:t>
            </w:r>
            <w:r>
              <w:rPr>
                <w:rFonts w:hint="eastAsia" w:ascii="宋体" w:hAnsi="宋体" w:cs="宋体"/>
                <w:kern w:val="0"/>
                <w:szCs w:val="21"/>
                <w:lang w:val="en-US" w:eastAsia="zh-CN"/>
              </w:rPr>
              <w:t>若</w:t>
            </w:r>
            <w:r>
              <w:rPr>
                <w:rFonts w:hint="eastAsia" w:ascii="宋体" w:hAnsi="宋体" w:eastAsia="宋体" w:cs="宋体"/>
                <w:kern w:val="0"/>
                <w:szCs w:val="21"/>
              </w:rPr>
              <w:t>比计划</w:t>
            </w:r>
            <w:r>
              <w:rPr>
                <w:rFonts w:hint="eastAsia" w:ascii="宋体" w:hAnsi="宋体" w:cs="宋体"/>
                <w:kern w:val="0"/>
                <w:szCs w:val="21"/>
                <w:lang w:val="en-US" w:eastAsia="zh-CN"/>
              </w:rPr>
              <w:t>时间晚，酌情扣分</w:t>
            </w:r>
            <w:r>
              <w:rPr>
                <w:rFonts w:hint="eastAsia" w:ascii="宋体" w:hAnsi="宋体" w:eastAsia="宋体" w:cs="宋体"/>
                <w:kern w:val="0"/>
                <w:szCs w:val="21"/>
              </w:rPr>
              <w:t>，扣完为止。</w:t>
            </w:r>
          </w:p>
        </w:tc>
        <w:tc>
          <w:tcPr>
            <w:tcW w:w="758" w:type="dxa"/>
            <w:tcBorders>
              <w:top w:val="single" w:color="auto" w:sz="4" w:space="0"/>
              <w:bottom w:val="single" w:color="auto" w:sz="4" w:space="0"/>
              <w:right w:val="single" w:color="auto" w:sz="4" w:space="0"/>
            </w:tcBorders>
            <w:noWrap/>
            <w:vAlign w:val="center"/>
          </w:tcPr>
          <w:p>
            <w:pPr>
              <w:widowControl/>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41" w:type="dxa"/>
            <w:vMerge w:val="continue"/>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p>
        </w:tc>
        <w:tc>
          <w:tcPr>
            <w:tcW w:w="1059" w:type="dxa"/>
            <w:tcBorders>
              <w:bottom w:val="single" w:color="auto" w:sz="4" w:space="0"/>
            </w:tcBorders>
            <w:noWrap/>
            <w:vAlign w:val="center"/>
          </w:tcPr>
          <w:p>
            <w:pPr>
              <w:widowControl/>
              <w:jc w:val="center"/>
              <w:rPr>
                <w:rFonts w:hint="eastAsia" w:ascii="宋体" w:hAnsi="宋体" w:eastAsia="宋体" w:cs="宋体"/>
                <w:szCs w:val="21"/>
              </w:rPr>
            </w:pPr>
            <w:r>
              <w:rPr>
                <w:rFonts w:hint="eastAsia" w:ascii="宋体" w:hAnsi="宋体" w:eastAsia="宋体" w:cs="宋体"/>
                <w:szCs w:val="21"/>
              </w:rPr>
              <w:t>产出成本</w:t>
            </w:r>
          </w:p>
          <w:p>
            <w:pPr>
              <w:widowControl/>
              <w:jc w:val="center"/>
              <w:rPr>
                <w:rFonts w:hint="eastAsia" w:ascii="宋体" w:hAnsi="宋体" w:eastAsia="宋体" w:cs="宋体"/>
                <w:kern w:val="0"/>
                <w:szCs w:val="21"/>
              </w:rPr>
            </w:pPr>
            <w:r>
              <w:rPr>
                <w:rFonts w:hint="eastAsia" w:ascii="宋体" w:hAnsi="宋体" w:eastAsia="宋体" w:cs="宋体"/>
                <w:szCs w:val="21"/>
              </w:rPr>
              <w:t>（</w:t>
            </w:r>
            <w:r>
              <w:rPr>
                <w:rFonts w:hint="eastAsia" w:ascii="宋体" w:hAnsi="宋体" w:cs="宋体"/>
                <w:szCs w:val="21"/>
                <w:lang w:val="en-US" w:eastAsia="zh-CN"/>
              </w:rPr>
              <w:t>4</w:t>
            </w:r>
            <w:r>
              <w:rPr>
                <w:rFonts w:hint="eastAsia" w:ascii="宋体" w:hAnsi="宋体" w:eastAsia="宋体" w:cs="宋体"/>
                <w:szCs w:val="21"/>
              </w:rPr>
              <w:t>分）</w:t>
            </w:r>
          </w:p>
        </w:tc>
        <w:tc>
          <w:tcPr>
            <w:tcW w:w="1750" w:type="dxa"/>
            <w:tcBorders>
              <w:top w:val="single" w:color="auto" w:sz="4" w:space="0"/>
              <w:bottom w:val="single" w:color="auto" w:sz="4" w:space="0"/>
            </w:tcBorders>
            <w:noWrap/>
            <w:vAlign w:val="center"/>
          </w:tcPr>
          <w:p>
            <w:pPr>
              <w:widowControl/>
              <w:jc w:val="center"/>
              <w:rPr>
                <w:rFonts w:hint="default" w:ascii="宋体" w:hAnsi="宋体" w:eastAsia="宋体" w:cs="宋体"/>
                <w:kern w:val="0"/>
                <w:szCs w:val="21"/>
                <w:lang w:val="en-US"/>
              </w:rPr>
            </w:pPr>
            <w:r>
              <w:rPr>
                <w:rFonts w:hint="eastAsia" w:ascii="宋体" w:hAnsi="宋体" w:eastAsia="宋体" w:cs="宋体"/>
                <w:kern w:val="0"/>
                <w:szCs w:val="21"/>
              </w:rPr>
              <w:t>成本</w:t>
            </w:r>
            <w:r>
              <w:rPr>
                <w:rFonts w:hint="eastAsia" w:ascii="宋体" w:hAnsi="宋体" w:cs="宋体"/>
                <w:kern w:val="0"/>
                <w:szCs w:val="21"/>
                <w:lang w:val="en-US" w:eastAsia="zh-CN"/>
              </w:rPr>
              <w:t>节约情况</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cs="宋体"/>
                <w:kern w:val="0"/>
                <w:szCs w:val="21"/>
                <w:lang w:val="en-US" w:eastAsia="zh-CN"/>
              </w:rPr>
              <w:t>所有项目实际成本均不超过计划或预算成本，得4分；若有超过，酌情扣分，</w:t>
            </w:r>
            <w:r>
              <w:rPr>
                <w:rFonts w:hint="eastAsia" w:ascii="宋体" w:hAnsi="宋体" w:eastAsia="宋体" w:cs="宋体"/>
                <w:color w:val="000000"/>
                <w:kern w:val="0"/>
                <w:sz w:val="21"/>
                <w:szCs w:val="21"/>
                <w:lang w:val="en-US" w:eastAsia="zh-CN" w:bidi="ar"/>
              </w:rPr>
              <w:t>严重的此项完全不得分</w:t>
            </w:r>
            <w:r>
              <w:rPr>
                <w:rFonts w:hint="eastAsia" w:ascii="宋体" w:hAnsi="宋体" w:eastAsia="宋体" w:cs="宋体"/>
                <w:kern w:val="0"/>
                <w:szCs w:val="21"/>
              </w:rPr>
              <w:t>。</w:t>
            </w:r>
          </w:p>
        </w:tc>
        <w:tc>
          <w:tcPr>
            <w:tcW w:w="758" w:type="dxa"/>
            <w:tcBorders>
              <w:top w:val="single" w:color="auto" w:sz="4" w:space="0"/>
              <w:bottom w:val="single" w:color="auto" w:sz="4" w:space="0"/>
              <w:right w:val="single" w:color="auto" w:sz="4" w:space="0"/>
            </w:tcBorders>
            <w:noWrap/>
            <w:vAlign w:val="center"/>
          </w:tcPr>
          <w:p>
            <w:pPr>
              <w:widowControl/>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041" w:type="dxa"/>
            <w:vMerge w:val="restart"/>
            <w:tcBorders>
              <w:top w:val="single" w:color="auto" w:sz="4" w:space="0"/>
              <w:left w:val="single" w:color="auto" w:sz="4" w:space="0"/>
              <w:bottom w:val="single" w:color="auto" w:sz="4" w:space="0"/>
            </w:tcBorders>
            <w:noWrap/>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效益</w:t>
            </w:r>
          </w:p>
          <w:p>
            <w:pPr>
              <w:widowControl/>
              <w:jc w:val="center"/>
              <w:rPr>
                <w:rFonts w:hint="eastAsia" w:ascii="宋体" w:hAnsi="宋体" w:eastAsia="宋体" w:cs="宋体"/>
                <w:szCs w:val="21"/>
              </w:rPr>
            </w:pPr>
            <w:r>
              <w:rPr>
                <w:rFonts w:hint="eastAsia" w:ascii="宋体" w:hAnsi="宋体" w:eastAsia="宋体" w:cs="宋体"/>
                <w:b/>
                <w:bCs/>
                <w:kern w:val="0"/>
                <w:szCs w:val="21"/>
              </w:rPr>
              <w:t>（</w:t>
            </w:r>
            <w:r>
              <w:rPr>
                <w:rFonts w:hint="eastAsia" w:ascii="宋体" w:hAnsi="宋体" w:cs="宋体"/>
                <w:b/>
                <w:bCs/>
                <w:kern w:val="0"/>
                <w:szCs w:val="21"/>
                <w:lang w:val="en-US" w:eastAsia="zh-CN"/>
              </w:rPr>
              <w:t>30</w:t>
            </w:r>
            <w:r>
              <w:rPr>
                <w:rFonts w:hint="eastAsia" w:ascii="宋体" w:hAnsi="宋体" w:eastAsia="宋体" w:cs="宋体"/>
                <w:b/>
                <w:bCs/>
                <w:kern w:val="0"/>
                <w:szCs w:val="21"/>
              </w:rPr>
              <w:t>分）</w:t>
            </w:r>
          </w:p>
        </w:tc>
        <w:tc>
          <w:tcPr>
            <w:tcW w:w="1059" w:type="dxa"/>
            <w:vMerge w:val="restart"/>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项目</w:t>
            </w:r>
            <w:r>
              <w:rPr>
                <w:rFonts w:hint="eastAsia" w:ascii="宋体" w:hAnsi="宋体" w:eastAsia="宋体" w:cs="宋体"/>
                <w:kern w:val="0"/>
                <w:szCs w:val="21"/>
              </w:rPr>
              <w:t>效益</w:t>
            </w:r>
          </w:p>
          <w:p>
            <w:pPr>
              <w:widowControl/>
              <w:jc w:val="center"/>
              <w:rPr>
                <w:rFonts w:hint="eastAsia" w:ascii="宋体" w:hAnsi="宋体" w:eastAsia="宋体" w:cs="宋体"/>
                <w:szCs w:val="21"/>
              </w:rPr>
            </w:pPr>
            <w:r>
              <w:rPr>
                <w:rFonts w:hint="eastAsia" w:ascii="宋体" w:hAnsi="宋体" w:eastAsia="宋体" w:cs="宋体"/>
                <w:kern w:val="0"/>
                <w:szCs w:val="21"/>
              </w:rPr>
              <w:t>（</w:t>
            </w:r>
            <w:r>
              <w:rPr>
                <w:rFonts w:hint="eastAsia" w:ascii="宋体" w:hAnsi="宋体" w:cs="宋体"/>
                <w:kern w:val="0"/>
                <w:szCs w:val="21"/>
                <w:lang w:val="en-US" w:eastAsia="zh-CN"/>
              </w:rPr>
              <w:t>25</w:t>
            </w:r>
            <w:r>
              <w:rPr>
                <w:rFonts w:hint="eastAsia" w:ascii="宋体" w:hAnsi="宋体" w:eastAsia="宋体" w:cs="宋体"/>
                <w:kern w:val="0"/>
                <w:szCs w:val="21"/>
              </w:rPr>
              <w:t>分）</w:t>
            </w:r>
          </w:p>
        </w:tc>
        <w:tc>
          <w:tcPr>
            <w:tcW w:w="1750" w:type="dxa"/>
            <w:tcBorders>
              <w:top w:val="single" w:color="auto" w:sz="4" w:space="0"/>
            </w:tcBorders>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国家</w:t>
            </w:r>
            <w:r>
              <w:rPr>
                <w:rFonts w:hint="eastAsia" w:ascii="宋体" w:hAnsi="宋体" w:eastAsia="宋体" w:cs="宋体"/>
                <w:kern w:val="0"/>
                <w:szCs w:val="21"/>
                <w:lang w:val="en-US" w:eastAsia="zh-CN"/>
              </w:rPr>
              <w:t>高新技术</w:t>
            </w:r>
            <w:r>
              <w:rPr>
                <w:rFonts w:hint="eastAsia" w:ascii="宋体" w:hAnsi="宋体" w:cs="宋体"/>
                <w:kern w:val="0"/>
                <w:szCs w:val="21"/>
                <w:lang w:val="en-US" w:eastAsia="zh-CN"/>
              </w:rPr>
              <w:t>企业实现产值增长率</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ind w:left="-50" w:leftChars="0" w:right="-50" w:rightChars="0"/>
              <w:jc w:val="both"/>
              <w:rPr>
                <w:rFonts w:hint="eastAsia" w:ascii="宋体" w:hAnsi="宋体" w:eastAsia="宋体" w:cs="宋体"/>
                <w:kern w:val="0"/>
                <w:szCs w:val="21"/>
              </w:rPr>
            </w:pPr>
            <w:r>
              <w:rPr>
                <w:rFonts w:hint="eastAsia" w:ascii="宋体" w:hAnsi="宋体" w:cs="宋体"/>
                <w:kern w:val="0"/>
                <w:szCs w:val="21"/>
                <w:lang w:val="en-US" w:eastAsia="zh-CN"/>
              </w:rPr>
              <w:t>国家</w:t>
            </w:r>
            <w:r>
              <w:rPr>
                <w:rFonts w:hint="eastAsia" w:ascii="宋体" w:hAnsi="宋体" w:eastAsia="宋体" w:cs="宋体"/>
                <w:kern w:val="0"/>
                <w:szCs w:val="21"/>
                <w:lang w:val="en-US" w:eastAsia="zh-CN"/>
              </w:rPr>
              <w:t>高新技术</w:t>
            </w:r>
            <w:r>
              <w:rPr>
                <w:rFonts w:hint="eastAsia" w:ascii="宋体" w:hAnsi="宋体" w:cs="宋体"/>
                <w:kern w:val="0"/>
                <w:szCs w:val="21"/>
                <w:lang w:val="en-US" w:eastAsia="zh-CN"/>
              </w:rPr>
              <w:t>企业实现产值年增长率不低于地区生产总值年增长率，得4分，每降低0.5个百分点扣1分，扣完为止。</w:t>
            </w:r>
          </w:p>
        </w:tc>
        <w:tc>
          <w:tcPr>
            <w:tcW w:w="758" w:type="dxa"/>
            <w:tcBorders>
              <w:top w:val="single" w:color="auto" w:sz="4" w:space="0"/>
              <w:bottom w:val="single" w:color="auto" w:sz="4" w:space="0"/>
              <w:right w:val="single" w:color="auto" w:sz="4" w:space="0"/>
            </w:tcBorders>
            <w:noWrap/>
            <w:vAlign w:val="center"/>
          </w:tcPr>
          <w:p>
            <w:pPr>
              <w:widowControl/>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041" w:type="dxa"/>
            <w:vMerge w:val="continue"/>
            <w:tcBorders>
              <w:top w:val="single" w:color="auto" w:sz="4" w:space="0"/>
              <w:left w:val="single" w:color="auto" w:sz="4" w:space="0"/>
            </w:tcBorders>
            <w:noWrap/>
            <w:vAlign w:val="center"/>
          </w:tcPr>
          <w:p>
            <w:pPr>
              <w:widowControl/>
              <w:jc w:val="center"/>
              <w:rPr>
                <w:rFonts w:hint="eastAsia" w:ascii="宋体" w:hAnsi="宋体" w:eastAsia="宋体" w:cs="宋体"/>
                <w:b/>
                <w:bCs/>
                <w:kern w:val="0"/>
                <w:szCs w:val="21"/>
              </w:rPr>
            </w:pPr>
          </w:p>
        </w:tc>
        <w:tc>
          <w:tcPr>
            <w:tcW w:w="1059" w:type="dxa"/>
            <w:vMerge w:val="continue"/>
            <w:tcBorders>
              <w:top w:val="single" w:color="auto" w:sz="4" w:space="0"/>
            </w:tcBorders>
            <w:noWrap/>
            <w:vAlign w:val="center"/>
          </w:tcPr>
          <w:p>
            <w:pPr>
              <w:widowControl/>
              <w:jc w:val="center"/>
              <w:rPr>
                <w:rFonts w:hint="eastAsia" w:ascii="宋体" w:hAnsi="宋体" w:eastAsia="宋体" w:cs="宋体"/>
                <w:kern w:val="0"/>
                <w:szCs w:val="21"/>
              </w:rPr>
            </w:pPr>
          </w:p>
        </w:tc>
        <w:tc>
          <w:tcPr>
            <w:tcW w:w="1750" w:type="dxa"/>
            <w:tcBorders>
              <w:top w:val="single" w:color="auto" w:sz="4" w:space="0"/>
              <w:bottom w:val="single" w:color="auto" w:sz="4" w:space="0"/>
            </w:tcBorders>
            <w:noWrap/>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园区内企业纳税金额增长率</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6</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cs="宋体"/>
                <w:kern w:val="0"/>
                <w:szCs w:val="21"/>
                <w:lang w:eastAsia="zh-CN"/>
              </w:rPr>
            </w:pPr>
            <w:r>
              <w:rPr>
                <w:rFonts w:hint="eastAsia" w:ascii="宋体" w:hAnsi="宋体" w:eastAsia="宋体" w:cs="宋体"/>
                <w:b w:val="0"/>
                <w:bCs w:val="0"/>
                <w:kern w:val="0"/>
                <w:sz w:val="21"/>
                <w:szCs w:val="21"/>
                <w:lang w:val="en-US" w:eastAsia="zh-CN"/>
              </w:rPr>
              <w:t>园区内企业纳税金额增长率</w:t>
            </w:r>
            <w:r>
              <w:rPr>
                <w:rFonts w:hint="eastAsia" w:ascii="宋体" w:hAnsi="宋体" w:cs="宋体"/>
                <w:b w:val="0"/>
                <w:bCs w:val="0"/>
                <w:kern w:val="0"/>
                <w:sz w:val="21"/>
                <w:szCs w:val="21"/>
                <w:lang w:val="en-US" w:eastAsia="zh-CN"/>
              </w:rPr>
              <w:t>=</w:t>
            </w:r>
            <w:r>
              <w:rPr>
                <w:rFonts w:hint="eastAsia" w:ascii="宋体" w:hAnsi="宋体" w:cs="宋体"/>
                <w:szCs w:val="21"/>
              </w:rPr>
              <w:t>（当年</w:t>
            </w:r>
            <w:r>
              <w:rPr>
                <w:rFonts w:hint="eastAsia" w:ascii="宋体" w:hAnsi="宋体" w:cs="宋体"/>
                <w:kern w:val="0"/>
                <w:szCs w:val="21"/>
                <w:lang w:val="en-US" w:eastAsia="zh-CN"/>
              </w:rPr>
              <w:t>园区内企业纳税金额</w:t>
            </w:r>
            <w:r>
              <w:rPr>
                <w:rFonts w:hint="eastAsia" w:ascii="宋体" w:hAnsi="宋体" w:cs="宋体"/>
                <w:szCs w:val="21"/>
              </w:rPr>
              <w:t>-上一年</w:t>
            </w:r>
            <w:r>
              <w:rPr>
                <w:rFonts w:hint="eastAsia" w:ascii="宋体" w:hAnsi="宋体" w:cs="宋体"/>
                <w:kern w:val="0"/>
                <w:szCs w:val="21"/>
                <w:lang w:val="en-US" w:eastAsia="zh-CN"/>
              </w:rPr>
              <w:t>园区内企业纳税金额</w:t>
            </w:r>
            <w:r>
              <w:rPr>
                <w:rFonts w:hint="eastAsia" w:ascii="宋体" w:hAnsi="宋体" w:cs="宋体"/>
                <w:szCs w:val="21"/>
              </w:rPr>
              <w:t>）/上一年</w:t>
            </w:r>
            <w:r>
              <w:rPr>
                <w:rFonts w:hint="eastAsia" w:ascii="宋体" w:hAnsi="宋体" w:cs="宋体"/>
                <w:kern w:val="0"/>
                <w:szCs w:val="21"/>
                <w:lang w:val="en-US" w:eastAsia="zh-CN"/>
              </w:rPr>
              <w:t>园区内企业纳税金额</w:t>
            </w:r>
            <w:r>
              <w:rPr>
                <w:rFonts w:hint="eastAsia" w:ascii="宋体" w:hAnsi="宋体" w:cs="宋体"/>
                <w:kern w:val="0"/>
                <w:szCs w:val="21"/>
              </w:rPr>
              <w:t>×100%</w:t>
            </w:r>
            <w:r>
              <w:rPr>
                <w:rFonts w:hint="eastAsia" w:ascii="宋体" w:hAnsi="宋体" w:cs="宋体"/>
                <w:kern w:val="0"/>
                <w:szCs w:val="21"/>
                <w:lang w:eastAsia="zh-CN"/>
              </w:rPr>
              <w:t>。</w:t>
            </w:r>
          </w:p>
          <w:p>
            <w:pPr>
              <w:widowControl/>
              <w:jc w:val="both"/>
              <w:rPr>
                <w:rFonts w:hint="eastAsia" w:ascii="宋体" w:hAnsi="宋体" w:eastAsia="宋体" w:cs="宋体"/>
                <w:kern w:val="0"/>
                <w:szCs w:val="21"/>
              </w:rPr>
            </w:pPr>
            <w:r>
              <w:rPr>
                <w:rFonts w:hint="eastAsia" w:ascii="宋体" w:hAnsi="宋体" w:cs="宋体"/>
                <w:kern w:val="0"/>
                <w:szCs w:val="21"/>
                <w:lang w:val="en-US" w:eastAsia="zh-CN"/>
              </w:rPr>
              <w:t>华创园、北峰数控园和泉州网商（虚拟）产业园分别计算评分，每个园区满分2分。园区内企业纳税金额年增长率</w:t>
            </w:r>
            <w:r>
              <w:rPr>
                <w:rFonts w:hint="eastAsia" w:ascii="宋体" w:hAnsi="宋体" w:eastAsia="宋体" w:cs="宋体"/>
                <w:kern w:val="0"/>
                <w:szCs w:val="21"/>
                <w:lang w:val="en-US" w:eastAsia="zh-CN"/>
              </w:rPr>
              <w:t>≥</w:t>
            </w:r>
            <w:r>
              <w:rPr>
                <w:rFonts w:hint="eastAsia" w:ascii="宋体" w:hAnsi="宋体" w:cs="宋体"/>
                <w:szCs w:val="21"/>
              </w:rPr>
              <w:t>10%</w:t>
            </w:r>
            <w:r>
              <w:rPr>
                <w:rFonts w:hint="eastAsia" w:ascii="宋体" w:hAnsi="宋体" w:cs="宋体"/>
                <w:szCs w:val="21"/>
                <w:lang w:eastAsia="zh-CN"/>
              </w:rPr>
              <w:t>，</w:t>
            </w:r>
            <w:r>
              <w:rPr>
                <w:rFonts w:hint="eastAsia" w:ascii="宋体" w:hAnsi="宋体" w:cs="宋体"/>
                <w:szCs w:val="21"/>
              </w:rPr>
              <w:t>得2分</w:t>
            </w:r>
            <w:r>
              <w:rPr>
                <w:rFonts w:hint="eastAsia" w:ascii="宋体" w:hAnsi="宋体" w:cs="宋体"/>
                <w:szCs w:val="21"/>
                <w:lang w:eastAsia="zh-CN"/>
              </w:rPr>
              <w:t>；</w:t>
            </w:r>
            <w:r>
              <w:rPr>
                <w:rFonts w:hint="eastAsia" w:ascii="宋体" w:hAnsi="宋体" w:cs="宋体"/>
                <w:szCs w:val="21"/>
              </w:rPr>
              <w:t>0</w:t>
            </w:r>
            <w:r>
              <w:rPr>
                <w:rFonts w:hint="eastAsia" w:ascii="宋体" w:hAnsi="宋体" w:cs="宋体"/>
                <w:kern w:val="0"/>
                <w:szCs w:val="21"/>
              </w:rPr>
              <w:t>≤</w:t>
            </w:r>
            <w:r>
              <w:rPr>
                <w:rFonts w:hint="eastAsia" w:ascii="宋体" w:hAnsi="宋体" w:cs="宋体"/>
                <w:kern w:val="0"/>
                <w:szCs w:val="21"/>
                <w:lang w:val="en-US" w:eastAsia="zh-CN"/>
              </w:rPr>
              <w:t>年</w:t>
            </w:r>
            <w:r>
              <w:rPr>
                <w:rFonts w:hint="eastAsia" w:ascii="宋体" w:hAnsi="宋体" w:cs="宋体"/>
                <w:kern w:val="0"/>
                <w:szCs w:val="21"/>
              </w:rPr>
              <w:t>增长率&lt;10%，得1分，</w:t>
            </w:r>
            <w:r>
              <w:rPr>
                <w:rFonts w:hint="eastAsia" w:ascii="宋体" w:hAnsi="宋体" w:cs="宋体"/>
                <w:kern w:val="0"/>
                <w:szCs w:val="21"/>
                <w:lang w:val="en-US" w:eastAsia="zh-CN"/>
              </w:rPr>
              <w:t>年</w:t>
            </w:r>
            <w:r>
              <w:rPr>
                <w:rFonts w:hint="eastAsia" w:ascii="宋体" w:hAnsi="宋体" w:cs="宋体"/>
                <w:kern w:val="0"/>
                <w:szCs w:val="21"/>
              </w:rPr>
              <w:t>增长率&lt;0</w:t>
            </w:r>
            <w:r>
              <w:rPr>
                <w:rFonts w:hint="eastAsia" w:ascii="宋体" w:hAnsi="宋体" w:cs="宋体"/>
                <w:kern w:val="0"/>
                <w:szCs w:val="21"/>
                <w:lang w:eastAsia="zh-CN"/>
              </w:rPr>
              <w:t>，</w:t>
            </w:r>
            <w:r>
              <w:rPr>
                <w:rFonts w:hint="eastAsia" w:ascii="宋体" w:hAnsi="宋体" w:cs="宋体"/>
                <w:szCs w:val="21"/>
              </w:rPr>
              <w:t>得</w:t>
            </w:r>
            <w:r>
              <w:rPr>
                <w:rFonts w:hint="eastAsia" w:ascii="宋体" w:hAnsi="宋体" w:cs="宋体"/>
                <w:szCs w:val="21"/>
                <w:lang w:val="en-US" w:eastAsia="zh-CN"/>
              </w:rPr>
              <w:t>0</w:t>
            </w:r>
            <w:r>
              <w:rPr>
                <w:rFonts w:hint="eastAsia" w:ascii="宋体" w:hAnsi="宋体" w:cs="宋体"/>
                <w:szCs w:val="21"/>
              </w:rPr>
              <w:t>分。</w:t>
            </w:r>
          </w:p>
        </w:tc>
        <w:tc>
          <w:tcPr>
            <w:tcW w:w="758" w:type="dxa"/>
            <w:tcBorders>
              <w:top w:val="single" w:color="auto" w:sz="4" w:space="0"/>
              <w:bottom w:val="single" w:color="auto" w:sz="4" w:space="0"/>
              <w:right w:val="single" w:color="auto" w:sz="4" w:space="0"/>
            </w:tcBorders>
            <w:noWrap/>
            <w:vAlign w:val="center"/>
          </w:tcPr>
          <w:p>
            <w:pPr>
              <w:widowControl/>
              <w:ind w:left="-50" w:right="-50"/>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1" w:type="dxa"/>
            <w:vMerge w:val="continue"/>
            <w:tcBorders>
              <w:left w:val="single" w:color="auto" w:sz="4" w:space="0"/>
            </w:tcBorders>
            <w:noWrap/>
            <w:vAlign w:val="center"/>
          </w:tcPr>
          <w:p>
            <w:pPr>
              <w:widowControl/>
              <w:rPr>
                <w:rFonts w:hint="eastAsia" w:ascii="宋体" w:hAnsi="宋体" w:eastAsia="宋体" w:cs="宋体"/>
                <w:szCs w:val="21"/>
              </w:rPr>
            </w:pPr>
          </w:p>
        </w:tc>
        <w:tc>
          <w:tcPr>
            <w:tcW w:w="1059" w:type="dxa"/>
            <w:vMerge w:val="continue"/>
            <w:noWrap/>
            <w:vAlign w:val="center"/>
          </w:tcPr>
          <w:p>
            <w:pPr>
              <w:widowControl/>
              <w:rPr>
                <w:rFonts w:hint="eastAsia" w:ascii="宋体" w:hAnsi="宋体" w:eastAsia="宋体" w:cs="宋体"/>
                <w:szCs w:val="21"/>
              </w:rPr>
            </w:pPr>
          </w:p>
        </w:tc>
        <w:tc>
          <w:tcPr>
            <w:tcW w:w="1750"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规上工业</w:t>
            </w:r>
            <w:r>
              <w:rPr>
                <w:rFonts w:hint="eastAsia" w:ascii="宋体" w:hAnsi="宋体" w:eastAsia="宋体" w:cs="宋体"/>
                <w:kern w:val="0"/>
                <w:szCs w:val="21"/>
              </w:rPr>
              <w:t>R&amp;D</w:t>
            </w:r>
            <w:r>
              <w:rPr>
                <w:rFonts w:hint="eastAsia" w:ascii="宋体" w:hAnsi="宋体" w:cs="宋体"/>
                <w:kern w:val="0"/>
                <w:szCs w:val="21"/>
                <w:lang w:val="en-US" w:eastAsia="zh-CN"/>
              </w:rPr>
              <w:t>经费投入</w:t>
            </w:r>
            <w:r>
              <w:rPr>
                <w:rFonts w:hint="eastAsia" w:ascii="宋体" w:hAnsi="宋体" w:eastAsia="宋体" w:cs="宋体"/>
                <w:kern w:val="0"/>
                <w:szCs w:val="21"/>
              </w:rPr>
              <w:t>占</w:t>
            </w:r>
            <w:r>
              <w:rPr>
                <w:rFonts w:hint="eastAsia" w:ascii="宋体" w:hAnsi="宋体" w:cs="宋体"/>
                <w:kern w:val="0"/>
                <w:szCs w:val="21"/>
                <w:lang w:val="en-US" w:eastAsia="zh-CN"/>
              </w:rPr>
              <w:t>规上工业增加值</w:t>
            </w:r>
            <w:r>
              <w:rPr>
                <w:rFonts w:hint="eastAsia" w:ascii="宋体" w:hAnsi="宋体" w:eastAsia="宋体" w:cs="宋体"/>
                <w:kern w:val="0"/>
                <w:szCs w:val="21"/>
              </w:rPr>
              <w:t>比</w:t>
            </w:r>
            <w:r>
              <w:rPr>
                <w:rFonts w:hint="eastAsia" w:ascii="宋体" w:hAnsi="宋体" w:cs="宋体"/>
                <w:kern w:val="0"/>
                <w:szCs w:val="21"/>
                <w:lang w:val="en-US" w:eastAsia="zh-CN"/>
              </w:rPr>
              <w:t>重</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4</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cs="宋体"/>
                <w:kern w:val="0"/>
                <w:szCs w:val="21"/>
                <w:lang w:val="en-US" w:eastAsia="zh-CN"/>
              </w:rPr>
              <w:t>规上工业</w:t>
            </w:r>
            <w:r>
              <w:rPr>
                <w:rFonts w:hint="eastAsia" w:ascii="宋体" w:hAnsi="宋体" w:eastAsia="宋体" w:cs="宋体"/>
                <w:kern w:val="0"/>
                <w:szCs w:val="21"/>
              </w:rPr>
              <w:t>R&amp;D</w:t>
            </w:r>
            <w:r>
              <w:rPr>
                <w:rFonts w:hint="eastAsia" w:ascii="宋体" w:hAnsi="宋体" w:cs="宋体"/>
                <w:kern w:val="0"/>
                <w:szCs w:val="21"/>
                <w:lang w:val="en-US" w:eastAsia="zh-CN"/>
              </w:rPr>
              <w:t>经费投入</w:t>
            </w:r>
            <w:r>
              <w:rPr>
                <w:rFonts w:hint="eastAsia" w:ascii="宋体" w:hAnsi="宋体" w:eastAsia="宋体" w:cs="宋体"/>
                <w:kern w:val="0"/>
                <w:szCs w:val="21"/>
              </w:rPr>
              <w:t>占</w:t>
            </w:r>
            <w:r>
              <w:rPr>
                <w:rFonts w:hint="eastAsia" w:ascii="宋体" w:hAnsi="宋体" w:cs="宋体"/>
                <w:kern w:val="0"/>
                <w:szCs w:val="21"/>
                <w:lang w:val="en-US" w:eastAsia="zh-CN"/>
              </w:rPr>
              <w:t>规上工业增加值</w:t>
            </w:r>
            <w:r>
              <w:rPr>
                <w:rFonts w:hint="eastAsia" w:ascii="宋体" w:hAnsi="宋体" w:eastAsia="宋体" w:cs="宋体"/>
                <w:kern w:val="0"/>
                <w:szCs w:val="21"/>
              </w:rPr>
              <w:t>比</w:t>
            </w:r>
            <w:r>
              <w:rPr>
                <w:rFonts w:hint="eastAsia" w:ascii="宋体" w:hAnsi="宋体" w:cs="宋体"/>
                <w:kern w:val="0"/>
                <w:szCs w:val="21"/>
                <w:lang w:val="en-US" w:eastAsia="zh-CN"/>
              </w:rPr>
              <w:t>重为标准，持平或超过得4分，每降低1个百分点扣1分，扣完为止。</w:t>
            </w:r>
          </w:p>
        </w:tc>
        <w:tc>
          <w:tcPr>
            <w:tcW w:w="758" w:type="dxa"/>
            <w:tcBorders>
              <w:top w:val="single" w:color="auto" w:sz="4" w:space="0"/>
              <w:bottom w:val="single" w:color="auto" w:sz="4" w:space="0"/>
              <w:right w:val="single" w:color="auto" w:sz="4" w:space="0"/>
            </w:tcBorders>
            <w:noWrap/>
            <w:vAlign w:val="center"/>
          </w:tcPr>
          <w:p>
            <w:pPr>
              <w:widowControl/>
              <w:jc w:val="center"/>
              <w:rPr>
                <w:rFonts w:hint="default" w:ascii="宋体" w:hAnsi="宋体" w:cs="宋体"/>
                <w:b/>
                <w:bCs/>
                <w:kern w:val="0"/>
                <w:szCs w:val="21"/>
                <w:lang w:val="en-US" w:eastAsia="zh-CN"/>
              </w:rPr>
            </w:pPr>
            <w:r>
              <w:rPr>
                <w:rFonts w:hint="eastAsia" w:ascii="宋体" w:hAnsi="宋体" w:cs="宋体"/>
                <w:b/>
                <w:bCs/>
                <w:kern w:val="0"/>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41" w:type="dxa"/>
            <w:vMerge w:val="continue"/>
            <w:tcBorders>
              <w:left w:val="single" w:color="auto" w:sz="4" w:space="0"/>
            </w:tcBorders>
            <w:noWrap/>
            <w:vAlign w:val="center"/>
          </w:tcPr>
          <w:p>
            <w:pPr>
              <w:widowControl/>
              <w:jc w:val="center"/>
            </w:pPr>
          </w:p>
        </w:tc>
        <w:tc>
          <w:tcPr>
            <w:tcW w:w="1059" w:type="dxa"/>
            <w:vMerge w:val="continue"/>
            <w:noWrap/>
            <w:vAlign w:val="center"/>
          </w:tcPr>
          <w:p>
            <w:pPr>
              <w:widowControl/>
              <w:jc w:val="center"/>
            </w:pPr>
          </w:p>
        </w:tc>
        <w:tc>
          <w:tcPr>
            <w:tcW w:w="1750" w:type="dxa"/>
            <w:tcBorders>
              <w:top w:val="single" w:color="auto" w:sz="4" w:space="0"/>
              <w:bottom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技术改造投资增速</w:t>
            </w:r>
          </w:p>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 w:val="21"/>
                <w:szCs w:val="21"/>
                <w:lang w:val="en-US" w:eastAsia="zh-CN" w:bidi="ar-SA"/>
              </w:rPr>
            </w:pPr>
            <w:r>
              <w:rPr>
                <w:rFonts w:hint="eastAsia" w:ascii="宋体" w:hAnsi="宋体" w:eastAsia="宋体" w:cs="宋体"/>
                <w:kern w:val="0"/>
                <w:szCs w:val="21"/>
              </w:rPr>
              <w:t>以</w:t>
            </w:r>
            <w:r>
              <w:rPr>
                <w:rFonts w:hint="eastAsia" w:ascii="宋体" w:hAnsi="宋体" w:cs="宋体"/>
                <w:kern w:val="0"/>
                <w:szCs w:val="21"/>
                <w:lang w:val="en-US" w:eastAsia="zh-CN"/>
              </w:rPr>
              <w:t>当年泉州市技改投资增速为标准，持平或超过得3分，每降低1个百分点扣1分，扣完为止。</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41" w:type="dxa"/>
            <w:vMerge w:val="continue"/>
            <w:tcBorders>
              <w:left w:val="single" w:color="auto" w:sz="4" w:space="0"/>
            </w:tcBorders>
            <w:noWrap/>
            <w:vAlign w:val="center"/>
          </w:tcPr>
          <w:p>
            <w:pPr>
              <w:widowControl/>
              <w:jc w:val="center"/>
              <w:rPr>
                <w:rFonts w:hint="eastAsia" w:ascii="宋体" w:hAnsi="宋体" w:eastAsia="宋体" w:cs="宋体"/>
                <w:b/>
                <w:bCs/>
                <w:kern w:val="0"/>
                <w:szCs w:val="21"/>
              </w:rPr>
            </w:pPr>
          </w:p>
        </w:tc>
        <w:tc>
          <w:tcPr>
            <w:tcW w:w="1059" w:type="dxa"/>
            <w:vMerge w:val="continue"/>
            <w:noWrap/>
            <w:vAlign w:val="center"/>
          </w:tcPr>
          <w:p>
            <w:pPr>
              <w:widowControl/>
              <w:jc w:val="center"/>
              <w:rPr>
                <w:rFonts w:hint="eastAsia" w:ascii="宋体" w:hAnsi="宋体" w:eastAsia="宋体" w:cs="宋体"/>
                <w:kern w:val="0"/>
                <w:szCs w:val="21"/>
              </w:rPr>
            </w:pPr>
          </w:p>
        </w:tc>
        <w:tc>
          <w:tcPr>
            <w:tcW w:w="1750"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技术合同</w:t>
            </w:r>
            <w:r>
              <w:rPr>
                <w:rFonts w:hint="eastAsia" w:ascii="宋体" w:hAnsi="宋体" w:cs="宋体"/>
                <w:kern w:val="0"/>
                <w:szCs w:val="21"/>
                <w:lang w:val="en-US" w:eastAsia="zh-CN"/>
              </w:rPr>
              <w:t>成交金</w:t>
            </w:r>
            <w:r>
              <w:rPr>
                <w:rFonts w:hint="eastAsia" w:ascii="宋体" w:hAnsi="宋体" w:eastAsia="宋体" w:cs="宋体"/>
                <w:kern w:val="0"/>
                <w:szCs w:val="21"/>
              </w:rPr>
              <w:t>额</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3</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以前一年份技术合同</w:t>
            </w:r>
            <w:r>
              <w:rPr>
                <w:rFonts w:hint="eastAsia" w:ascii="宋体" w:hAnsi="宋体" w:eastAsia="宋体" w:cs="宋体"/>
                <w:kern w:val="0"/>
                <w:szCs w:val="21"/>
                <w:lang w:val="en-US" w:eastAsia="zh-CN"/>
              </w:rPr>
              <w:t>成交金</w:t>
            </w:r>
            <w:r>
              <w:rPr>
                <w:rFonts w:hint="eastAsia" w:ascii="宋体" w:hAnsi="宋体" w:eastAsia="宋体" w:cs="宋体"/>
                <w:kern w:val="0"/>
                <w:szCs w:val="21"/>
              </w:rPr>
              <w:t>额</w:t>
            </w:r>
            <w:r>
              <w:rPr>
                <w:rFonts w:hint="eastAsia" w:ascii="宋体" w:hAnsi="宋体" w:cs="宋体"/>
                <w:kern w:val="0"/>
                <w:szCs w:val="21"/>
                <w:lang w:val="en-US" w:eastAsia="zh-CN"/>
              </w:rPr>
              <w:t>为标准，持平或减少得0分，每增加3%得1分，最高3分。</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041" w:type="dxa"/>
            <w:vMerge w:val="continue"/>
            <w:tcBorders>
              <w:left w:val="single" w:color="auto" w:sz="4" w:space="0"/>
            </w:tcBorders>
            <w:noWrap/>
            <w:vAlign w:val="center"/>
          </w:tcPr>
          <w:p>
            <w:pPr>
              <w:widowControl/>
              <w:jc w:val="center"/>
              <w:rPr>
                <w:rFonts w:hint="eastAsia" w:ascii="宋体" w:hAnsi="宋体" w:eastAsia="宋体" w:cs="宋体"/>
                <w:b/>
                <w:bCs/>
                <w:kern w:val="0"/>
                <w:szCs w:val="21"/>
              </w:rPr>
            </w:pPr>
          </w:p>
        </w:tc>
        <w:tc>
          <w:tcPr>
            <w:tcW w:w="1059" w:type="dxa"/>
            <w:vMerge w:val="continue"/>
            <w:noWrap/>
            <w:vAlign w:val="center"/>
          </w:tcPr>
          <w:p>
            <w:pPr>
              <w:widowControl/>
              <w:jc w:val="center"/>
              <w:rPr>
                <w:rFonts w:hint="eastAsia" w:ascii="宋体" w:hAnsi="宋体" w:eastAsia="宋体" w:cs="宋体"/>
                <w:kern w:val="0"/>
                <w:szCs w:val="21"/>
              </w:rPr>
            </w:pPr>
          </w:p>
        </w:tc>
        <w:tc>
          <w:tcPr>
            <w:tcW w:w="1750" w:type="dxa"/>
            <w:tcBorders>
              <w:top w:val="single" w:color="auto" w:sz="4" w:space="0"/>
            </w:tcBorders>
            <w:noWrap/>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上级政府科技进步奖励</w:t>
            </w:r>
          </w:p>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cs="宋体"/>
                <w:kern w:val="0"/>
                <w:szCs w:val="21"/>
                <w:lang w:val="en-US" w:eastAsia="zh-CN"/>
              </w:rPr>
              <w:t>每获得一项上级政府科技进步奖励，得1分，最高2分。</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41" w:type="dxa"/>
            <w:vMerge w:val="continue"/>
            <w:tcBorders>
              <w:left w:val="single" w:color="auto" w:sz="4" w:space="0"/>
            </w:tcBorders>
            <w:noWrap/>
            <w:vAlign w:val="center"/>
          </w:tcPr>
          <w:p>
            <w:pPr>
              <w:widowControl/>
              <w:jc w:val="center"/>
              <w:rPr>
                <w:rFonts w:hint="eastAsia" w:ascii="宋体" w:hAnsi="宋体" w:eastAsia="宋体" w:cs="宋体"/>
                <w:b/>
                <w:bCs/>
                <w:kern w:val="0"/>
                <w:szCs w:val="21"/>
              </w:rPr>
            </w:pPr>
          </w:p>
        </w:tc>
        <w:tc>
          <w:tcPr>
            <w:tcW w:w="1059" w:type="dxa"/>
            <w:vMerge w:val="continue"/>
            <w:noWrap/>
            <w:vAlign w:val="center"/>
          </w:tcPr>
          <w:p>
            <w:pPr>
              <w:widowControl/>
              <w:jc w:val="center"/>
              <w:rPr>
                <w:rFonts w:hint="eastAsia" w:ascii="宋体" w:hAnsi="宋体" w:eastAsia="宋体" w:cs="宋体"/>
                <w:kern w:val="0"/>
                <w:szCs w:val="21"/>
              </w:rPr>
            </w:pPr>
          </w:p>
        </w:tc>
        <w:tc>
          <w:tcPr>
            <w:tcW w:w="1750"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高层次</w:t>
            </w:r>
            <w:r>
              <w:rPr>
                <w:rFonts w:hint="eastAsia" w:ascii="宋体" w:hAnsi="宋体" w:eastAsia="宋体" w:cs="宋体"/>
                <w:kern w:val="0"/>
                <w:szCs w:val="21"/>
              </w:rPr>
              <w:t>人才集聚</w:t>
            </w:r>
          </w:p>
          <w:p>
            <w:pPr>
              <w:widowControl/>
              <w:jc w:val="center"/>
              <w:rPr>
                <w:rFonts w:hint="eastAsia" w:ascii="宋体" w:hAnsi="宋体" w:eastAsia="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3分）</w:t>
            </w:r>
          </w:p>
        </w:tc>
        <w:tc>
          <w:tcPr>
            <w:tcW w:w="5300" w:type="dxa"/>
            <w:tcBorders>
              <w:top w:val="single" w:color="auto" w:sz="4" w:space="0"/>
              <w:bottom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eastAsia="宋体" w:cs="宋体"/>
                <w:kern w:val="0"/>
                <w:szCs w:val="21"/>
              </w:rPr>
              <w:t>以前一年份</w:t>
            </w:r>
            <w:r>
              <w:rPr>
                <w:rFonts w:hint="eastAsia" w:ascii="宋体" w:hAnsi="宋体" w:cs="宋体"/>
                <w:kern w:val="0"/>
                <w:szCs w:val="21"/>
                <w:lang w:val="en-US" w:eastAsia="zh-CN"/>
              </w:rPr>
              <w:t>高层次人才数为标准，每增加20%得1分，最高3分。</w:t>
            </w:r>
          </w:p>
        </w:tc>
        <w:tc>
          <w:tcPr>
            <w:tcW w:w="758" w:type="dxa"/>
            <w:tcBorders>
              <w:top w:val="single" w:color="auto" w:sz="4" w:space="0"/>
              <w:bottom w:val="single" w:color="auto" w:sz="4" w:space="0"/>
              <w:right w:val="single" w:color="auto" w:sz="4" w:space="0"/>
            </w:tcBorders>
            <w:noWrap/>
            <w:vAlign w:val="center"/>
          </w:tcPr>
          <w:p>
            <w:pPr>
              <w:widowControl/>
              <w:ind w:left="-50" w:right="-50"/>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041" w:type="dxa"/>
            <w:vMerge w:val="continue"/>
            <w:tcBorders>
              <w:left w:val="single" w:color="auto" w:sz="4" w:space="0"/>
            </w:tcBorders>
            <w:noWrap/>
            <w:vAlign w:val="center"/>
          </w:tcPr>
          <w:p>
            <w:pPr>
              <w:widowControl/>
              <w:jc w:val="center"/>
              <w:rPr>
                <w:rFonts w:hint="eastAsia" w:ascii="宋体" w:hAnsi="宋体" w:eastAsia="宋体" w:cs="宋体"/>
                <w:b/>
                <w:bCs/>
                <w:kern w:val="0"/>
                <w:szCs w:val="21"/>
              </w:rPr>
            </w:pPr>
          </w:p>
        </w:tc>
        <w:tc>
          <w:tcPr>
            <w:tcW w:w="1059" w:type="dxa"/>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满意度</w:t>
            </w:r>
          </w:p>
          <w:p>
            <w:pPr>
              <w:widowControl/>
              <w:jc w:val="center"/>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cs="宋体"/>
                <w:kern w:val="0"/>
                <w:szCs w:val="21"/>
                <w:lang w:val="en-US" w:eastAsia="zh-CN"/>
              </w:rPr>
              <w:t>5</w:t>
            </w:r>
            <w:r>
              <w:rPr>
                <w:rFonts w:hint="eastAsia" w:ascii="宋体" w:hAnsi="宋体" w:eastAsia="宋体" w:cs="宋体"/>
                <w:kern w:val="0"/>
                <w:szCs w:val="21"/>
              </w:rPr>
              <w:t>分）</w:t>
            </w:r>
          </w:p>
        </w:tc>
        <w:tc>
          <w:tcPr>
            <w:tcW w:w="1750" w:type="dxa"/>
            <w:tcBorders>
              <w:top w:val="single" w:color="auto" w:sz="4" w:space="0"/>
              <w:bottom w:val="single" w:color="auto" w:sz="4" w:space="0"/>
            </w:tcBorders>
            <w:noWrap/>
            <w:vAlign w:val="center"/>
          </w:tcPr>
          <w:p>
            <w:pPr>
              <w:widowControl/>
              <w:jc w:val="center"/>
              <w:rPr>
                <w:rFonts w:hint="eastAsia" w:ascii="宋体" w:hAnsi="宋体" w:eastAsia="宋体" w:cs="宋体"/>
                <w:kern w:val="0"/>
                <w:szCs w:val="21"/>
              </w:rPr>
            </w:pPr>
            <w:r>
              <w:rPr>
                <w:rFonts w:hint="eastAsia" w:ascii="宋体" w:hAnsi="宋体" w:cs="宋体"/>
                <w:kern w:val="0"/>
                <w:szCs w:val="21"/>
                <w:lang w:val="en-US" w:eastAsia="zh-CN"/>
              </w:rPr>
              <w:t>服务对象</w:t>
            </w:r>
            <w:r>
              <w:rPr>
                <w:rFonts w:hint="eastAsia" w:ascii="宋体" w:hAnsi="宋体" w:eastAsia="宋体" w:cs="宋体"/>
                <w:kern w:val="0"/>
                <w:szCs w:val="21"/>
              </w:rPr>
              <w:t>满意度</w:t>
            </w:r>
          </w:p>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rPr>
              <w:t>（</w:t>
            </w:r>
            <w:r>
              <w:rPr>
                <w:rFonts w:hint="eastAsia" w:ascii="宋体" w:hAnsi="宋体" w:cs="宋体"/>
                <w:kern w:val="0"/>
                <w:szCs w:val="21"/>
                <w:lang w:val="en-US" w:eastAsia="zh-CN"/>
              </w:rPr>
              <w:t>5</w:t>
            </w:r>
            <w:r>
              <w:rPr>
                <w:rFonts w:hint="eastAsia" w:ascii="宋体" w:hAnsi="宋体" w:eastAsia="宋体" w:cs="宋体"/>
                <w:kern w:val="0"/>
                <w:szCs w:val="21"/>
              </w:rPr>
              <w:t>分）</w:t>
            </w:r>
          </w:p>
        </w:tc>
        <w:tc>
          <w:tcPr>
            <w:tcW w:w="5300" w:type="dxa"/>
            <w:tcBorders>
              <w:top w:val="single" w:color="auto" w:sz="4" w:space="0"/>
              <w:bottom w:val="single" w:color="auto" w:sz="4" w:space="0"/>
              <w:right w:val="single" w:color="auto" w:sz="4" w:space="0"/>
            </w:tcBorders>
            <w:noWrap/>
            <w:vAlign w:val="center"/>
          </w:tcPr>
          <w:p>
            <w:pPr>
              <w:widowControl/>
              <w:ind w:left="-50" w:leftChars="0" w:right="-50" w:rightChars="0"/>
              <w:jc w:val="both"/>
              <w:rPr>
                <w:rFonts w:hint="eastAsia" w:ascii="宋体" w:hAnsi="宋体" w:eastAsia="宋体" w:cs="宋体"/>
                <w:kern w:val="0"/>
                <w:szCs w:val="21"/>
              </w:rPr>
            </w:pPr>
            <w:r>
              <w:rPr>
                <w:rFonts w:hint="eastAsia" w:ascii="宋体" w:hAnsi="宋体" w:eastAsia="宋体" w:cs="宋体"/>
                <w:kern w:val="0"/>
                <w:szCs w:val="21"/>
              </w:rPr>
              <w:t>有效调查问卷样本量中，</w:t>
            </w:r>
            <w:r>
              <w:rPr>
                <w:rFonts w:hint="eastAsia" w:ascii="宋体" w:hAnsi="宋体" w:cs="宋体"/>
                <w:kern w:val="0"/>
                <w:szCs w:val="21"/>
                <w:lang w:val="en-US" w:eastAsia="zh-CN"/>
              </w:rPr>
              <w:t>服务对象</w:t>
            </w:r>
            <w:r>
              <w:rPr>
                <w:rFonts w:hint="eastAsia" w:ascii="宋体" w:hAnsi="宋体" w:eastAsia="宋体" w:cs="宋体"/>
                <w:kern w:val="0"/>
                <w:szCs w:val="21"/>
              </w:rPr>
              <w:t>满意度≥95%，得满分；每</w:t>
            </w:r>
            <w:r>
              <w:rPr>
                <w:rFonts w:hint="eastAsia" w:ascii="宋体" w:hAnsi="宋体" w:cs="宋体"/>
                <w:kern w:val="0"/>
                <w:szCs w:val="21"/>
                <w:lang w:val="en-US" w:eastAsia="zh-CN"/>
              </w:rPr>
              <w:t>降低</w:t>
            </w:r>
            <w:r>
              <w:rPr>
                <w:rFonts w:hint="eastAsia" w:ascii="宋体" w:hAnsi="宋体" w:eastAsia="宋体" w:cs="宋体"/>
                <w:kern w:val="0"/>
                <w:szCs w:val="21"/>
              </w:rPr>
              <w:t>5%扣1分，扣完为止。</w:t>
            </w:r>
          </w:p>
        </w:tc>
        <w:tc>
          <w:tcPr>
            <w:tcW w:w="758" w:type="dxa"/>
            <w:tcBorders>
              <w:top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kern w:val="0"/>
                <w:szCs w:val="21"/>
                <w:lang w:val="en-US" w:eastAsia="zh-CN"/>
              </w:rPr>
            </w:pPr>
            <w:r>
              <w:rPr>
                <w:rFonts w:hint="eastAsia" w:ascii="宋体" w:hAnsi="宋体" w:cs="宋体"/>
                <w:b/>
                <w:bCs/>
                <w:kern w:val="0"/>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150" w:type="dxa"/>
            <w:gridSpan w:val="4"/>
            <w:tcBorders>
              <w:left w:val="single" w:color="auto" w:sz="4" w:space="0"/>
              <w:right w:val="single" w:color="auto" w:sz="4" w:space="0"/>
            </w:tcBorders>
            <w:noWrap/>
            <w:vAlign w:val="center"/>
          </w:tcPr>
          <w:p>
            <w:pPr>
              <w:widowControl/>
              <w:ind w:left="-50" w:leftChars="0" w:right="-50" w:rightChars="0"/>
              <w:jc w:val="center"/>
              <w:rPr>
                <w:rFonts w:hint="eastAsia" w:ascii="宋体" w:hAnsi="宋体" w:eastAsia="宋体" w:cs="宋体"/>
                <w:kern w:val="0"/>
                <w:szCs w:val="21"/>
              </w:rPr>
            </w:pPr>
            <w:r>
              <w:rPr>
                <w:rFonts w:hint="eastAsia" w:cs="宋体"/>
                <w:b/>
                <w:bCs/>
                <w:kern w:val="0"/>
                <w:szCs w:val="24"/>
              </w:rPr>
              <w:t>总分</w:t>
            </w:r>
            <w:r>
              <w:rPr>
                <w:rFonts w:hint="eastAsia" w:ascii="宋体" w:hAnsi="宋体" w:eastAsia="宋体" w:cs="宋体"/>
                <w:b/>
                <w:bCs/>
                <w:kern w:val="0"/>
                <w:sz w:val="21"/>
                <w:szCs w:val="21"/>
              </w:rPr>
              <w:t>（S）</w:t>
            </w:r>
          </w:p>
        </w:tc>
        <w:tc>
          <w:tcPr>
            <w:tcW w:w="758" w:type="dxa"/>
            <w:tcBorders>
              <w:top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81.38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100" w:type="dxa"/>
            <w:gridSpan w:val="2"/>
            <w:tcBorders>
              <w:left w:val="single" w:color="auto" w:sz="4" w:space="0"/>
              <w:right w:val="single" w:color="auto" w:sz="4" w:space="0"/>
            </w:tcBorders>
            <w:noWrap/>
            <w:vAlign w:val="center"/>
          </w:tcPr>
          <w:p>
            <w:pPr>
              <w:widowControl/>
              <w:ind w:left="-50" w:leftChars="0" w:right="-50" w:rightChars="0"/>
              <w:jc w:val="center"/>
              <w:rPr>
                <w:rFonts w:hint="eastAsia" w:cs="宋体"/>
                <w:b/>
                <w:bCs/>
                <w:kern w:val="0"/>
                <w:szCs w:val="24"/>
              </w:rPr>
            </w:pPr>
            <w:r>
              <w:rPr>
                <w:rFonts w:hint="eastAsia" w:cs="宋体"/>
                <w:b/>
                <w:bCs/>
                <w:kern w:val="0"/>
                <w:sz w:val="21"/>
                <w:szCs w:val="21"/>
              </w:rPr>
              <w:t>评价等级</w:t>
            </w:r>
          </w:p>
        </w:tc>
        <w:tc>
          <w:tcPr>
            <w:tcW w:w="7808" w:type="dxa"/>
            <w:gridSpan w:val="3"/>
            <w:tcBorders>
              <w:left w:val="single" w:color="auto" w:sz="4" w:space="0"/>
              <w:right w:val="single" w:color="auto" w:sz="4" w:space="0"/>
            </w:tcBorders>
            <w:noWrap/>
            <w:vAlign w:val="center"/>
          </w:tcPr>
          <w:p>
            <w:pPr>
              <w:widowControl/>
              <w:jc w:val="both"/>
              <w:rPr>
                <w:rFonts w:hint="eastAsia" w:ascii="宋体" w:hAnsi="宋体" w:eastAsia="宋体" w:cs="宋体"/>
                <w:kern w:val="0"/>
                <w:szCs w:val="21"/>
              </w:rPr>
            </w:pPr>
            <w:r>
              <w:rPr>
                <w:rFonts w:hint="eastAsia" w:ascii="宋体" w:hAnsi="宋体" w:cs="宋体"/>
                <w:b/>
                <w:bCs/>
                <w:kern w:val="0"/>
                <w:sz w:val="21"/>
                <w:szCs w:val="21"/>
              </w:rPr>
              <w:t>□优（</w:t>
            </w:r>
            <w:r>
              <w:rPr>
                <w:rFonts w:ascii="宋体" w:hAnsi="宋体" w:cs="宋体"/>
                <w:b/>
                <w:bCs/>
                <w:kern w:val="0"/>
                <w:sz w:val="21"/>
                <w:szCs w:val="21"/>
              </w:rPr>
              <w:t>S</w:t>
            </w:r>
            <w:r>
              <w:rPr>
                <w:rFonts w:hint="eastAsia" w:ascii="宋体" w:hAnsi="宋体" w:eastAsia="宋体" w:cs="宋体"/>
                <w:b/>
                <w:bCs/>
                <w:kern w:val="0"/>
                <w:sz w:val="21"/>
                <w:szCs w:val="21"/>
              </w:rPr>
              <w:t>≥</w:t>
            </w:r>
            <w:r>
              <w:rPr>
                <w:rFonts w:hint="eastAsia" w:ascii="宋体" w:hAnsi="宋体" w:eastAsia="宋体" w:cs="宋体"/>
                <w:b/>
                <w:bCs/>
                <w:kern w:val="0"/>
                <w:sz w:val="21"/>
                <w:szCs w:val="21"/>
                <w:lang w:val="en-US" w:eastAsia="zh-CN"/>
              </w:rPr>
              <w:t>90</w:t>
            </w:r>
            <w:r>
              <w:rPr>
                <w:rFonts w:hint="eastAsia" w:ascii="宋体" w:hAnsi="宋体" w:cs="宋体"/>
                <w:b/>
                <w:bCs/>
                <w:kern w:val="0"/>
                <w:sz w:val="21"/>
                <w:szCs w:val="21"/>
              </w:rPr>
              <w:t>）</w:t>
            </w:r>
            <w:r>
              <w:rPr>
                <w:rFonts w:ascii="宋体" w:hAnsi="宋体" w:cs="宋体"/>
                <w:b/>
                <w:bCs/>
                <w:kern w:val="0"/>
                <w:sz w:val="21"/>
                <w:szCs w:val="21"/>
              </w:rPr>
              <w:t xml:space="preserve"> </w:t>
            </w:r>
            <w:r>
              <w:rPr>
                <w:rFonts w:hint="eastAsia" w:ascii="宋体" w:hAnsi="宋体" w:cs="宋体"/>
                <w:b/>
                <w:bCs/>
                <w:kern w:val="0"/>
                <w:sz w:val="21"/>
                <w:szCs w:val="21"/>
                <w:lang w:val="en-US" w:eastAsia="zh-CN"/>
              </w:rPr>
              <w:t xml:space="preserve"> </w:t>
            </w:r>
            <w:r>
              <w:rPr>
                <w:rFonts w:hint="eastAsia" w:ascii="宋体" w:hAnsi="宋体" w:cs="宋体"/>
                <w:b/>
                <w:bCs/>
                <w:kern w:val="0"/>
                <w:sz w:val="21"/>
                <w:szCs w:val="21"/>
              </w:rPr>
              <w:sym w:font="Wingdings 2" w:char="0052"/>
            </w:r>
            <w:r>
              <w:rPr>
                <w:rFonts w:hint="eastAsia" w:ascii="宋体" w:hAnsi="宋体" w:cs="宋体"/>
                <w:b/>
                <w:bCs/>
                <w:kern w:val="0"/>
                <w:sz w:val="21"/>
                <w:szCs w:val="21"/>
              </w:rPr>
              <w:t>良（</w:t>
            </w:r>
            <w:r>
              <w:rPr>
                <w:rFonts w:hint="eastAsia" w:ascii="宋体" w:hAnsi="宋体" w:cs="宋体"/>
                <w:b/>
                <w:bCs/>
                <w:kern w:val="0"/>
                <w:sz w:val="21"/>
                <w:szCs w:val="21"/>
                <w:lang w:val="en-US" w:eastAsia="zh-CN"/>
              </w:rPr>
              <w:t>90</w:t>
            </w:r>
            <w:r>
              <w:rPr>
                <w:rFonts w:hint="eastAsia" w:ascii="宋体" w:hAnsi="宋体" w:eastAsia="宋体" w:cs="宋体"/>
                <w:b/>
                <w:bCs/>
                <w:kern w:val="0"/>
                <w:sz w:val="21"/>
                <w:szCs w:val="21"/>
              </w:rPr>
              <w:t>﹥</w:t>
            </w:r>
            <w:r>
              <w:rPr>
                <w:rFonts w:ascii="宋体" w:hAnsi="宋体" w:cs="宋体"/>
                <w:b/>
                <w:bCs/>
                <w:kern w:val="0"/>
                <w:sz w:val="21"/>
                <w:szCs w:val="21"/>
              </w:rPr>
              <w:t>S</w:t>
            </w:r>
            <w:r>
              <w:rPr>
                <w:rFonts w:hint="eastAsia" w:ascii="宋体" w:hAnsi="宋体" w:eastAsia="宋体" w:cs="宋体"/>
                <w:b/>
                <w:bCs/>
                <w:kern w:val="0"/>
                <w:sz w:val="21"/>
                <w:szCs w:val="21"/>
              </w:rPr>
              <w:t>≧</w:t>
            </w:r>
            <w:r>
              <w:rPr>
                <w:rFonts w:hint="eastAsia" w:ascii="宋体" w:hAnsi="宋体" w:eastAsia="宋体" w:cs="宋体"/>
                <w:b/>
                <w:bCs/>
                <w:kern w:val="0"/>
                <w:sz w:val="21"/>
                <w:szCs w:val="21"/>
                <w:lang w:val="en-US" w:eastAsia="zh-CN"/>
              </w:rPr>
              <w:t>80</w:t>
            </w:r>
            <w:r>
              <w:rPr>
                <w:rFonts w:hint="eastAsia" w:ascii="宋体" w:hAnsi="宋体" w:cs="宋体"/>
                <w:b/>
                <w:bCs/>
                <w:kern w:val="0"/>
                <w:sz w:val="21"/>
                <w:szCs w:val="21"/>
              </w:rPr>
              <w:t>）</w:t>
            </w:r>
            <w:r>
              <w:rPr>
                <w:rFonts w:ascii="宋体" w:hAnsi="宋体" w:cs="宋体"/>
                <w:b/>
                <w:bCs/>
                <w:kern w:val="0"/>
                <w:sz w:val="21"/>
                <w:szCs w:val="21"/>
              </w:rPr>
              <w:t xml:space="preserve">  </w:t>
            </w:r>
            <w:r>
              <w:rPr>
                <w:rFonts w:hint="eastAsia" w:ascii="宋体" w:hAnsi="宋体" w:cs="宋体"/>
                <w:b/>
                <w:bCs/>
                <w:kern w:val="0"/>
                <w:sz w:val="21"/>
                <w:szCs w:val="21"/>
              </w:rPr>
              <w:t>□</w:t>
            </w:r>
            <w:r>
              <w:rPr>
                <w:rFonts w:hint="eastAsia" w:ascii="宋体" w:hAnsi="宋体" w:cs="宋体"/>
                <w:b/>
                <w:bCs/>
                <w:kern w:val="0"/>
                <w:sz w:val="21"/>
                <w:szCs w:val="21"/>
                <w:lang w:val="en-US" w:eastAsia="zh-CN"/>
              </w:rPr>
              <w:t>中</w:t>
            </w:r>
            <w:r>
              <w:rPr>
                <w:rFonts w:hint="eastAsia" w:ascii="宋体" w:hAnsi="宋体" w:cs="宋体"/>
                <w:b/>
                <w:bCs/>
                <w:kern w:val="0"/>
                <w:sz w:val="21"/>
                <w:szCs w:val="21"/>
              </w:rPr>
              <w:t>（</w:t>
            </w:r>
            <w:r>
              <w:rPr>
                <w:rFonts w:hint="eastAsia" w:ascii="宋体" w:hAnsi="宋体" w:cs="宋体"/>
                <w:b/>
                <w:bCs/>
                <w:kern w:val="0"/>
                <w:sz w:val="21"/>
                <w:szCs w:val="21"/>
                <w:lang w:val="en-US" w:eastAsia="zh-CN"/>
              </w:rPr>
              <w:t>80</w:t>
            </w:r>
            <w:r>
              <w:rPr>
                <w:rFonts w:hint="eastAsia" w:ascii="宋体" w:hAnsi="宋体" w:eastAsia="宋体" w:cs="宋体"/>
                <w:b/>
                <w:bCs/>
                <w:kern w:val="0"/>
                <w:sz w:val="21"/>
                <w:szCs w:val="21"/>
              </w:rPr>
              <w:t>﹥</w:t>
            </w:r>
            <w:r>
              <w:rPr>
                <w:rFonts w:ascii="宋体" w:hAnsi="宋体" w:cs="宋体"/>
                <w:b/>
                <w:bCs/>
                <w:kern w:val="0"/>
                <w:sz w:val="21"/>
                <w:szCs w:val="21"/>
              </w:rPr>
              <w:t>S</w:t>
            </w:r>
            <w:r>
              <w:rPr>
                <w:rFonts w:hint="eastAsia" w:ascii="宋体" w:hAnsi="宋体" w:eastAsia="宋体" w:cs="宋体"/>
                <w:b/>
                <w:bCs/>
                <w:kern w:val="0"/>
                <w:sz w:val="21"/>
                <w:szCs w:val="21"/>
              </w:rPr>
              <w:t>≧</w:t>
            </w:r>
            <w:r>
              <w:rPr>
                <w:rFonts w:ascii="宋体" w:hAnsi="宋体" w:cs="Calibri"/>
                <w:b/>
                <w:bCs/>
                <w:kern w:val="0"/>
                <w:sz w:val="21"/>
                <w:szCs w:val="21"/>
              </w:rPr>
              <w:t>60</w:t>
            </w:r>
            <w:r>
              <w:rPr>
                <w:rFonts w:hint="eastAsia" w:ascii="宋体" w:hAnsi="宋体" w:cs="宋体"/>
                <w:b/>
                <w:bCs/>
                <w:kern w:val="0"/>
                <w:sz w:val="21"/>
                <w:szCs w:val="21"/>
              </w:rPr>
              <w:t>）</w:t>
            </w:r>
            <w:r>
              <w:rPr>
                <w:rFonts w:ascii="宋体" w:hAnsi="宋体" w:cs="宋体"/>
                <w:b/>
                <w:bCs/>
                <w:kern w:val="0"/>
                <w:sz w:val="21"/>
                <w:szCs w:val="21"/>
              </w:rPr>
              <w:t xml:space="preserve">  </w:t>
            </w:r>
            <w:r>
              <w:rPr>
                <w:rFonts w:hint="eastAsia" w:ascii="宋体" w:hAnsi="宋体" w:cs="宋体"/>
                <w:b/>
                <w:bCs/>
                <w:kern w:val="0"/>
                <w:sz w:val="21"/>
                <w:szCs w:val="21"/>
              </w:rPr>
              <w:t>□</w:t>
            </w:r>
            <w:r>
              <w:rPr>
                <w:rFonts w:hint="eastAsia" w:ascii="宋体" w:hAnsi="宋体" w:cs="宋体"/>
                <w:b/>
                <w:bCs/>
                <w:kern w:val="0"/>
                <w:sz w:val="21"/>
                <w:szCs w:val="21"/>
                <w:lang w:val="en-US" w:eastAsia="zh-CN"/>
              </w:rPr>
              <w:t>差</w:t>
            </w:r>
            <w:r>
              <w:rPr>
                <w:rFonts w:hint="eastAsia" w:ascii="宋体" w:hAnsi="宋体" w:cs="宋体"/>
                <w:b/>
                <w:bCs/>
                <w:kern w:val="0"/>
                <w:sz w:val="21"/>
                <w:szCs w:val="21"/>
              </w:rPr>
              <w:t>（</w:t>
            </w:r>
            <w:r>
              <w:rPr>
                <w:rFonts w:ascii="宋体" w:hAnsi="宋体" w:cs="宋体"/>
                <w:b/>
                <w:bCs/>
                <w:kern w:val="0"/>
                <w:sz w:val="21"/>
                <w:szCs w:val="21"/>
              </w:rPr>
              <w:t>S&lt;60</w:t>
            </w:r>
            <w:r>
              <w:rPr>
                <w:rFonts w:hint="eastAsia" w:ascii="宋体" w:hAnsi="宋体" w:cs="宋体"/>
                <w:b/>
                <w:bCs/>
                <w:kern w:val="0"/>
                <w:sz w:val="21"/>
                <w:szCs w:val="21"/>
              </w:rPr>
              <w:t>）</w:t>
            </w:r>
          </w:p>
        </w:tc>
      </w:tr>
    </w:tbl>
    <w:p>
      <w:pPr>
        <w:rPr>
          <w:rFonts w:hint="eastAsia"/>
          <w:lang w:val="en-US" w:eastAsia="zh-CN"/>
        </w:rPr>
      </w:pPr>
    </w:p>
    <w:p>
      <w:pPr>
        <w:rPr>
          <w:rFonts w:hint="eastAsia" w:ascii="宋体" w:hAnsi="宋体"/>
          <w:color w:val="000000"/>
          <w:kern w:val="0"/>
          <w:sz w:val="28"/>
          <w:szCs w:val="28"/>
        </w:rPr>
      </w:pPr>
    </w:p>
    <w:bookmarkEnd w:id="88"/>
    <w:bookmarkEnd w:id="89"/>
    <w:bookmarkEnd w:id="90"/>
    <w:bookmarkEnd w:id="91"/>
    <w:bookmarkEnd w:id="92"/>
    <w:bookmarkEnd w:id="93"/>
    <w:bookmarkEnd w:id="94"/>
    <w:bookmarkEnd w:id="95"/>
    <w:bookmarkEnd w:id="96"/>
    <w:bookmarkEnd w:id="97"/>
    <w:p>
      <w:pPr>
        <w:pStyle w:val="2"/>
        <w:keepNext/>
        <w:keepLines/>
        <w:pageBreakBefore w:val="0"/>
        <w:widowControl w:val="0"/>
        <w:kinsoku/>
        <w:wordWrap/>
        <w:overflowPunct/>
        <w:topLinePunct w:val="0"/>
        <w:autoSpaceDE/>
        <w:autoSpaceDN/>
        <w:bidi w:val="0"/>
        <w:adjustRightInd/>
        <w:snapToGrid/>
        <w:spacing w:beforeLines="100" w:after="313" w:afterLines="100" w:line="360" w:lineRule="auto"/>
        <w:ind w:left="420" w:leftChars="200" w:right="420" w:rightChars="200"/>
        <w:jc w:val="center"/>
        <w:textAlignment w:val="auto"/>
        <w:rPr>
          <w:rFonts w:hint="eastAsia" w:ascii="方正小标宋_GBK" w:hAnsi="仿宋" w:eastAsia="方正小标宋_GBK" w:cs="黑体"/>
          <w:sz w:val="30"/>
          <w:szCs w:val="30"/>
          <w:lang w:val="en-US" w:eastAsia="zh-CN"/>
        </w:rPr>
      </w:pPr>
      <w:bookmarkStart w:id="98" w:name="_Toc18481"/>
      <w:bookmarkStart w:id="99" w:name="_Toc19879"/>
      <w:bookmarkStart w:id="100" w:name="_Toc500226202"/>
      <w:bookmarkStart w:id="101" w:name="_Toc7593"/>
      <w:r>
        <w:rPr>
          <w:rFonts w:hint="eastAsia" w:ascii="方正小标宋_GBK" w:hAnsi="仿宋" w:eastAsia="方正小标宋_GBK" w:cs="黑体"/>
          <w:sz w:val="30"/>
          <w:szCs w:val="30"/>
          <w:lang w:val="en-US" w:eastAsia="zh-CN"/>
        </w:rPr>
        <w:t>附录二  泉州市丰泽区2019年度扶持企业科技基金及扶持企业发展专项基金满意度调查问卷</w:t>
      </w:r>
      <w:bookmarkEnd w:id="98"/>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1"/>
          <w:szCs w:val="21"/>
        </w:rPr>
      </w:pPr>
      <w:r>
        <w:rPr>
          <w:rStyle w:val="16"/>
          <w:rFonts w:hint="eastAsia" w:ascii="宋体" w:hAnsi="宋体" w:eastAsia="宋体" w:cs="宋体"/>
          <w:color w:val="auto"/>
          <w:sz w:val="21"/>
          <w:szCs w:val="21"/>
          <w:rtl w:val="0"/>
        </w:rPr>
        <w:t>您好！首先感谢您在百忙之中抽出时间参与本次问卷调查。本次调查以匿名的方式进行，调查结果仅用于泉州市丰泽区2019年度扶持企业科技基金及扶持企业发展专项基金的绩效评价，不会对您造成不利影响，敬请按照实际情况填写。感谢您的合作！</w:t>
      </w:r>
    </w:p>
    <w:p>
      <w:pPr>
        <w:keepLines w:val="0"/>
        <w:spacing w:line="240" w:lineRule="auto"/>
        <w:jc w:val="left"/>
      </w:pPr>
    </w:p>
    <w:p>
      <w:pPr>
        <w:bidi w:val="0"/>
        <w:spacing w:line="360" w:lineRule="auto"/>
        <w:rPr>
          <w:rFonts w:hint="eastAsia" w:ascii="宋体" w:hAnsi="宋体" w:eastAsia="宋体" w:cs="宋体"/>
          <w:sz w:val="24"/>
          <w:szCs w:val="24"/>
        </w:rPr>
      </w:pPr>
      <w:r>
        <w:rPr>
          <w:rStyle w:val="16"/>
          <w:rFonts w:hint="eastAsia" w:ascii="宋体" w:hAnsi="宋体" w:eastAsia="宋体" w:cs="宋体"/>
          <w:sz w:val="24"/>
          <w:szCs w:val="24"/>
          <w:rtl w:val="0"/>
        </w:rPr>
        <w:t>1. 贵单位性质是</w:t>
      </w:r>
    </w:p>
    <w:tbl>
      <w:tblPr>
        <w:tblStyle w:val="1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928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16"/>
                <w:sz w:val="24"/>
                <w:szCs w:val="24"/>
                <w:rtl w:val="0"/>
              </w:rPr>
              <w:t>○企业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○科研院所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○高等院校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○政府机关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○其他</w:t>
            </w:r>
          </w:p>
        </w:tc>
      </w:tr>
    </w:tbl>
    <w:p/>
    <w:p>
      <w:pPr>
        <w:bidi w:val="0"/>
        <w:spacing w:line="360" w:lineRule="auto"/>
      </w:pPr>
      <w:r>
        <w:rPr>
          <w:rStyle w:val="16"/>
          <w:rFonts w:hint="eastAsia" w:ascii="宋体" w:hAnsi="宋体" w:eastAsia="宋体" w:cs="宋体"/>
          <w:sz w:val="24"/>
          <w:szCs w:val="24"/>
          <w:rtl w:val="0"/>
        </w:rPr>
        <w:t>2. 您对奖励、扶持或补助资金申报过程的评价是</w:t>
      </w:r>
    </w:p>
    <w:tbl>
      <w:tblPr>
        <w:tblStyle w:val="1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928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16"/>
                <w:sz w:val="24"/>
                <w:szCs w:val="24"/>
                <w:rtl w:val="0"/>
              </w:rPr>
              <w:t>○非常满意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○一般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○不满意</w:t>
            </w:r>
          </w:p>
        </w:tc>
      </w:tr>
    </w:tbl>
    <w:p/>
    <w:p>
      <w:pPr>
        <w:bidi w:val="0"/>
        <w:spacing w:line="360" w:lineRule="auto"/>
      </w:pPr>
      <w:r>
        <w:rPr>
          <w:rStyle w:val="16"/>
          <w:rFonts w:hint="eastAsia" w:ascii="宋体" w:hAnsi="宋体" w:eastAsia="宋体" w:cs="宋体"/>
          <w:sz w:val="24"/>
          <w:szCs w:val="24"/>
          <w:rtl w:val="0"/>
        </w:rPr>
        <w:t xml:space="preserve">3. 您对奖励、扶持或补助资金在组织实施信息公开和政策宣传等方面的评价是 </w:t>
      </w:r>
    </w:p>
    <w:tbl>
      <w:tblPr>
        <w:tblStyle w:val="1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928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16"/>
                <w:sz w:val="24"/>
                <w:szCs w:val="24"/>
                <w:rtl w:val="0"/>
              </w:rPr>
              <w:t>○非常满意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○一般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○不满意</w:t>
            </w:r>
          </w:p>
        </w:tc>
      </w:tr>
    </w:tbl>
    <w:p/>
    <w:p>
      <w:pPr>
        <w:bidi w:val="0"/>
        <w:spacing w:line="360" w:lineRule="auto"/>
      </w:pPr>
      <w:r>
        <w:rPr>
          <w:rStyle w:val="16"/>
          <w:rFonts w:hint="eastAsia" w:ascii="宋体" w:hAnsi="宋体" w:eastAsia="宋体" w:cs="宋体"/>
          <w:sz w:val="24"/>
          <w:szCs w:val="24"/>
          <w:rtl w:val="0"/>
        </w:rPr>
        <w:t>4. 您对项目立项或奖励扶持资金评审、验收等工作组织开展情况的评价是</w:t>
      </w:r>
    </w:p>
    <w:tbl>
      <w:tblPr>
        <w:tblStyle w:val="1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928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16"/>
                <w:sz w:val="24"/>
                <w:szCs w:val="24"/>
                <w:rtl w:val="0"/>
              </w:rPr>
              <w:t>○非常满意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○一般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○不满意</w:t>
            </w:r>
          </w:p>
        </w:tc>
      </w:tr>
    </w:tbl>
    <w:p/>
    <w:p>
      <w:pPr>
        <w:bidi w:val="0"/>
        <w:spacing w:line="360" w:lineRule="auto"/>
      </w:pPr>
      <w:r>
        <w:rPr>
          <w:rStyle w:val="16"/>
          <w:rFonts w:hint="eastAsia" w:ascii="宋体" w:hAnsi="宋体" w:eastAsia="宋体" w:cs="宋体"/>
          <w:sz w:val="24"/>
          <w:szCs w:val="24"/>
          <w:rtl w:val="0"/>
        </w:rPr>
        <w:t xml:space="preserve">5. 您对奖励、扶持或补助资金到位及时性的评价是 </w:t>
      </w:r>
    </w:p>
    <w:tbl>
      <w:tblPr>
        <w:tblStyle w:val="1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928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16"/>
                <w:sz w:val="24"/>
                <w:szCs w:val="24"/>
                <w:rtl w:val="0"/>
              </w:rPr>
              <w:t>○非常满意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○一般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○不满意</w:t>
            </w:r>
          </w:p>
        </w:tc>
      </w:tr>
    </w:tbl>
    <w:p/>
    <w:p>
      <w:pPr>
        <w:bidi w:val="0"/>
        <w:spacing w:line="360" w:lineRule="auto"/>
      </w:pPr>
      <w:r>
        <w:rPr>
          <w:rStyle w:val="16"/>
          <w:rFonts w:hint="eastAsia" w:ascii="宋体" w:hAnsi="宋体" w:eastAsia="宋体" w:cs="宋体"/>
          <w:sz w:val="24"/>
          <w:szCs w:val="24"/>
          <w:rtl w:val="0"/>
        </w:rPr>
        <w:t xml:space="preserve">6. 您对奖励、扶持或补助资金合理性（包括扶持方式、奖补标准等）的评价是 </w:t>
      </w:r>
    </w:p>
    <w:tbl>
      <w:tblPr>
        <w:tblStyle w:val="1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928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16"/>
                <w:sz w:val="24"/>
                <w:szCs w:val="24"/>
                <w:rtl w:val="0"/>
              </w:rPr>
              <w:t>○非常满意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○一般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○不满意</w:t>
            </w:r>
          </w:p>
        </w:tc>
      </w:tr>
    </w:tbl>
    <w:p/>
    <w:p>
      <w:pPr>
        <w:bidi w:val="0"/>
        <w:spacing w:line="360" w:lineRule="auto"/>
      </w:pPr>
      <w:r>
        <w:rPr>
          <w:rStyle w:val="16"/>
          <w:rFonts w:hint="eastAsia" w:ascii="宋体" w:hAnsi="宋体" w:eastAsia="宋体" w:cs="宋体"/>
          <w:sz w:val="24"/>
          <w:szCs w:val="24"/>
          <w:rtl w:val="0"/>
        </w:rPr>
        <w:t xml:space="preserve">7. 您对奖励、扶持或补助资金对本单位技术创新、研发能力提升等方面贡献的评价是 </w:t>
      </w:r>
    </w:p>
    <w:tbl>
      <w:tblPr>
        <w:tblStyle w:val="1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928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16"/>
                <w:sz w:val="24"/>
                <w:szCs w:val="24"/>
                <w:rtl w:val="0"/>
              </w:rPr>
              <w:t>○非常满意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○一般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○不满意</w:t>
            </w:r>
          </w:p>
        </w:tc>
      </w:tr>
    </w:tbl>
    <w:p/>
    <w:p>
      <w:pPr>
        <w:bidi w:val="0"/>
        <w:spacing w:line="360" w:lineRule="auto"/>
      </w:pPr>
      <w:r>
        <w:rPr>
          <w:rStyle w:val="16"/>
          <w:rFonts w:hint="eastAsia" w:ascii="宋体" w:hAnsi="宋体" w:eastAsia="宋体" w:cs="宋体"/>
          <w:sz w:val="24"/>
          <w:szCs w:val="24"/>
          <w:rtl w:val="0"/>
        </w:rPr>
        <w:t xml:space="preserve">8. 您对奖励、扶持或补助资金对本单位整体发展贡献的评价是 </w:t>
      </w:r>
    </w:p>
    <w:tbl>
      <w:tblPr>
        <w:tblStyle w:val="1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928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pPr>
            <w:r>
              <w:rPr>
                <w:rStyle w:val="16"/>
                <w:sz w:val="24"/>
                <w:szCs w:val="24"/>
                <w:rtl w:val="0"/>
              </w:rPr>
              <w:t>○非常满意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○满意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○一般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ascii="微软雅黑" w:hAnsi="微软雅黑" w:eastAsia="微软雅黑" w:cs="微软雅黑"/>
                <w:b w:val="0"/>
                <w:sz w:val="28"/>
              </w:rPr>
            </w:pPr>
            <w:r>
              <w:rPr>
                <w:rStyle w:val="16"/>
                <w:sz w:val="24"/>
                <w:szCs w:val="24"/>
                <w:rtl w:val="0"/>
              </w:rPr>
              <w:t>○不满意</w:t>
            </w:r>
          </w:p>
        </w:tc>
      </w:tr>
    </w:tbl>
    <w:p/>
    <w:p>
      <w:pPr>
        <w:bidi w:val="0"/>
        <w:spacing w:line="360" w:lineRule="auto"/>
        <w:rPr>
          <w:rFonts w:hint="eastAsia" w:ascii="宋体" w:hAnsi="宋体" w:eastAsia="宋体" w:cs="宋体"/>
          <w:sz w:val="24"/>
          <w:szCs w:val="24"/>
        </w:rPr>
      </w:pPr>
      <w:r>
        <w:rPr>
          <w:rStyle w:val="16"/>
          <w:rFonts w:hint="eastAsia" w:ascii="宋体" w:hAnsi="宋体" w:eastAsia="宋体" w:cs="宋体"/>
          <w:sz w:val="24"/>
          <w:szCs w:val="24"/>
          <w:rtl w:val="0"/>
        </w:rPr>
        <w:t>9. 您认为扶持企业科技基金及扶持企业发展专项基金目前需要改进的方面是：</w:t>
      </w:r>
    </w:p>
    <w:p>
      <w:pPr>
        <w:spacing w:line="312" w:lineRule="auto"/>
        <w:rPr>
          <w:sz w:val="24"/>
          <w:u w:val="single"/>
        </w:rPr>
      </w:pPr>
      <w:r>
        <w:rPr>
          <w:rFonts w:hint="eastAsia"/>
          <w:sz w:val="24"/>
          <w:u w:val="single"/>
        </w:rPr>
        <w:t xml:space="preserve">                                                                                 </w:t>
      </w:r>
    </w:p>
    <w:p>
      <w:pPr>
        <w:spacing w:line="312" w:lineRule="auto"/>
        <w:rPr>
          <w:rFonts w:hint="eastAsia" w:ascii="宋体" w:hAnsi="宋体" w:cs="宋体"/>
          <w:kern w:val="0"/>
          <w:sz w:val="28"/>
          <w:szCs w:val="28"/>
        </w:rPr>
      </w:pPr>
      <w:r>
        <w:rPr>
          <w:rFonts w:hint="eastAsia"/>
          <w:sz w:val="24"/>
          <w:u w:val="single"/>
        </w:rPr>
        <w:t xml:space="preserve">                                                                            </w:t>
      </w:r>
      <w:bookmarkEnd w:id="99"/>
      <w:bookmarkEnd w:id="100"/>
      <w:bookmarkEnd w:id="101"/>
    </w:p>
    <w:sectPr>
      <w:footerReference r:id="rId5" w:type="default"/>
      <w:pgSz w:w="11906" w:h="16838"/>
      <w:pgMar w:top="1418" w:right="1134"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LF-3-0-1335754762+ZJZHnC-674">
    <w:altName w:val="Cambria"/>
    <w:panose1 w:val="00000000000000000000"/>
    <w:charset w:val="00"/>
    <w:family w:val="roman"/>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separate"/>
    </w:r>
    <w:r>
      <w:rPr>
        <w:rStyle w:val="18"/>
      </w:rPr>
      <w:t>30</w:t>
    </w:r>
    <w:r>
      <w:fldChar w:fldCharType="end"/>
    </w:r>
  </w:p>
  <w:p>
    <w:pPr>
      <w:pStyle w:val="8"/>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9A"/>
    <w:rsid w:val="00006631"/>
    <w:rsid w:val="000075C3"/>
    <w:rsid w:val="00014F85"/>
    <w:rsid w:val="00015BA0"/>
    <w:rsid w:val="00022EE8"/>
    <w:rsid w:val="00030CBF"/>
    <w:rsid w:val="000331BA"/>
    <w:rsid w:val="00042669"/>
    <w:rsid w:val="000455C3"/>
    <w:rsid w:val="00055F2D"/>
    <w:rsid w:val="000619C0"/>
    <w:rsid w:val="000623B6"/>
    <w:rsid w:val="00070DDF"/>
    <w:rsid w:val="00081767"/>
    <w:rsid w:val="00082074"/>
    <w:rsid w:val="000826F3"/>
    <w:rsid w:val="00083E78"/>
    <w:rsid w:val="0009188B"/>
    <w:rsid w:val="000A0F58"/>
    <w:rsid w:val="000A11E3"/>
    <w:rsid w:val="000A1FF4"/>
    <w:rsid w:val="000A5B67"/>
    <w:rsid w:val="000C3EC5"/>
    <w:rsid w:val="000D6A03"/>
    <w:rsid w:val="000E52A7"/>
    <w:rsid w:val="000E52F7"/>
    <w:rsid w:val="000F0479"/>
    <w:rsid w:val="00102D86"/>
    <w:rsid w:val="001037D8"/>
    <w:rsid w:val="00105E39"/>
    <w:rsid w:val="001103F6"/>
    <w:rsid w:val="001122D9"/>
    <w:rsid w:val="00115ED0"/>
    <w:rsid w:val="0011662A"/>
    <w:rsid w:val="001268B1"/>
    <w:rsid w:val="0013142B"/>
    <w:rsid w:val="001344B5"/>
    <w:rsid w:val="00140214"/>
    <w:rsid w:val="001407E5"/>
    <w:rsid w:val="0017049B"/>
    <w:rsid w:val="00172A27"/>
    <w:rsid w:val="00176E92"/>
    <w:rsid w:val="00184601"/>
    <w:rsid w:val="00191795"/>
    <w:rsid w:val="001A60D8"/>
    <w:rsid w:val="001A6BDD"/>
    <w:rsid w:val="001B0180"/>
    <w:rsid w:val="001B3EC0"/>
    <w:rsid w:val="001C1A49"/>
    <w:rsid w:val="001D001B"/>
    <w:rsid w:val="001D2FC1"/>
    <w:rsid w:val="001D61AA"/>
    <w:rsid w:val="001E0520"/>
    <w:rsid w:val="001E72E7"/>
    <w:rsid w:val="002038BA"/>
    <w:rsid w:val="00204A01"/>
    <w:rsid w:val="00205D0C"/>
    <w:rsid w:val="0021677A"/>
    <w:rsid w:val="00226456"/>
    <w:rsid w:val="00230F86"/>
    <w:rsid w:val="002370AC"/>
    <w:rsid w:val="0024010E"/>
    <w:rsid w:val="00244A56"/>
    <w:rsid w:val="00260843"/>
    <w:rsid w:val="0026530F"/>
    <w:rsid w:val="002666ED"/>
    <w:rsid w:val="0027600A"/>
    <w:rsid w:val="002903FB"/>
    <w:rsid w:val="00291EE0"/>
    <w:rsid w:val="00293401"/>
    <w:rsid w:val="00295F70"/>
    <w:rsid w:val="002A20DD"/>
    <w:rsid w:val="002B2037"/>
    <w:rsid w:val="002B629F"/>
    <w:rsid w:val="002D344F"/>
    <w:rsid w:val="002D3A2C"/>
    <w:rsid w:val="002D5916"/>
    <w:rsid w:val="002D7DD9"/>
    <w:rsid w:val="002E5F06"/>
    <w:rsid w:val="002F074B"/>
    <w:rsid w:val="002F2C1E"/>
    <w:rsid w:val="002F2D54"/>
    <w:rsid w:val="002F6B8C"/>
    <w:rsid w:val="003048EA"/>
    <w:rsid w:val="0030614B"/>
    <w:rsid w:val="00314BC2"/>
    <w:rsid w:val="00316EB9"/>
    <w:rsid w:val="00317AC2"/>
    <w:rsid w:val="0032130D"/>
    <w:rsid w:val="0033048E"/>
    <w:rsid w:val="00334D83"/>
    <w:rsid w:val="00341019"/>
    <w:rsid w:val="0034136F"/>
    <w:rsid w:val="0034445C"/>
    <w:rsid w:val="003457EF"/>
    <w:rsid w:val="0035796C"/>
    <w:rsid w:val="003617CB"/>
    <w:rsid w:val="00365D5A"/>
    <w:rsid w:val="0037035F"/>
    <w:rsid w:val="00382941"/>
    <w:rsid w:val="003B2D89"/>
    <w:rsid w:val="003B7AA3"/>
    <w:rsid w:val="003C55A6"/>
    <w:rsid w:val="003C58C1"/>
    <w:rsid w:val="003D293F"/>
    <w:rsid w:val="003D6067"/>
    <w:rsid w:val="003D60C4"/>
    <w:rsid w:val="003D727D"/>
    <w:rsid w:val="003E0406"/>
    <w:rsid w:val="003E3211"/>
    <w:rsid w:val="003E3FAB"/>
    <w:rsid w:val="003E7D2C"/>
    <w:rsid w:val="003F0596"/>
    <w:rsid w:val="003F47A5"/>
    <w:rsid w:val="003F5873"/>
    <w:rsid w:val="00413913"/>
    <w:rsid w:val="0042727C"/>
    <w:rsid w:val="00431296"/>
    <w:rsid w:val="00435C37"/>
    <w:rsid w:val="004362A3"/>
    <w:rsid w:val="0044434E"/>
    <w:rsid w:val="00446D36"/>
    <w:rsid w:val="00446E21"/>
    <w:rsid w:val="004531B8"/>
    <w:rsid w:val="0045732F"/>
    <w:rsid w:val="004575E8"/>
    <w:rsid w:val="00462EDA"/>
    <w:rsid w:val="00472A71"/>
    <w:rsid w:val="00475EA6"/>
    <w:rsid w:val="0047613A"/>
    <w:rsid w:val="00480398"/>
    <w:rsid w:val="00481C0B"/>
    <w:rsid w:val="00485377"/>
    <w:rsid w:val="00487A04"/>
    <w:rsid w:val="0049177B"/>
    <w:rsid w:val="004959B0"/>
    <w:rsid w:val="004A09AC"/>
    <w:rsid w:val="004A142F"/>
    <w:rsid w:val="004A273C"/>
    <w:rsid w:val="004A5A5A"/>
    <w:rsid w:val="004A7557"/>
    <w:rsid w:val="004B0491"/>
    <w:rsid w:val="004B12EF"/>
    <w:rsid w:val="004B2C68"/>
    <w:rsid w:val="004B3732"/>
    <w:rsid w:val="004C676B"/>
    <w:rsid w:val="004D443D"/>
    <w:rsid w:val="004D56BF"/>
    <w:rsid w:val="004E0CB2"/>
    <w:rsid w:val="004E4035"/>
    <w:rsid w:val="004E4988"/>
    <w:rsid w:val="004E6558"/>
    <w:rsid w:val="004E67E1"/>
    <w:rsid w:val="004E7049"/>
    <w:rsid w:val="00515E5F"/>
    <w:rsid w:val="005227F6"/>
    <w:rsid w:val="005375BB"/>
    <w:rsid w:val="00541FAE"/>
    <w:rsid w:val="00542849"/>
    <w:rsid w:val="00544817"/>
    <w:rsid w:val="005458AE"/>
    <w:rsid w:val="00552E5C"/>
    <w:rsid w:val="00564465"/>
    <w:rsid w:val="00575800"/>
    <w:rsid w:val="00581FA1"/>
    <w:rsid w:val="00583A16"/>
    <w:rsid w:val="005865E9"/>
    <w:rsid w:val="005870CE"/>
    <w:rsid w:val="00597426"/>
    <w:rsid w:val="005A3476"/>
    <w:rsid w:val="005A42A2"/>
    <w:rsid w:val="005A4FB5"/>
    <w:rsid w:val="005C2946"/>
    <w:rsid w:val="005C6899"/>
    <w:rsid w:val="005E5B55"/>
    <w:rsid w:val="005F27B4"/>
    <w:rsid w:val="005F4954"/>
    <w:rsid w:val="005F4CB2"/>
    <w:rsid w:val="005F612A"/>
    <w:rsid w:val="006035DC"/>
    <w:rsid w:val="00606448"/>
    <w:rsid w:val="00614616"/>
    <w:rsid w:val="00616C18"/>
    <w:rsid w:val="00642740"/>
    <w:rsid w:val="006447BC"/>
    <w:rsid w:val="00646EE3"/>
    <w:rsid w:val="0065165D"/>
    <w:rsid w:val="00654FA6"/>
    <w:rsid w:val="00655038"/>
    <w:rsid w:val="0066410F"/>
    <w:rsid w:val="00684304"/>
    <w:rsid w:val="00685580"/>
    <w:rsid w:val="00686B17"/>
    <w:rsid w:val="00696F29"/>
    <w:rsid w:val="006A141B"/>
    <w:rsid w:val="006A4247"/>
    <w:rsid w:val="006A6612"/>
    <w:rsid w:val="006B0337"/>
    <w:rsid w:val="006B0706"/>
    <w:rsid w:val="006B272E"/>
    <w:rsid w:val="006C3753"/>
    <w:rsid w:val="006D329F"/>
    <w:rsid w:val="006D3784"/>
    <w:rsid w:val="006E22C7"/>
    <w:rsid w:val="006E31A9"/>
    <w:rsid w:val="006E5802"/>
    <w:rsid w:val="006F2141"/>
    <w:rsid w:val="006F2AC3"/>
    <w:rsid w:val="006F52AB"/>
    <w:rsid w:val="007017B2"/>
    <w:rsid w:val="007017DE"/>
    <w:rsid w:val="00712FAE"/>
    <w:rsid w:val="00726E49"/>
    <w:rsid w:val="00731DAC"/>
    <w:rsid w:val="00732577"/>
    <w:rsid w:val="00733582"/>
    <w:rsid w:val="00734D51"/>
    <w:rsid w:val="00734EB7"/>
    <w:rsid w:val="00735D2A"/>
    <w:rsid w:val="00740295"/>
    <w:rsid w:val="00742EA6"/>
    <w:rsid w:val="007450DE"/>
    <w:rsid w:val="00746C43"/>
    <w:rsid w:val="00747BFE"/>
    <w:rsid w:val="00752B79"/>
    <w:rsid w:val="00760AB3"/>
    <w:rsid w:val="0076179A"/>
    <w:rsid w:val="00771398"/>
    <w:rsid w:val="007725FD"/>
    <w:rsid w:val="00775993"/>
    <w:rsid w:val="007773A3"/>
    <w:rsid w:val="00780F1A"/>
    <w:rsid w:val="00786BD8"/>
    <w:rsid w:val="007A04DD"/>
    <w:rsid w:val="007A056E"/>
    <w:rsid w:val="007A36C2"/>
    <w:rsid w:val="007B08A3"/>
    <w:rsid w:val="007C54F1"/>
    <w:rsid w:val="007D2F2E"/>
    <w:rsid w:val="007E1529"/>
    <w:rsid w:val="007E530D"/>
    <w:rsid w:val="007E5351"/>
    <w:rsid w:val="007E549E"/>
    <w:rsid w:val="007E5603"/>
    <w:rsid w:val="007F18E8"/>
    <w:rsid w:val="007F5990"/>
    <w:rsid w:val="00802931"/>
    <w:rsid w:val="00803EB3"/>
    <w:rsid w:val="00804232"/>
    <w:rsid w:val="008122F4"/>
    <w:rsid w:val="00833CD3"/>
    <w:rsid w:val="00835190"/>
    <w:rsid w:val="00835EA5"/>
    <w:rsid w:val="008420B1"/>
    <w:rsid w:val="00843E86"/>
    <w:rsid w:val="0084432A"/>
    <w:rsid w:val="00844A7B"/>
    <w:rsid w:val="008520F1"/>
    <w:rsid w:val="00855BA6"/>
    <w:rsid w:val="00875D44"/>
    <w:rsid w:val="00883C8F"/>
    <w:rsid w:val="00883F5E"/>
    <w:rsid w:val="00885BC5"/>
    <w:rsid w:val="0089355B"/>
    <w:rsid w:val="008971B9"/>
    <w:rsid w:val="008A08A4"/>
    <w:rsid w:val="008A7F78"/>
    <w:rsid w:val="008B3648"/>
    <w:rsid w:val="008B58EC"/>
    <w:rsid w:val="008C0C18"/>
    <w:rsid w:val="008C7EBF"/>
    <w:rsid w:val="008D0236"/>
    <w:rsid w:val="008D5809"/>
    <w:rsid w:val="008E3137"/>
    <w:rsid w:val="008E4660"/>
    <w:rsid w:val="008E5C9F"/>
    <w:rsid w:val="008E743D"/>
    <w:rsid w:val="00904065"/>
    <w:rsid w:val="00907A1F"/>
    <w:rsid w:val="00914565"/>
    <w:rsid w:val="0092310B"/>
    <w:rsid w:val="009237E1"/>
    <w:rsid w:val="0093244F"/>
    <w:rsid w:val="00934456"/>
    <w:rsid w:val="00934981"/>
    <w:rsid w:val="00937F90"/>
    <w:rsid w:val="00941011"/>
    <w:rsid w:val="009518F1"/>
    <w:rsid w:val="00952306"/>
    <w:rsid w:val="0095255E"/>
    <w:rsid w:val="0095605C"/>
    <w:rsid w:val="0096173D"/>
    <w:rsid w:val="00962F7E"/>
    <w:rsid w:val="009634CE"/>
    <w:rsid w:val="00971C41"/>
    <w:rsid w:val="00971CA9"/>
    <w:rsid w:val="00980993"/>
    <w:rsid w:val="009810EA"/>
    <w:rsid w:val="00985CD1"/>
    <w:rsid w:val="0098600F"/>
    <w:rsid w:val="009876C9"/>
    <w:rsid w:val="00987E37"/>
    <w:rsid w:val="00995EF8"/>
    <w:rsid w:val="00996147"/>
    <w:rsid w:val="00997E0D"/>
    <w:rsid w:val="009A1BA6"/>
    <w:rsid w:val="009A1DBD"/>
    <w:rsid w:val="009A34BC"/>
    <w:rsid w:val="009B284A"/>
    <w:rsid w:val="009C6C52"/>
    <w:rsid w:val="009C787F"/>
    <w:rsid w:val="009E3F7B"/>
    <w:rsid w:val="009E55F3"/>
    <w:rsid w:val="00A01B73"/>
    <w:rsid w:val="00A02A03"/>
    <w:rsid w:val="00A11A7D"/>
    <w:rsid w:val="00A20F50"/>
    <w:rsid w:val="00A2668C"/>
    <w:rsid w:val="00A32DBE"/>
    <w:rsid w:val="00A534E2"/>
    <w:rsid w:val="00A55DCB"/>
    <w:rsid w:val="00A56368"/>
    <w:rsid w:val="00A576CE"/>
    <w:rsid w:val="00A64A8C"/>
    <w:rsid w:val="00A67788"/>
    <w:rsid w:val="00A73F53"/>
    <w:rsid w:val="00A741A0"/>
    <w:rsid w:val="00A773FA"/>
    <w:rsid w:val="00A80D77"/>
    <w:rsid w:val="00A874FF"/>
    <w:rsid w:val="00A87545"/>
    <w:rsid w:val="00A917D8"/>
    <w:rsid w:val="00A94C7C"/>
    <w:rsid w:val="00AA0A8E"/>
    <w:rsid w:val="00AA1C79"/>
    <w:rsid w:val="00AA1FCC"/>
    <w:rsid w:val="00AA6FB2"/>
    <w:rsid w:val="00AB282F"/>
    <w:rsid w:val="00AB6B18"/>
    <w:rsid w:val="00AC05E7"/>
    <w:rsid w:val="00AC5B83"/>
    <w:rsid w:val="00AC6A40"/>
    <w:rsid w:val="00AD1EBE"/>
    <w:rsid w:val="00AD4E5F"/>
    <w:rsid w:val="00AD501D"/>
    <w:rsid w:val="00AE5CB2"/>
    <w:rsid w:val="00AF1B52"/>
    <w:rsid w:val="00AF250F"/>
    <w:rsid w:val="00AF3A06"/>
    <w:rsid w:val="00AF4752"/>
    <w:rsid w:val="00AF4B7A"/>
    <w:rsid w:val="00AF6F6C"/>
    <w:rsid w:val="00AF7053"/>
    <w:rsid w:val="00B047D4"/>
    <w:rsid w:val="00B1154B"/>
    <w:rsid w:val="00B13BBB"/>
    <w:rsid w:val="00B21FC9"/>
    <w:rsid w:val="00B24B66"/>
    <w:rsid w:val="00B269DA"/>
    <w:rsid w:val="00B40F61"/>
    <w:rsid w:val="00B436A1"/>
    <w:rsid w:val="00B45910"/>
    <w:rsid w:val="00B470E7"/>
    <w:rsid w:val="00B508CA"/>
    <w:rsid w:val="00B520C7"/>
    <w:rsid w:val="00B57B9E"/>
    <w:rsid w:val="00B61787"/>
    <w:rsid w:val="00B63235"/>
    <w:rsid w:val="00B8224C"/>
    <w:rsid w:val="00B82924"/>
    <w:rsid w:val="00B94F0B"/>
    <w:rsid w:val="00BA08C0"/>
    <w:rsid w:val="00BA4047"/>
    <w:rsid w:val="00BA68F5"/>
    <w:rsid w:val="00BC5979"/>
    <w:rsid w:val="00BC7667"/>
    <w:rsid w:val="00BD2355"/>
    <w:rsid w:val="00BD3599"/>
    <w:rsid w:val="00BD3B1C"/>
    <w:rsid w:val="00BD586A"/>
    <w:rsid w:val="00BD5B23"/>
    <w:rsid w:val="00BD6725"/>
    <w:rsid w:val="00BF5D40"/>
    <w:rsid w:val="00BF621F"/>
    <w:rsid w:val="00BF6A31"/>
    <w:rsid w:val="00C02279"/>
    <w:rsid w:val="00C04303"/>
    <w:rsid w:val="00C06868"/>
    <w:rsid w:val="00C11B3E"/>
    <w:rsid w:val="00C205C7"/>
    <w:rsid w:val="00C22273"/>
    <w:rsid w:val="00C250D6"/>
    <w:rsid w:val="00C3070E"/>
    <w:rsid w:val="00C32AB9"/>
    <w:rsid w:val="00C34824"/>
    <w:rsid w:val="00C34ECD"/>
    <w:rsid w:val="00C52844"/>
    <w:rsid w:val="00C54AC1"/>
    <w:rsid w:val="00C56C1D"/>
    <w:rsid w:val="00C57016"/>
    <w:rsid w:val="00C662AF"/>
    <w:rsid w:val="00C67334"/>
    <w:rsid w:val="00C75D34"/>
    <w:rsid w:val="00C82380"/>
    <w:rsid w:val="00CA169C"/>
    <w:rsid w:val="00CA7BF2"/>
    <w:rsid w:val="00CB3868"/>
    <w:rsid w:val="00CB4CA0"/>
    <w:rsid w:val="00CC2A21"/>
    <w:rsid w:val="00CC460E"/>
    <w:rsid w:val="00CC49F9"/>
    <w:rsid w:val="00CC5B7D"/>
    <w:rsid w:val="00CC7920"/>
    <w:rsid w:val="00CD75F1"/>
    <w:rsid w:val="00CE35E1"/>
    <w:rsid w:val="00CF08CA"/>
    <w:rsid w:val="00CF37A7"/>
    <w:rsid w:val="00D2652D"/>
    <w:rsid w:val="00D34CD7"/>
    <w:rsid w:val="00D37FED"/>
    <w:rsid w:val="00D409B3"/>
    <w:rsid w:val="00D5043E"/>
    <w:rsid w:val="00D51F30"/>
    <w:rsid w:val="00D57D5A"/>
    <w:rsid w:val="00D75644"/>
    <w:rsid w:val="00D81D52"/>
    <w:rsid w:val="00D81F66"/>
    <w:rsid w:val="00D902D5"/>
    <w:rsid w:val="00D90D00"/>
    <w:rsid w:val="00D97DD5"/>
    <w:rsid w:val="00DA119A"/>
    <w:rsid w:val="00DA5785"/>
    <w:rsid w:val="00DB1836"/>
    <w:rsid w:val="00DC04B9"/>
    <w:rsid w:val="00DC0FDE"/>
    <w:rsid w:val="00DC1FF8"/>
    <w:rsid w:val="00DC6938"/>
    <w:rsid w:val="00DD4495"/>
    <w:rsid w:val="00DD4C42"/>
    <w:rsid w:val="00DD6E10"/>
    <w:rsid w:val="00DE3265"/>
    <w:rsid w:val="00DF027E"/>
    <w:rsid w:val="00DF099A"/>
    <w:rsid w:val="00E01052"/>
    <w:rsid w:val="00E112CD"/>
    <w:rsid w:val="00E17001"/>
    <w:rsid w:val="00E25698"/>
    <w:rsid w:val="00E25BC5"/>
    <w:rsid w:val="00E26B9D"/>
    <w:rsid w:val="00E31525"/>
    <w:rsid w:val="00E31DF1"/>
    <w:rsid w:val="00E332DF"/>
    <w:rsid w:val="00E421D0"/>
    <w:rsid w:val="00E430E1"/>
    <w:rsid w:val="00E465BD"/>
    <w:rsid w:val="00E47A38"/>
    <w:rsid w:val="00E54272"/>
    <w:rsid w:val="00E54FD7"/>
    <w:rsid w:val="00E56B9F"/>
    <w:rsid w:val="00E6410F"/>
    <w:rsid w:val="00E7042B"/>
    <w:rsid w:val="00E720D9"/>
    <w:rsid w:val="00E742AB"/>
    <w:rsid w:val="00E75F3F"/>
    <w:rsid w:val="00E91594"/>
    <w:rsid w:val="00E9239D"/>
    <w:rsid w:val="00E97856"/>
    <w:rsid w:val="00EA0012"/>
    <w:rsid w:val="00EB0A9C"/>
    <w:rsid w:val="00EB0EEF"/>
    <w:rsid w:val="00EB5C0B"/>
    <w:rsid w:val="00EC0AA4"/>
    <w:rsid w:val="00EC133B"/>
    <w:rsid w:val="00ED0608"/>
    <w:rsid w:val="00EE75FD"/>
    <w:rsid w:val="00F05B11"/>
    <w:rsid w:val="00F0640B"/>
    <w:rsid w:val="00F12871"/>
    <w:rsid w:val="00F17DBB"/>
    <w:rsid w:val="00F23AEB"/>
    <w:rsid w:val="00F3416E"/>
    <w:rsid w:val="00F3503D"/>
    <w:rsid w:val="00F35D7B"/>
    <w:rsid w:val="00F37E77"/>
    <w:rsid w:val="00F500A2"/>
    <w:rsid w:val="00F5150F"/>
    <w:rsid w:val="00F55D54"/>
    <w:rsid w:val="00F56148"/>
    <w:rsid w:val="00F70D73"/>
    <w:rsid w:val="00F8038B"/>
    <w:rsid w:val="00F8376C"/>
    <w:rsid w:val="00F9228C"/>
    <w:rsid w:val="00F933CF"/>
    <w:rsid w:val="00F94E7A"/>
    <w:rsid w:val="00F9577F"/>
    <w:rsid w:val="00FB3BB1"/>
    <w:rsid w:val="00FB3D0D"/>
    <w:rsid w:val="00FB454B"/>
    <w:rsid w:val="00FB6614"/>
    <w:rsid w:val="00FC051A"/>
    <w:rsid w:val="00FD1453"/>
    <w:rsid w:val="00FF124C"/>
    <w:rsid w:val="00FF69DB"/>
    <w:rsid w:val="00FF7FCB"/>
    <w:rsid w:val="011D51AD"/>
    <w:rsid w:val="011F6285"/>
    <w:rsid w:val="01300C44"/>
    <w:rsid w:val="015A749B"/>
    <w:rsid w:val="018A6449"/>
    <w:rsid w:val="019F5FD5"/>
    <w:rsid w:val="01BD1254"/>
    <w:rsid w:val="02177445"/>
    <w:rsid w:val="02236626"/>
    <w:rsid w:val="023B7BAA"/>
    <w:rsid w:val="02686A52"/>
    <w:rsid w:val="027D5C22"/>
    <w:rsid w:val="02AE45D7"/>
    <w:rsid w:val="02D74C50"/>
    <w:rsid w:val="031335AD"/>
    <w:rsid w:val="034A2702"/>
    <w:rsid w:val="035F44D9"/>
    <w:rsid w:val="0368728A"/>
    <w:rsid w:val="03883353"/>
    <w:rsid w:val="038E33D2"/>
    <w:rsid w:val="039C11F2"/>
    <w:rsid w:val="03A4239C"/>
    <w:rsid w:val="03B259E0"/>
    <w:rsid w:val="03B633AB"/>
    <w:rsid w:val="03E13069"/>
    <w:rsid w:val="03F15CB8"/>
    <w:rsid w:val="03FE12B6"/>
    <w:rsid w:val="04073C52"/>
    <w:rsid w:val="041219BC"/>
    <w:rsid w:val="04270D93"/>
    <w:rsid w:val="04362BB6"/>
    <w:rsid w:val="04397405"/>
    <w:rsid w:val="048261B1"/>
    <w:rsid w:val="04EB0194"/>
    <w:rsid w:val="04F84547"/>
    <w:rsid w:val="050A744F"/>
    <w:rsid w:val="051C4110"/>
    <w:rsid w:val="05241F9C"/>
    <w:rsid w:val="052563F8"/>
    <w:rsid w:val="05715474"/>
    <w:rsid w:val="05B041E6"/>
    <w:rsid w:val="05B6040D"/>
    <w:rsid w:val="05BC6882"/>
    <w:rsid w:val="05D02334"/>
    <w:rsid w:val="05D02FFA"/>
    <w:rsid w:val="05ED7A98"/>
    <w:rsid w:val="05EE31EC"/>
    <w:rsid w:val="05F42117"/>
    <w:rsid w:val="063273EC"/>
    <w:rsid w:val="0638004F"/>
    <w:rsid w:val="0648230F"/>
    <w:rsid w:val="06616E23"/>
    <w:rsid w:val="066E1E0B"/>
    <w:rsid w:val="06742844"/>
    <w:rsid w:val="06F77796"/>
    <w:rsid w:val="06FC6E66"/>
    <w:rsid w:val="070130DD"/>
    <w:rsid w:val="074C3E6E"/>
    <w:rsid w:val="075D783A"/>
    <w:rsid w:val="0785202B"/>
    <w:rsid w:val="0791604D"/>
    <w:rsid w:val="07AD2309"/>
    <w:rsid w:val="07B35680"/>
    <w:rsid w:val="07CF5BF6"/>
    <w:rsid w:val="07EB1BDE"/>
    <w:rsid w:val="07FF6426"/>
    <w:rsid w:val="08122E34"/>
    <w:rsid w:val="083027C0"/>
    <w:rsid w:val="08450EAD"/>
    <w:rsid w:val="084B68E3"/>
    <w:rsid w:val="088252C7"/>
    <w:rsid w:val="088914C6"/>
    <w:rsid w:val="08A139BB"/>
    <w:rsid w:val="08A86238"/>
    <w:rsid w:val="08B43333"/>
    <w:rsid w:val="08C01748"/>
    <w:rsid w:val="08D21004"/>
    <w:rsid w:val="08DC2AC7"/>
    <w:rsid w:val="091F1D5E"/>
    <w:rsid w:val="092B61F5"/>
    <w:rsid w:val="094A247E"/>
    <w:rsid w:val="09593DCE"/>
    <w:rsid w:val="096C23C5"/>
    <w:rsid w:val="097E1E65"/>
    <w:rsid w:val="09A721D8"/>
    <w:rsid w:val="09C3307E"/>
    <w:rsid w:val="09F93C80"/>
    <w:rsid w:val="0A3E5EC9"/>
    <w:rsid w:val="0A690797"/>
    <w:rsid w:val="0A6C6BD6"/>
    <w:rsid w:val="0A727185"/>
    <w:rsid w:val="0A904607"/>
    <w:rsid w:val="0A904A2E"/>
    <w:rsid w:val="0A9C589C"/>
    <w:rsid w:val="0AA20250"/>
    <w:rsid w:val="0AB15528"/>
    <w:rsid w:val="0ACA1FC8"/>
    <w:rsid w:val="0AD069FA"/>
    <w:rsid w:val="0AE547A4"/>
    <w:rsid w:val="0AE86158"/>
    <w:rsid w:val="0AEC23F8"/>
    <w:rsid w:val="0AEC6685"/>
    <w:rsid w:val="0AF175C7"/>
    <w:rsid w:val="0B082ECB"/>
    <w:rsid w:val="0B0E7B9F"/>
    <w:rsid w:val="0B180770"/>
    <w:rsid w:val="0B386EBC"/>
    <w:rsid w:val="0B4965E7"/>
    <w:rsid w:val="0B6F0001"/>
    <w:rsid w:val="0B943A84"/>
    <w:rsid w:val="0BA357A7"/>
    <w:rsid w:val="0BA652A4"/>
    <w:rsid w:val="0BAE6674"/>
    <w:rsid w:val="0BB209FD"/>
    <w:rsid w:val="0BF6323F"/>
    <w:rsid w:val="0C2E469D"/>
    <w:rsid w:val="0C610579"/>
    <w:rsid w:val="0CA875CB"/>
    <w:rsid w:val="0CC73F54"/>
    <w:rsid w:val="0CC834EC"/>
    <w:rsid w:val="0CDD4304"/>
    <w:rsid w:val="0D577915"/>
    <w:rsid w:val="0D673A21"/>
    <w:rsid w:val="0D822690"/>
    <w:rsid w:val="0D84535F"/>
    <w:rsid w:val="0D965ABC"/>
    <w:rsid w:val="0DAE222B"/>
    <w:rsid w:val="0E04625D"/>
    <w:rsid w:val="0E903CEC"/>
    <w:rsid w:val="0EA70210"/>
    <w:rsid w:val="0EE2557E"/>
    <w:rsid w:val="0EED48EB"/>
    <w:rsid w:val="0F1342E7"/>
    <w:rsid w:val="0F3542CD"/>
    <w:rsid w:val="0F45718B"/>
    <w:rsid w:val="0F6E7D9A"/>
    <w:rsid w:val="0F8F58E5"/>
    <w:rsid w:val="0FA30D84"/>
    <w:rsid w:val="0FB87310"/>
    <w:rsid w:val="0FC14C78"/>
    <w:rsid w:val="10192379"/>
    <w:rsid w:val="1022699B"/>
    <w:rsid w:val="102940DA"/>
    <w:rsid w:val="10594B5D"/>
    <w:rsid w:val="1068412F"/>
    <w:rsid w:val="108E3F57"/>
    <w:rsid w:val="109E72DB"/>
    <w:rsid w:val="10A345EA"/>
    <w:rsid w:val="10B16F95"/>
    <w:rsid w:val="10BE7A94"/>
    <w:rsid w:val="10C32BC2"/>
    <w:rsid w:val="10E362F0"/>
    <w:rsid w:val="10E41271"/>
    <w:rsid w:val="10E456DA"/>
    <w:rsid w:val="11070C15"/>
    <w:rsid w:val="114E0B65"/>
    <w:rsid w:val="114F42B4"/>
    <w:rsid w:val="1154344C"/>
    <w:rsid w:val="11554F81"/>
    <w:rsid w:val="115E09A9"/>
    <w:rsid w:val="1172763E"/>
    <w:rsid w:val="11A059AB"/>
    <w:rsid w:val="11A4698E"/>
    <w:rsid w:val="11BD06EC"/>
    <w:rsid w:val="1220528A"/>
    <w:rsid w:val="12354A05"/>
    <w:rsid w:val="123D5041"/>
    <w:rsid w:val="127E0EC7"/>
    <w:rsid w:val="12992E18"/>
    <w:rsid w:val="12B24059"/>
    <w:rsid w:val="12CA67C8"/>
    <w:rsid w:val="1340737D"/>
    <w:rsid w:val="13427E6E"/>
    <w:rsid w:val="1353502A"/>
    <w:rsid w:val="13617474"/>
    <w:rsid w:val="13642F3C"/>
    <w:rsid w:val="1375273F"/>
    <w:rsid w:val="13AC7550"/>
    <w:rsid w:val="13C3205C"/>
    <w:rsid w:val="13D62F90"/>
    <w:rsid w:val="13E445B4"/>
    <w:rsid w:val="13E53712"/>
    <w:rsid w:val="13E96899"/>
    <w:rsid w:val="13ED4B15"/>
    <w:rsid w:val="14377952"/>
    <w:rsid w:val="1451747B"/>
    <w:rsid w:val="146201AE"/>
    <w:rsid w:val="14840EBC"/>
    <w:rsid w:val="149F6E6F"/>
    <w:rsid w:val="14C34E71"/>
    <w:rsid w:val="14C924EE"/>
    <w:rsid w:val="14E66F29"/>
    <w:rsid w:val="154C6338"/>
    <w:rsid w:val="15553FED"/>
    <w:rsid w:val="15660793"/>
    <w:rsid w:val="157B1E18"/>
    <w:rsid w:val="15C55B25"/>
    <w:rsid w:val="15CD65FD"/>
    <w:rsid w:val="16097F3A"/>
    <w:rsid w:val="160A35DE"/>
    <w:rsid w:val="1638294F"/>
    <w:rsid w:val="1659025E"/>
    <w:rsid w:val="166407CA"/>
    <w:rsid w:val="16B56DDF"/>
    <w:rsid w:val="16D16103"/>
    <w:rsid w:val="16D314CA"/>
    <w:rsid w:val="16D64F97"/>
    <w:rsid w:val="16E61FD3"/>
    <w:rsid w:val="16FE6D95"/>
    <w:rsid w:val="1747107F"/>
    <w:rsid w:val="174D03BB"/>
    <w:rsid w:val="17656C84"/>
    <w:rsid w:val="17727EBF"/>
    <w:rsid w:val="179D4FA0"/>
    <w:rsid w:val="17B74ED8"/>
    <w:rsid w:val="17BA171B"/>
    <w:rsid w:val="17C165C7"/>
    <w:rsid w:val="17E071AF"/>
    <w:rsid w:val="17F44143"/>
    <w:rsid w:val="1801472E"/>
    <w:rsid w:val="18194399"/>
    <w:rsid w:val="182965B3"/>
    <w:rsid w:val="182F7729"/>
    <w:rsid w:val="183B01CD"/>
    <w:rsid w:val="18892E95"/>
    <w:rsid w:val="188B25A9"/>
    <w:rsid w:val="18A55285"/>
    <w:rsid w:val="18AC51CC"/>
    <w:rsid w:val="18BF6401"/>
    <w:rsid w:val="18EB265A"/>
    <w:rsid w:val="19260DA8"/>
    <w:rsid w:val="193948A9"/>
    <w:rsid w:val="19485A89"/>
    <w:rsid w:val="199E5FFC"/>
    <w:rsid w:val="19A902A3"/>
    <w:rsid w:val="19B0709F"/>
    <w:rsid w:val="19B55B6E"/>
    <w:rsid w:val="19B609CE"/>
    <w:rsid w:val="19DB3EDB"/>
    <w:rsid w:val="19E33162"/>
    <w:rsid w:val="19E640DD"/>
    <w:rsid w:val="1A015CA8"/>
    <w:rsid w:val="1A192051"/>
    <w:rsid w:val="1A4A5416"/>
    <w:rsid w:val="1AA41C50"/>
    <w:rsid w:val="1B157A9B"/>
    <w:rsid w:val="1B241F40"/>
    <w:rsid w:val="1B325B77"/>
    <w:rsid w:val="1B34361C"/>
    <w:rsid w:val="1BD8000B"/>
    <w:rsid w:val="1BEC01CC"/>
    <w:rsid w:val="1BF0499E"/>
    <w:rsid w:val="1C133058"/>
    <w:rsid w:val="1C266347"/>
    <w:rsid w:val="1C5A0477"/>
    <w:rsid w:val="1C5F637E"/>
    <w:rsid w:val="1C65773A"/>
    <w:rsid w:val="1C6826E9"/>
    <w:rsid w:val="1C810BBA"/>
    <w:rsid w:val="1C99554D"/>
    <w:rsid w:val="1CD37C90"/>
    <w:rsid w:val="1CFB153B"/>
    <w:rsid w:val="1D0C5C4E"/>
    <w:rsid w:val="1D1200F3"/>
    <w:rsid w:val="1D3D3191"/>
    <w:rsid w:val="1D4C1C81"/>
    <w:rsid w:val="1DF11A13"/>
    <w:rsid w:val="1E095FF6"/>
    <w:rsid w:val="1E173D52"/>
    <w:rsid w:val="1E1D0E76"/>
    <w:rsid w:val="1E526415"/>
    <w:rsid w:val="1E6573AF"/>
    <w:rsid w:val="1EAF3809"/>
    <w:rsid w:val="1EAF79E1"/>
    <w:rsid w:val="1EB10239"/>
    <w:rsid w:val="1EBE36F6"/>
    <w:rsid w:val="1EC616E7"/>
    <w:rsid w:val="1F004202"/>
    <w:rsid w:val="1F302F2B"/>
    <w:rsid w:val="1F350440"/>
    <w:rsid w:val="1F4B7B64"/>
    <w:rsid w:val="1F606CE3"/>
    <w:rsid w:val="1FA5542E"/>
    <w:rsid w:val="1FA76D1E"/>
    <w:rsid w:val="1FA81609"/>
    <w:rsid w:val="1FF86104"/>
    <w:rsid w:val="20137F43"/>
    <w:rsid w:val="20194F39"/>
    <w:rsid w:val="20346708"/>
    <w:rsid w:val="20D47A3E"/>
    <w:rsid w:val="20F80E98"/>
    <w:rsid w:val="21006B98"/>
    <w:rsid w:val="21052C48"/>
    <w:rsid w:val="21346C7A"/>
    <w:rsid w:val="21644585"/>
    <w:rsid w:val="21680746"/>
    <w:rsid w:val="217C36DC"/>
    <w:rsid w:val="21D34850"/>
    <w:rsid w:val="21E13B7A"/>
    <w:rsid w:val="21F233F3"/>
    <w:rsid w:val="222D70A0"/>
    <w:rsid w:val="223F3B32"/>
    <w:rsid w:val="2289277B"/>
    <w:rsid w:val="22971806"/>
    <w:rsid w:val="2297412E"/>
    <w:rsid w:val="22AA2034"/>
    <w:rsid w:val="22B2355D"/>
    <w:rsid w:val="22B34838"/>
    <w:rsid w:val="22B978E2"/>
    <w:rsid w:val="22C93244"/>
    <w:rsid w:val="22D655D6"/>
    <w:rsid w:val="22EB747C"/>
    <w:rsid w:val="22F13462"/>
    <w:rsid w:val="22F21DAE"/>
    <w:rsid w:val="22F658D0"/>
    <w:rsid w:val="23044B51"/>
    <w:rsid w:val="23074783"/>
    <w:rsid w:val="230F2422"/>
    <w:rsid w:val="2322026F"/>
    <w:rsid w:val="23257D2D"/>
    <w:rsid w:val="23553182"/>
    <w:rsid w:val="23A25DCE"/>
    <w:rsid w:val="23AF4929"/>
    <w:rsid w:val="23C01ABB"/>
    <w:rsid w:val="23DE15B8"/>
    <w:rsid w:val="23EB72DB"/>
    <w:rsid w:val="242F19EF"/>
    <w:rsid w:val="2430354A"/>
    <w:rsid w:val="24590797"/>
    <w:rsid w:val="245D70D2"/>
    <w:rsid w:val="2463408C"/>
    <w:rsid w:val="24662FF8"/>
    <w:rsid w:val="248416DC"/>
    <w:rsid w:val="249566A5"/>
    <w:rsid w:val="249D5096"/>
    <w:rsid w:val="24A33E24"/>
    <w:rsid w:val="24B34767"/>
    <w:rsid w:val="250A1226"/>
    <w:rsid w:val="2523117C"/>
    <w:rsid w:val="25255DE2"/>
    <w:rsid w:val="252B41DD"/>
    <w:rsid w:val="252B531F"/>
    <w:rsid w:val="25305682"/>
    <w:rsid w:val="25B71203"/>
    <w:rsid w:val="260A2A91"/>
    <w:rsid w:val="268B2BF7"/>
    <w:rsid w:val="268C3BDF"/>
    <w:rsid w:val="26924AB7"/>
    <w:rsid w:val="26A954DF"/>
    <w:rsid w:val="26F319D8"/>
    <w:rsid w:val="26F522D4"/>
    <w:rsid w:val="27094F09"/>
    <w:rsid w:val="270D4888"/>
    <w:rsid w:val="27396EA2"/>
    <w:rsid w:val="2750222E"/>
    <w:rsid w:val="27623E2B"/>
    <w:rsid w:val="2763578F"/>
    <w:rsid w:val="27887527"/>
    <w:rsid w:val="27BD16B7"/>
    <w:rsid w:val="27DD3A1B"/>
    <w:rsid w:val="27F079D6"/>
    <w:rsid w:val="283B3DEB"/>
    <w:rsid w:val="289E08E5"/>
    <w:rsid w:val="28A365C0"/>
    <w:rsid w:val="28A614AF"/>
    <w:rsid w:val="28B5046D"/>
    <w:rsid w:val="28D72B73"/>
    <w:rsid w:val="295C37E0"/>
    <w:rsid w:val="29AC4C1B"/>
    <w:rsid w:val="29B76838"/>
    <w:rsid w:val="29C13BDF"/>
    <w:rsid w:val="29D74F7D"/>
    <w:rsid w:val="29DC645C"/>
    <w:rsid w:val="29F85437"/>
    <w:rsid w:val="2A003870"/>
    <w:rsid w:val="2A123845"/>
    <w:rsid w:val="2A5D47D1"/>
    <w:rsid w:val="2A647576"/>
    <w:rsid w:val="2A807943"/>
    <w:rsid w:val="2AA46F65"/>
    <w:rsid w:val="2ABE5590"/>
    <w:rsid w:val="2ABF4AA4"/>
    <w:rsid w:val="2B1414EC"/>
    <w:rsid w:val="2B4D0C25"/>
    <w:rsid w:val="2B564C1A"/>
    <w:rsid w:val="2B763BE3"/>
    <w:rsid w:val="2B8E1BA7"/>
    <w:rsid w:val="2BA06215"/>
    <w:rsid w:val="2BC00DA7"/>
    <w:rsid w:val="2BDF556C"/>
    <w:rsid w:val="2BF17244"/>
    <w:rsid w:val="2C2446DE"/>
    <w:rsid w:val="2C4D597F"/>
    <w:rsid w:val="2C755C91"/>
    <w:rsid w:val="2C992CF7"/>
    <w:rsid w:val="2C9E4A89"/>
    <w:rsid w:val="2CBC016C"/>
    <w:rsid w:val="2CD427E0"/>
    <w:rsid w:val="2CDE377B"/>
    <w:rsid w:val="2CE22BD7"/>
    <w:rsid w:val="2CF745A3"/>
    <w:rsid w:val="2D054309"/>
    <w:rsid w:val="2D1402D6"/>
    <w:rsid w:val="2D5C6E62"/>
    <w:rsid w:val="2D9730E8"/>
    <w:rsid w:val="2D9C5634"/>
    <w:rsid w:val="2DA631D0"/>
    <w:rsid w:val="2DBB50BD"/>
    <w:rsid w:val="2DED04FB"/>
    <w:rsid w:val="2DEF6FA1"/>
    <w:rsid w:val="2E2F1003"/>
    <w:rsid w:val="2E5B7489"/>
    <w:rsid w:val="2E783F24"/>
    <w:rsid w:val="2E8400F0"/>
    <w:rsid w:val="2EC4554F"/>
    <w:rsid w:val="2EEC6FF3"/>
    <w:rsid w:val="2EF14299"/>
    <w:rsid w:val="2EF33008"/>
    <w:rsid w:val="2F0062D9"/>
    <w:rsid w:val="2F270111"/>
    <w:rsid w:val="2F356838"/>
    <w:rsid w:val="2F4B1EA8"/>
    <w:rsid w:val="2FBA3751"/>
    <w:rsid w:val="2FD3742C"/>
    <w:rsid w:val="2FD677AB"/>
    <w:rsid w:val="2FD91713"/>
    <w:rsid w:val="2FE424C9"/>
    <w:rsid w:val="2FF21A50"/>
    <w:rsid w:val="2FF93884"/>
    <w:rsid w:val="30326E32"/>
    <w:rsid w:val="303F78DF"/>
    <w:rsid w:val="30596289"/>
    <w:rsid w:val="306B2041"/>
    <w:rsid w:val="306E6A11"/>
    <w:rsid w:val="30BD2DA6"/>
    <w:rsid w:val="30C34EF0"/>
    <w:rsid w:val="30C9742C"/>
    <w:rsid w:val="30CC6AFF"/>
    <w:rsid w:val="30CF2508"/>
    <w:rsid w:val="311B448D"/>
    <w:rsid w:val="312563F5"/>
    <w:rsid w:val="313A24EC"/>
    <w:rsid w:val="318041A3"/>
    <w:rsid w:val="31EB0B61"/>
    <w:rsid w:val="31F76BE8"/>
    <w:rsid w:val="320E01D8"/>
    <w:rsid w:val="321916C1"/>
    <w:rsid w:val="322E45FA"/>
    <w:rsid w:val="32353C06"/>
    <w:rsid w:val="32B5750F"/>
    <w:rsid w:val="32F81D71"/>
    <w:rsid w:val="32FD778F"/>
    <w:rsid w:val="32FF5D6F"/>
    <w:rsid w:val="331549A5"/>
    <w:rsid w:val="336B71CF"/>
    <w:rsid w:val="337A29EC"/>
    <w:rsid w:val="33BE2264"/>
    <w:rsid w:val="33E04D53"/>
    <w:rsid w:val="33EA6BF0"/>
    <w:rsid w:val="33F67953"/>
    <w:rsid w:val="345E65E4"/>
    <w:rsid w:val="34A25F90"/>
    <w:rsid w:val="34AD19AB"/>
    <w:rsid w:val="34B71156"/>
    <w:rsid w:val="34DD7D93"/>
    <w:rsid w:val="34EC4FEB"/>
    <w:rsid w:val="356403B0"/>
    <w:rsid w:val="35752AA5"/>
    <w:rsid w:val="357E1044"/>
    <w:rsid w:val="35964027"/>
    <w:rsid w:val="35A257FF"/>
    <w:rsid w:val="35A751D7"/>
    <w:rsid w:val="35D925DE"/>
    <w:rsid w:val="36256F0A"/>
    <w:rsid w:val="362A2871"/>
    <w:rsid w:val="36F904C1"/>
    <w:rsid w:val="37000C87"/>
    <w:rsid w:val="37215C81"/>
    <w:rsid w:val="372F300C"/>
    <w:rsid w:val="3741774C"/>
    <w:rsid w:val="3742295E"/>
    <w:rsid w:val="374D3B4A"/>
    <w:rsid w:val="378D7889"/>
    <w:rsid w:val="37A5088D"/>
    <w:rsid w:val="37AE6D32"/>
    <w:rsid w:val="37B3455C"/>
    <w:rsid w:val="37B577D3"/>
    <w:rsid w:val="37D54698"/>
    <w:rsid w:val="37DC1EC4"/>
    <w:rsid w:val="38077868"/>
    <w:rsid w:val="382B18F9"/>
    <w:rsid w:val="383440CD"/>
    <w:rsid w:val="3843308E"/>
    <w:rsid w:val="38702076"/>
    <w:rsid w:val="38A60B69"/>
    <w:rsid w:val="38AB6366"/>
    <w:rsid w:val="38C05732"/>
    <w:rsid w:val="38EA2153"/>
    <w:rsid w:val="38EE5F91"/>
    <w:rsid w:val="3972311F"/>
    <w:rsid w:val="397A1CAE"/>
    <w:rsid w:val="39A63126"/>
    <w:rsid w:val="39DA6F75"/>
    <w:rsid w:val="39E422F1"/>
    <w:rsid w:val="39F301CB"/>
    <w:rsid w:val="3A127588"/>
    <w:rsid w:val="3A7D0AE1"/>
    <w:rsid w:val="3AA62852"/>
    <w:rsid w:val="3AE908AD"/>
    <w:rsid w:val="3AF9116D"/>
    <w:rsid w:val="3B023A41"/>
    <w:rsid w:val="3B0D2133"/>
    <w:rsid w:val="3B2974EB"/>
    <w:rsid w:val="3B795ED2"/>
    <w:rsid w:val="3BAE72A6"/>
    <w:rsid w:val="3BE40899"/>
    <w:rsid w:val="3BE64A17"/>
    <w:rsid w:val="3BEB7461"/>
    <w:rsid w:val="3C3C4A17"/>
    <w:rsid w:val="3C5C181E"/>
    <w:rsid w:val="3C845D5D"/>
    <w:rsid w:val="3CA9446E"/>
    <w:rsid w:val="3CBA29FB"/>
    <w:rsid w:val="3CD526D2"/>
    <w:rsid w:val="3CEE0C40"/>
    <w:rsid w:val="3CF32738"/>
    <w:rsid w:val="3D6238BA"/>
    <w:rsid w:val="3DAD6C3A"/>
    <w:rsid w:val="3DBC3425"/>
    <w:rsid w:val="3DEC2AA8"/>
    <w:rsid w:val="3DFF6F23"/>
    <w:rsid w:val="3E475C88"/>
    <w:rsid w:val="3E7B1659"/>
    <w:rsid w:val="3E8837C6"/>
    <w:rsid w:val="3E91560E"/>
    <w:rsid w:val="3E927A29"/>
    <w:rsid w:val="3EA16F76"/>
    <w:rsid w:val="3EA3183A"/>
    <w:rsid w:val="3ED00C98"/>
    <w:rsid w:val="3EEA03C3"/>
    <w:rsid w:val="3EF478D9"/>
    <w:rsid w:val="3EFC16CB"/>
    <w:rsid w:val="3F0130F5"/>
    <w:rsid w:val="3F043875"/>
    <w:rsid w:val="3F691BA2"/>
    <w:rsid w:val="3FB63C78"/>
    <w:rsid w:val="3FDD50EB"/>
    <w:rsid w:val="3FE9071B"/>
    <w:rsid w:val="3FFA7530"/>
    <w:rsid w:val="3FFC3C26"/>
    <w:rsid w:val="40081E96"/>
    <w:rsid w:val="40232154"/>
    <w:rsid w:val="402852BA"/>
    <w:rsid w:val="406C03B5"/>
    <w:rsid w:val="406D125B"/>
    <w:rsid w:val="40730CE5"/>
    <w:rsid w:val="40A87DF7"/>
    <w:rsid w:val="40F40543"/>
    <w:rsid w:val="413203D2"/>
    <w:rsid w:val="41456F4D"/>
    <w:rsid w:val="41652FDE"/>
    <w:rsid w:val="41B12785"/>
    <w:rsid w:val="41D32E97"/>
    <w:rsid w:val="42060955"/>
    <w:rsid w:val="421245C4"/>
    <w:rsid w:val="42246111"/>
    <w:rsid w:val="4233252D"/>
    <w:rsid w:val="42352EFC"/>
    <w:rsid w:val="42672C66"/>
    <w:rsid w:val="4285057A"/>
    <w:rsid w:val="429C26E8"/>
    <w:rsid w:val="42B71C73"/>
    <w:rsid w:val="42D63F40"/>
    <w:rsid w:val="42EB4847"/>
    <w:rsid w:val="42EF3E99"/>
    <w:rsid w:val="42FC1E1A"/>
    <w:rsid w:val="430710BB"/>
    <w:rsid w:val="43247DB4"/>
    <w:rsid w:val="4359083E"/>
    <w:rsid w:val="43635F27"/>
    <w:rsid w:val="438C10F4"/>
    <w:rsid w:val="43A273F0"/>
    <w:rsid w:val="43C452B7"/>
    <w:rsid w:val="43CF0328"/>
    <w:rsid w:val="44270D59"/>
    <w:rsid w:val="443673B8"/>
    <w:rsid w:val="44592037"/>
    <w:rsid w:val="44B85974"/>
    <w:rsid w:val="44EC188B"/>
    <w:rsid w:val="452A351C"/>
    <w:rsid w:val="453B1CC8"/>
    <w:rsid w:val="453F0F0B"/>
    <w:rsid w:val="453F5EEB"/>
    <w:rsid w:val="455F3FF6"/>
    <w:rsid w:val="456E77DE"/>
    <w:rsid w:val="45785C16"/>
    <w:rsid w:val="459F63C9"/>
    <w:rsid w:val="45EB7A96"/>
    <w:rsid w:val="46324DF7"/>
    <w:rsid w:val="4636316E"/>
    <w:rsid w:val="46470B27"/>
    <w:rsid w:val="4651790E"/>
    <w:rsid w:val="4653180D"/>
    <w:rsid w:val="465D497F"/>
    <w:rsid w:val="465F1684"/>
    <w:rsid w:val="466964D6"/>
    <w:rsid w:val="466B0771"/>
    <w:rsid w:val="466B0AE4"/>
    <w:rsid w:val="46834365"/>
    <w:rsid w:val="46CD197F"/>
    <w:rsid w:val="46D36DB5"/>
    <w:rsid w:val="46F96875"/>
    <w:rsid w:val="47073E3E"/>
    <w:rsid w:val="47090D29"/>
    <w:rsid w:val="47125DED"/>
    <w:rsid w:val="472F6206"/>
    <w:rsid w:val="47397AC5"/>
    <w:rsid w:val="47441B20"/>
    <w:rsid w:val="47A701FB"/>
    <w:rsid w:val="47AD580A"/>
    <w:rsid w:val="47CC4C01"/>
    <w:rsid w:val="47D967A2"/>
    <w:rsid w:val="47F30A3C"/>
    <w:rsid w:val="4806667C"/>
    <w:rsid w:val="48140141"/>
    <w:rsid w:val="481917F9"/>
    <w:rsid w:val="485D4615"/>
    <w:rsid w:val="4881115F"/>
    <w:rsid w:val="489B6FBC"/>
    <w:rsid w:val="48C16422"/>
    <w:rsid w:val="48D96FB8"/>
    <w:rsid w:val="48EB2336"/>
    <w:rsid w:val="48EC1A44"/>
    <w:rsid w:val="490C0FE5"/>
    <w:rsid w:val="494222DD"/>
    <w:rsid w:val="495540A0"/>
    <w:rsid w:val="497C3F9A"/>
    <w:rsid w:val="49864291"/>
    <w:rsid w:val="49C71B1B"/>
    <w:rsid w:val="49C81A43"/>
    <w:rsid w:val="49F069AE"/>
    <w:rsid w:val="4A0A0DF1"/>
    <w:rsid w:val="4A0C2401"/>
    <w:rsid w:val="4A4038E5"/>
    <w:rsid w:val="4A9523E9"/>
    <w:rsid w:val="4AB303EA"/>
    <w:rsid w:val="4ABB7F37"/>
    <w:rsid w:val="4B101487"/>
    <w:rsid w:val="4B295580"/>
    <w:rsid w:val="4B3D11DA"/>
    <w:rsid w:val="4B680D46"/>
    <w:rsid w:val="4BCD05E3"/>
    <w:rsid w:val="4BF94880"/>
    <w:rsid w:val="4C4B3625"/>
    <w:rsid w:val="4C845B59"/>
    <w:rsid w:val="4C9909EA"/>
    <w:rsid w:val="4D220815"/>
    <w:rsid w:val="4D2F7296"/>
    <w:rsid w:val="4D8E283B"/>
    <w:rsid w:val="4D9104B7"/>
    <w:rsid w:val="4D9F204A"/>
    <w:rsid w:val="4DC12691"/>
    <w:rsid w:val="4DF336E8"/>
    <w:rsid w:val="4E0C6B19"/>
    <w:rsid w:val="4E14412A"/>
    <w:rsid w:val="4E175283"/>
    <w:rsid w:val="4E2303A1"/>
    <w:rsid w:val="4E2F58A5"/>
    <w:rsid w:val="4EAC2499"/>
    <w:rsid w:val="4EEC5E3A"/>
    <w:rsid w:val="4EF209E1"/>
    <w:rsid w:val="4EFE3859"/>
    <w:rsid w:val="4F141562"/>
    <w:rsid w:val="4F37437D"/>
    <w:rsid w:val="4F3E5DF7"/>
    <w:rsid w:val="4F755E0D"/>
    <w:rsid w:val="4F844B0C"/>
    <w:rsid w:val="5038174B"/>
    <w:rsid w:val="5049522C"/>
    <w:rsid w:val="504C670E"/>
    <w:rsid w:val="5072279D"/>
    <w:rsid w:val="50851F9B"/>
    <w:rsid w:val="508F3D0B"/>
    <w:rsid w:val="50C5641B"/>
    <w:rsid w:val="51023987"/>
    <w:rsid w:val="5102723F"/>
    <w:rsid w:val="51383BDE"/>
    <w:rsid w:val="515C4CE7"/>
    <w:rsid w:val="5173201A"/>
    <w:rsid w:val="51A00B48"/>
    <w:rsid w:val="51C93E95"/>
    <w:rsid w:val="51D20045"/>
    <w:rsid w:val="51D73916"/>
    <w:rsid w:val="51E15EFC"/>
    <w:rsid w:val="51E268D1"/>
    <w:rsid w:val="51E93389"/>
    <w:rsid w:val="51F02EA8"/>
    <w:rsid w:val="51F21789"/>
    <w:rsid w:val="51F91B95"/>
    <w:rsid w:val="51FB6B67"/>
    <w:rsid w:val="5248479E"/>
    <w:rsid w:val="525323CD"/>
    <w:rsid w:val="52846652"/>
    <w:rsid w:val="52932EE3"/>
    <w:rsid w:val="52974AB8"/>
    <w:rsid w:val="529E45F2"/>
    <w:rsid w:val="52A77A14"/>
    <w:rsid w:val="52B20F71"/>
    <w:rsid w:val="52C64662"/>
    <w:rsid w:val="52C86FD1"/>
    <w:rsid w:val="535C39EC"/>
    <w:rsid w:val="536073C9"/>
    <w:rsid w:val="537D7947"/>
    <w:rsid w:val="5380699B"/>
    <w:rsid w:val="53F23FBC"/>
    <w:rsid w:val="542D5454"/>
    <w:rsid w:val="5453379C"/>
    <w:rsid w:val="54655738"/>
    <w:rsid w:val="54773990"/>
    <w:rsid w:val="54D5336B"/>
    <w:rsid w:val="54D74940"/>
    <w:rsid w:val="55291C33"/>
    <w:rsid w:val="55333DFE"/>
    <w:rsid w:val="55713DA2"/>
    <w:rsid w:val="55714541"/>
    <w:rsid w:val="55762239"/>
    <w:rsid w:val="55791423"/>
    <w:rsid w:val="55990E20"/>
    <w:rsid w:val="55C14BAB"/>
    <w:rsid w:val="55D76405"/>
    <w:rsid w:val="55DA410F"/>
    <w:rsid w:val="563D323C"/>
    <w:rsid w:val="56960C95"/>
    <w:rsid w:val="56CD6970"/>
    <w:rsid w:val="56F37BC6"/>
    <w:rsid w:val="56FE60ED"/>
    <w:rsid w:val="57345E03"/>
    <w:rsid w:val="57AD1624"/>
    <w:rsid w:val="582770B1"/>
    <w:rsid w:val="58314478"/>
    <w:rsid w:val="583D7D68"/>
    <w:rsid w:val="5846477B"/>
    <w:rsid w:val="58783508"/>
    <w:rsid w:val="58D51AED"/>
    <w:rsid w:val="59176C5D"/>
    <w:rsid w:val="597059C7"/>
    <w:rsid w:val="598711C3"/>
    <w:rsid w:val="599908C3"/>
    <w:rsid w:val="59B57223"/>
    <w:rsid w:val="59FD39AA"/>
    <w:rsid w:val="5A5D6CCC"/>
    <w:rsid w:val="5A61764A"/>
    <w:rsid w:val="5A8B1946"/>
    <w:rsid w:val="5AD679C8"/>
    <w:rsid w:val="5ADF2A7E"/>
    <w:rsid w:val="5AFA6788"/>
    <w:rsid w:val="5B081792"/>
    <w:rsid w:val="5B0A00E5"/>
    <w:rsid w:val="5B4E5532"/>
    <w:rsid w:val="5B543AF4"/>
    <w:rsid w:val="5BAC3082"/>
    <w:rsid w:val="5BBD7E71"/>
    <w:rsid w:val="5BFB1940"/>
    <w:rsid w:val="5C0F38EC"/>
    <w:rsid w:val="5C1B1712"/>
    <w:rsid w:val="5C2333BB"/>
    <w:rsid w:val="5C455DEC"/>
    <w:rsid w:val="5C566474"/>
    <w:rsid w:val="5C8C7781"/>
    <w:rsid w:val="5CA1461B"/>
    <w:rsid w:val="5CA37524"/>
    <w:rsid w:val="5CB1200C"/>
    <w:rsid w:val="5D3A1946"/>
    <w:rsid w:val="5D3F2A75"/>
    <w:rsid w:val="5D6855A6"/>
    <w:rsid w:val="5D8C4A11"/>
    <w:rsid w:val="5DB14390"/>
    <w:rsid w:val="5DBE1D49"/>
    <w:rsid w:val="5DCD5004"/>
    <w:rsid w:val="5DD828DB"/>
    <w:rsid w:val="5DE3492A"/>
    <w:rsid w:val="5E4A65C9"/>
    <w:rsid w:val="5E6E542B"/>
    <w:rsid w:val="5ECF3549"/>
    <w:rsid w:val="5EDD3C92"/>
    <w:rsid w:val="5F756705"/>
    <w:rsid w:val="5FB01D93"/>
    <w:rsid w:val="5FD93B49"/>
    <w:rsid w:val="5FE37E18"/>
    <w:rsid w:val="60155097"/>
    <w:rsid w:val="605F7B97"/>
    <w:rsid w:val="60640F06"/>
    <w:rsid w:val="606F37FE"/>
    <w:rsid w:val="60917282"/>
    <w:rsid w:val="60AE1F69"/>
    <w:rsid w:val="60B33473"/>
    <w:rsid w:val="60D078EB"/>
    <w:rsid w:val="60D71746"/>
    <w:rsid w:val="60E94E62"/>
    <w:rsid w:val="60F62784"/>
    <w:rsid w:val="61634E6E"/>
    <w:rsid w:val="61764505"/>
    <w:rsid w:val="618F3E92"/>
    <w:rsid w:val="61B9596B"/>
    <w:rsid w:val="61BF1087"/>
    <w:rsid w:val="61C72CA6"/>
    <w:rsid w:val="61DF4AED"/>
    <w:rsid w:val="625C72B4"/>
    <w:rsid w:val="626668D6"/>
    <w:rsid w:val="627E4EB3"/>
    <w:rsid w:val="629A7129"/>
    <w:rsid w:val="62A029DB"/>
    <w:rsid w:val="62BB6808"/>
    <w:rsid w:val="62E20C0B"/>
    <w:rsid w:val="62FB3FB1"/>
    <w:rsid w:val="630E160B"/>
    <w:rsid w:val="63335122"/>
    <w:rsid w:val="63350DFA"/>
    <w:rsid w:val="63463D03"/>
    <w:rsid w:val="636B5D1C"/>
    <w:rsid w:val="63B94306"/>
    <w:rsid w:val="63E86423"/>
    <w:rsid w:val="64077B03"/>
    <w:rsid w:val="64394D24"/>
    <w:rsid w:val="64697D92"/>
    <w:rsid w:val="646A5827"/>
    <w:rsid w:val="648D5095"/>
    <w:rsid w:val="64A34D63"/>
    <w:rsid w:val="64E81921"/>
    <w:rsid w:val="64EE64CE"/>
    <w:rsid w:val="64FE1A48"/>
    <w:rsid w:val="651E5837"/>
    <w:rsid w:val="652F166A"/>
    <w:rsid w:val="655E66EE"/>
    <w:rsid w:val="65A64C06"/>
    <w:rsid w:val="65E15CB1"/>
    <w:rsid w:val="660E4435"/>
    <w:rsid w:val="6638571F"/>
    <w:rsid w:val="66436F6E"/>
    <w:rsid w:val="6651247C"/>
    <w:rsid w:val="666661A2"/>
    <w:rsid w:val="66955FBE"/>
    <w:rsid w:val="66A432A8"/>
    <w:rsid w:val="66C65652"/>
    <w:rsid w:val="66D0355E"/>
    <w:rsid w:val="67314A7B"/>
    <w:rsid w:val="673D130B"/>
    <w:rsid w:val="674565DE"/>
    <w:rsid w:val="676B178B"/>
    <w:rsid w:val="676C7454"/>
    <w:rsid w:val="678C3776"/>
    <w:rsid w:val="679941E2"/>
    <w:rsid w:val="67DE356F"/>
    <w:rsid w:val="681B1697"/>
    <w:rsid w:val="68271F67"/>
    <w:rsid w:val="68346D9E"/>
    <w:rsid w:val="68352830"/>
    <w:rsid w:val="6844177A"/>
    <w:rsid w:val="684642CD"/>
    <w:rsid w:val="68466A76"/>
    <w:rsid w:val="684C0193"/>
    <w:rsid w:val="6853425B"/>
    <w:rsid w:val="685E13B0"/>
    <w:rsid w:val="68694AD3"/>
    <w:rsid w:val="68905A23"/>
    <w:rsid w:val="68DD54DB"/>
    <w:rsid w:val="69084B0B"/>
    <w:rsid w:val="692670E4"/>
    <w:rsid w:val="69271BC2"/>
    <w:rsid w:val="69311D4C"/>
    <w:rsid w:val="693A6395"/>
    <w:rsid w:val="693C055D"/>
    <w:rsid w:val="695262DA"/>
    <w:rsid w:val="69692072"/>
    <w:rsid w:val="69803434"/>
    <w:rsid w:val="69B3699E"/>
    <w:rsid w:val="69BD0F8F"/>
    <w:rsid w:val="69D50234"/>
    <w:rsid w:val="6A033B6C"/>
    <w:rsid w:val="6A7F56F6"/>
    <w:rsid w:val="6A813D41"/>
    <w:rsid w:val="6A927435"/>
    <w:rsid w:val="6AEE6E23"/>
    <w:rsid w:val="6AFE054A"/>
    <w:rsid w:val="6B393DBD"/>
    <w:rsid w:val="6B487182"/>
    <w:rsid w:val="6B516A0C"/>
    <w:rsid w:val="6B644413"/>
    <w:rsid w:val="6BD939B8"/>
    <w:rsid w:val="6C2D77EE"/>
    <w:rsid w:val="6C384162"/>
    <w:rsid w:val="6C717BB9"/>
    <w:rsid w:val="6C7C1BDC"/>
    <w:rsid w:val="6C9F7517"/>
    <w:rsid w:val="6CCA63A9"/>
    <w:rsid w:val="6CE10B0B"/>
    <w:rsid w:val="6D0E3DB9"/>
    <w:rsid w:val="6D281D1D"/>
    <w:rsid w:val="6D892FA9"/>
    <w:rsid w:val="6E064B21"/>
    <w:rsid w:val="6E071391"/>
    <w:rsid w:val="6E244A6A"/>
    <w:rsid w:val="6E717E65"/>
    <w:rsid w:val="6ED57326"/>
    <w:rsid w:val="6F08614F"/>
    <w:rsid w:val="6F603E06"/>
    <w:rsid w:val="6F685A57"/>
    <w:rsid w:val="6F737A59"/>
    <w:rsid w:val="6F8654E2"/>
    <w:rsid w:val="6F890D1E"/>
    <w:rsid w:val="6F8956A1"/>
    <w:rsid w:val="6FA80029"/>
    <w:rsid w:val="6FE849FF"/>
    <w:rsid w:val="6FF61110"/>
    <w:rsid w:val="70315CFF"/>
    <w:rsid w:val="703522D9"/>
    <w:rsid w:val="70520E16"/>
    <w:rsid w:val="70634E8A"/>
    <w:rsid w:val="70896264"/>
    <w:rsid w:val="70A74A7A"/>
    <w:rsid w:val="70AB5B37"/>
    <w:rsid w:val="70E1301C"/>
    <w:rsid w:val="70F6591C"/>
    <w:rsid w:val="71641F59"/>
    <w:rsid w:val="71A3693F"/>
    <w:rsid w:val="71B27B98"/>
    <w:rsid w:val="71BB10AD"/>
    <w:rsid w:val="71BC117E"/>
    <w:rsid w:val="71BD500B"/>
    <w:rsid w:val="71D1655F"/>
    <w:rsid w:val="71DD2FB5"/>
    <w:rsid w:val="71FF0E69"/>
    <w:rsid w:val="720F392D"/>
    <w:rsid w:val="720F6214"/>
    <w:rsid w:val="721C366B"/>
    <w:rsid w:val="72317D1A"/>
    <w:rsid w:val="72346F2E"/>
    <w:rsid w:val="7253061A"/>
    <w:rsid w:val="726C5448"/>
    <w:rsid w:val="72BB5A48"/>
    <w:rsid w:val="72BE5085"/>
    <w:rsid w:val="72CA501D"/>
    <w:rsid w:val="72CB3D02"/>
    <w:rsid w:val="72D86C81"/>
    <w:rsid w:val="72DE2F7E"/>
    <w:rsid w:val="72DF6AA5"/>
    <w:rsid w:val="72FC3CB3"/>
    <w:rsid w:val="73637B2E"/>
    <w:rsid w:val="737C7DEE"/>
    <w:rsid w:val="7382044D"/>
    <w:rsid w:val="738F5E77"/>
    <w:rsid w:val="73DB44BE"/>
    <w:rsid w:val="73E65631"/>
    <w:rsid w:val="74193F8F"/>
    <w:rsid w:val="742D2683"/>
    <w:rsid w:val="74570C04"/>
    <w:rsid w:val="745E6112"/>
    <w:rsid w:val="74723463"/>
    <w:rsid w:val="74C51F38"/>
    <w:rsid w:val="74C87D18"/>
    <w:rsid w:val="74CC57EB"/>
    <w:rsid w:val="75090766"/>
    <w:rsid w:val="753026B0"/>
    <w:rsid w:val="753208BF"/>
    <w:rsid w:val="753D6CA0"/>
    <w:rsid w:val="75420589"/>
    <w:rsid w:val="757D63DC"/>
    <w:rsid w:val="758D3855"/>
    <w:rsid w:val="75A45FF0"/>
    <w:rsid w:val="75B026C1"/>
    <w:rsid w:val="75B657F5"/>
    <w:rsid w:val="75D0146C"/>
    <w:rsid w:val="75E423B5"/>
    <w:rsid w:val="76183D44"/>
    <w:rsid w:val="76216D47"/>
    <w:rsid w:val="76270682"/>
    <w:rsid w:val="76520396"/>
    <w:rsid w:val="765E105E"/>
    <w:rsid w:val="7696591C"/>
    <w:rsid w:val="76C11A13"/>
    <w:rsid w:val="76CF572A"/>
    <w:rsid w:val="76D8589E"/>
    <w:rsid w:val="76F70FCC"/>
    <w:rsid w:val="770C3420"/>
    <w:rsid w:val="77120729"/>
    <w:rsid w:val="771A165E"/>
    <w:rsid w:val="77557E96"/>
    <w:rsid w:val="7767700C"/>
    <w:rsid w:val="77784820"/>
    <w:rsid w:val="77790EC5"/>
    <w:rsid w:val="77812F59"/>
    <w:rsid w:val="77822C0C"/>
    <w:rsid w:val="77910964"/>
    <w:rsid w:val="779B6F27"/>
    <w:rsid w:val="77CC10D5"/>
    <w:rsid w:val="77D560B5"/>
    <w:rsid w:val="77FB7628"/>
    <w:rsid w:val="78086CB8"/>
    <w:rsid w:val="78361ED0"/>
    <w:rsid w:val="785303B3"/>
    <w:rsid w:val="785857FA"/>
    <w:rsid w:val="7875291C"/>
    <w:rsid w:val="787F27ED"/>
    <w:rsid w:val="78A941CB"/>
    <w:rsid w:val="78DD40DC"/>
    <w:rsid w:val="7903284F"/>
    <w:rsid w:val="791037B4"/>
    <w:rsid w:val="792C4BB1"/>
    <w:rsid w:val="79361193"/>
    <w:rsid w:val="79580A82"/>
    <w:rsid w:val="797A0F72"/>
    <w:rsid w:val="79D520E6"/>
    <w:rsid w:val="79F00E1D"/>
    <w:rsid w:val="7A140AB6"/>
    <w:rsid w:val="7A1D08B1"/>
    <w:rsid w:val="7A2F2625"/>
    <w:rsid w:val="7A472ED1"/>
    <w:rsid w:val="7A4B525B"/>
    <w:rsid w:val="7AC07B1C"/>
    <w:rsid w:val="7AC22EF2"/>
    <w:rsid w:val="7AE8006F"/>
    <w:rsid w:val="7AEA1643"/>
    <w:rsid w:val="7AF3203F"/>
    <w:rsid w:val="7B0727F0"/>
    <w:rsid w:val="7B1059D0"/>
    <w:rsid w:val="7B667264"/>
    <w:rsid w:val="7B9B7D71"/>
    <w:rsid w:val="7BD02E9A"/>
    <w:rsid w:val="7C0579AF"/>
    <w:rsid w:val="7C084553"/>
    <w:rsid w:val="7C3C6B8F"/>
    <w:rsid w:val="7C5346CF"/>
    <w:rsid w:val="7C655F2E"/>
    <w:rsid w:val="7C7048A7"/>
    <w:rsid w:val="7C7D2730"/>
    <w:rsid w:val="7C9C42A5"/>
    <w:rsid w:val="7CA01BAC"/>
    <w:rsid w:val="7CAE5CEE"/>
    <w:rsid w:val="7CCC4CB6"/>
    <w:rsid w:val="7CCD5ED6"/>
    <w:rsid w:val="7CD03C3B"/>
    <w:rsid w:val="7CE473B1"/>
    <w:rsid w:val="7D035CCD"/>
    <w:rsid w:val="7D0B61AC"/>
    <w:rsid w:val="7D151C86"/>
    <w:rsid w:val="7D243074"/>
    <w:rsid w:val="7D3143FF"/>
    <w:rsid w:val="7D354B44"/>
    <w:rsid w:val="7D510F57"/>
    <w:rsid w:val="7D720ED9"/>
    <w:rsid w:val="7D9B267F"/>
    <w:rsid w:val="7DF959D0"/>
    <w:rsid w:val="7E137EFF"/>
    <w:rsid w:val="7E91478E"/>
    <w:rsid w:val="7EA67DD6"/>
    <w:rsid w:val="7EE50A4D"/>
    <w:rsid w:val="7F186FE3"/>
    <w:rsid w:val="7F1F6C81"/>
    <w:rsid w:val="7F217490"/>
    <w:rsid w:val="7F2A73DF"/>
    <w:rsid w:val="7F57175D"/>
    <w:rsid w:val="7F640DAF"/>
    <w:rsid w:val="7FF73C1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qFormat/>
    <w:uiPriority w:val="0"/>
    <w:pPr>
      <w:spacing w:before="100" w:beforeAutospacing="1" w:after="100" w:afterAutospacing="1"/>
      <w:jc w:val="left"/>
      <w:outlineLvl w:val="3"/>
    </w:pPr>
    <w:rPr>
      <w:rFonts w:hint="eastAsia" w:ascii="宋体" w:hAnsi="宋体"/>
      <w:b/>
      <w:kern w:val="0"/>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pPr>
      <w:jc w:val="center"/>
    </w:pPr>
    <w:rPr>
      <w:rFonts w:eastAsia="黑体"/>
      <w:sz w:val="44"/>
    </w:rPr>
  </w:style>
  <w:style w:type="paragraph" w:styleId="7">
    <w:name w:val="Plain Text"/>
    <w:basedOn w:val="1"/>
    <w:qFormat/>
    <w:uiPriority w:val="0"/>
    <w:rPr>
      <w:rFonts w:ascii="宋体" w:hAnsi="Courier New" w:cs="Courier New"/>
      <w:szCs w:val="21"/>
    </w:rPr>
  </w:style>
  <w:style w:type="paragraph" w:styleId="8">
    <w:name w:val="footer"/>
    <w:basedOn w:val="1"/>
    <w:link w:val="100"/>
    <w:qFormat/>
    <w:uiPriority w:val="99"/>
    <w:pPr>
      <w:tabs>
        <w:tab w:val="center" w:pos="4153"/>
        <w:tab w:val="right" w:pos="8306"/>
      </w:tabs>
      <w:snapToGrid w:val="0"/>
      <w:jc w:val="left"/>
    </w:pPr>
    <w:rPr>
      <w:sz w:val="18"/>
      <w:szCs w:val="18"/>
    </w:rPr>
  </w:style>
  <w:style w:type="paragraph" w:styleId="9">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777"/>
      </w:tabs>
      <w:spacing w:line="360" w:lineRule="auto"/>
    </w:pPr>
  </w:style>
  <w:style w:type="paragraph" w:styleId="11">
    <w:name w:val="toc 2"/>
    <w:basedOn w:val="1"/>
    <w:next w:val="1"/>
    <w:qFormat/>
    <w:uiPriority w:val="39"/>
    <w:pPr>
      <w:ind w:left="420" w:leftChars="200"/>
    </w:p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Normal (Web)"/>
    <w:basedOn w:val="1"/>
    <w:qFormat/>
    <w:uiPriority w:val="0"/>
    <w:pPr>
      <w:spacing w:before="100" w:beforeAutospacing="1" w:after="100" w:afterAutospacing="1"/>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page number"/>
    <w:basedOn w:val="16"/>
    <w:qFormat/>
    <w:uiPriority w:val="0"/>
    <w:rPr>
      <w:rFonts w:hint="default"/>
      <w:sz w:val="24"/>
    </w:rPr>
  </w:style>
  <w:style w:type="character" w:styleId="19">
    <w:name w:val="FollowedHyperlink"/>
    <w:basedOn w:val="16"/>
    <w:qFormat/>
    <w:uiPriority w:val="0"/>
    <w:rPr>
      <w:color w:val="555555"/>
      <w:u w:val="none"/>
    </w:rPr>
  </w:style>
  <w:style w:type="character" w:styleId="20">
    <w:name w:val="Emphasis"/>
    <w:basedOn w:val="16"/>
    <w:qFormat/>
    <w:uiPriority w:val="0"/>
  </w:style>
  <w:style w:type="character" w:styleId="21">
    <w:name w:val="HTML Definition"/>
    <w:basedOn w:val="16"/>
    <w:qFormat/>
    <w:uiPriority w:val="0"/>
  </w:style>
  <w:style w:type="character" w:styleId="22">
    <w:name w:val="HTML Variable"/>
    <w:basedOn w:val="16"/>
    <w:qFormat/>
    <w:uiPriority w:val="0"/>
  </w:style>
  <w:style w:type="character" w:styleId="23">
    <w:name w:val="Hyperlink"/>
    <w:basedOn w:val="16"/>
    <w:qFormat/>
    <w:uiPriority w:val="99"/>
    <w:rPr>
      <w:color w:val="555555"/>
      <w:u w:val="none"/>
    </w:rPr>
  </w:style>
  <w:style w:type="character" w:styleId="24">
    <w:name w:val="HTML Code"/>
    <w:basedOn w:val="16"/>
    <w:qFormat/>
    <w:uiPriority w:val="0"/>
    <w:rPr>
      <w:rFonts w:hint="default" w:ascii="Courier New" w:hAnsi="Courier New" w:eastAsia="Courier New" w:cs="Courier New"/>
      <w:sz w:val="20"/>
    </w:rPr>
  </w:style>
  <w:style w:type="character" w:styleId="25">
    <w:name w:val="HTML Cite"/>
    <w:basedOn w:val="16"/>
    <w:qFormat/>
    <w:uiPriority w:val="0"/>
    <w:rPr>
      <w:color w:val="EB0101"/>
      <w:u w:val="single"/>
    </w:rPr>
  </w:style>
  <w:style w:type="character" w:styleId="26">
    <w:name w:val="HTML Keyboard"/>
    <w:basedOn w:val="16"/>
    <w:qFormat/>
    <w:uiPriority w:val="0"/>
    <w:rPr>
      <w:rFonts w:hint="default" w:ascii="Courier New" w:hAnsi="Courier New" w:eastAsia="Courier New" w:cs="Courier New"/>
      <w:sz w:val="20"/>
    </w:rPr>
  </w:style>
  <w:style w:type="character" w:styleId="27">
    <w:name w:val="HTML Sample"/>
    <w:basedOn w:val="16"/>
    <w:qFormat/>
    <w:uiPriority w:val="0"/>
    <w:rPr>
      <w:rFonts w:ascii="Courier New" w:hAnsi="Courier New" w:eastAsia="Courier New" w:cs="Courier New"/>
    </w:rPr>
  </w:style>
  <w:style w:type="paragraph" w:customStyle="1" w:styleId="28">
    <w:name w:val="_Style 26"/>
    <w:basedOn w:val="1"/>
    <w:next w:val="1"/>
    <w:qFormat/>
    <w:uiPriority w:val="0"/>
    <w:pPr>
      <w:pBdr>
        <w:top w:val="single" w:color="auto" w:sz="6" w:space="1"/>
      </w:pBdr>
      <w:jc w:val="center"/>
    </w:pPr>
    <w:rPr>
      <w:rFonts w:ascii="Arial"/>
      <w:vanish/>
      <w:sz w:val="16"/>
    </w:rPr>
  </w:style>
  <w:style w:type="paragraph" w:customStyle="1" w:styleId="29">
    <w:name w:val="_Style 27"/>
    <w:basedOn w:val="1"/>
    <w:next w:val="1"/>
    <w:qFormat/>
    <w:uiPriority w:val="0"/>
    <w:pPr>
      <w:pBdr>
        <w:bottom w:val="single" w:color="auto" w:sz="6" w:space="1"/>
      </w:pBdr>
      <w:jc w:val="center"/>
    </w:pPr>
    <w:rPr>
      <w:rFonts w:ascii="Arial"/>
      <w:vanish/>
      <w:sz w:val="16"/>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cm13"/>
    <w:basedOn w:val="16"/>
    <w:qFormat/>
    <w:uiPriority w:val="0"/>
  </w:style>
  <w:style w:type="character" w:customStyle="1" w:styleId="32">
    <w:name w:val="bsharetext"/>
    <w:basedOn w:val="16"/>
    <w:qFormat/>
    <w:uiPriority w:val="0"/>
  </w:style>
  <w:style w:type="character" w:customStyle="1" w:styleId="33">
    <w:name w:val="cm12"/>
    <w:basedOn w:val="16"/>
    <w:qFormat/>
    <w:uiPriority w:val="0"/>
  </w:style>
  <w:style w:type="character" w:customStyle="1" w:styleId="34">
    <w:name w:val="active3"/>
    <w:basedOn w:val="16"/>
    <w:qFormat/>
    <w:uiPriority w:val="0"/>
    <w:rPr>
      <w:color w:val="FFFFFF"/>
    </w:rPr>
  </w:style>
  <w:style w:type="character" w:customStyle="1" w:styleId="35">
    <w:name w:val="cm"/>
    <w:basedOn w:val="16"/>
    <w:qFormat/>
    <w:uiPriority w:val="0"/>
  </w:style>
  <w:style w:type="character" w:customStyle="1" w:styleId="36">
    <w:name w:val="rt7"/>
    <w:basedOn w:val="16"/>
    <w:qFormat/>
    <w:uiPriority w:val="0"/>
  </w:style>
  <w:style w:type="character" w:customStyle="1" w:styleId="37">
    <w:name w:val="lt"/>
    <w:basedOn w:val="16"/>
    <w:qFormat/>
    <w:uiPriority w:val="0"/>
  </w:style>
  <w:style w:type="character" w:customStyle="1" w:styleId="38">
    <w:name w:val="hover30"/>
    <w:basedOn w:val="16"/>
    <w:qFormat/>
    <w:uiPriority w:val="0"/>
    <w:rPr>
      <w:color w:val="FFFFFF"/>
    </w:rPr>
  </w:style>
  <w:style w:type="character" w:customStyle="1" w:styleId="39">
    <w:name w:val="lt4"/>
    <w:basedOn w:val="16"/>
    <w:qFormat/>
    <w:uiPriority w:val="0"/>
  </w:style>
  <w:style w:type="character" w:customStyle="1" w:styleId="40">
    <w:name w:val="页眉 Char"/>
    <w:link w:val="9"/>
    <w:qFormat/>
    <w:uiPriority w:val="0"/>
    <w:rPr>
      <w:kern w:val="2"/>
      <w:sz w:val="18"/>
      <w:szCs w:val="18"/>
    </w:rPr>
  </w:style>
  <w:style w:type="character" w:customStyle="1" w:styleId="41">
    <w:name w:val="tb13"/>
    <w:basedOn w:val="16"/>
    <w:qFormat/>
    <w:uiPriority w:val="0"/>
  </w:style>
  <w:style w:type="character" w:customStyle="1" w:styleId="42">
    <w:name w:val="rb5"/>
    <w:basedOn w:val="16"/>
    <w:qFormat/>
    <w:uiPriority w:val="0"/>
  </w:style>
  <w:style w:type="character" w:customStyle="1" w:styleId="43">
    <w:name w:val="lt1"/>
    <w:basedOn w:val="16"/>
    <w:qFormat/>
    <w:uiPriority w:val="0"/>
  </w:style>
  <w:style w:type="character" w:customStyle="1" w:styleId="44">
    <w:name w:val="cm9"/>
    <w:basedOn w:val="16"/>
    <w:qFormat/>
    <w:uiPriority w:val="0"/>
  </w:style>
  <w:style w:type="character" w:customStyle="1" w:styleId="45">
    <w:name w:val="tb27"/>
    <w:basedOn w:val="16"/>
    <w:qFormat/>
    <w:uiPriority w:val="0"/>
  </w:style>
  <w:style w:type="character" w:customStyle="1" w:styleId="46">
    <w:name w:val="rb8"/>
    <w:basedOn w:val="16"/>
    <w:qFormat/>
    <w:uiPriority w:val="0"/>
  </w:style>
  <w:style w:type="character" w:customStyle="1" w:styleId="47">
    <w:name w:val="tb28"/>
    <w:basedOn w:val="16"/>
    <w:qFormat/>
    <w:uiPriority w:val="0"/>
  </w:style>
  <w:style w:type="character" w:customStyle="1" w:styleId="48">
    <w:name w:val="rb10"/>
    <w:basedOn w:val="16"/>
    <w:qFormat/>
    <w:uiPriority w:val="0"/>
  </w:style>
  <w:style w:type="character" w:customStyle="1" w:styleId="49">
    <w:name w:val="tb12"/>
    <w:basedOn w:val="16"/>
    <w:qFormat/>
    <w:uiPriority w:val="0"/>
  </w:style>
  <w:style w:type="character" w:customStyle="1" w:styleId="50">
    <w:name w:val="lt11"/>
    <w:basedOn w:val="16"/>
    <w:qFormat/>
    <w:uiPriority w:val="0"/>
  </w:style>
  <w:style w:type="character" w:customStyle="1" w:styleId="51">
    <w:name w:val="m051"/>
    <w:basedOn w:val="16"/>
    <w:qFormat/>
    <w:uiPriority w:val="0"/>
  </w:style>
  <w:style w:type="character" w:customStyle="1" w:styleId="52">
    <w:name w:val="rt2"/>
    <w:basedOn w:val="16"/>
    <w:qFormat/>
    <w:uiPriority w:val="0"/>
  </w:style>
  <w:style w:type="character" w:customStyle="1" w:styleId="53">
    <w:name w:val="tb08"/>
    <w:basedOn w:val="16"/>
    <w:qFormat/>
    <w:uiPriority w:val="0"/>
  </w:style>
  <w:style w:type="character" w:customStyle="1" w:styleId="54">
    <w:name w:val="lb1"/>
    <w:basedOn w:val="16"/>
    <w:qFormat/>
    <w:uiPriority w:val="0"/>
  </w:style>
  <w:style w:type="character" w:customStyle="1" w:styleId="55">
    <w:name w:val="tb25"/>
    <w:basedOn w:val="16"/>
    <w:qFormat/>
    <w:uiPriority w:val="0"/>
  </w:style>
  <w:style w:type="character" w:customStyle="1" w:styleId="56">
    <w:name w:val="lb10"/>
    <w:basedOn w:val="16"/>
    <w:qFormat/>
    <w:uiPriority w:val="0"/>
  </w:style>
  <w:style w:type="character" w:customStyle="1" w:styleId="57">
    <w:name w:val="rt3"/>
    <w:basedOn w:val="16"/>
    <w:qFormat/>
    <w:uiPriority w:val="0"/>
  </w:style>
  <w:style w:type="character" w:customStyle="1" w:styleId="58">
    <w:name w:val="rb1"/>
    <w:basedOn w:val="16"/>
    <w:qFormat/>
    <w:uiPriority w:val="0"/>
  </w:style>
  <w:style w:type="character" w:customStyle="1" w:styleId="59">
    <w:name w:val="tb02"/>
    <w:basedOn w:val="16"/>
    <w:qFormat/>
    <w:uiPriority w:val="0"/>
  </w:style>
  <w:style w:type="character" w:customStyle="1" w:styleId="60">
    <w:name w:val="tb03"/>
    <w:basedOn w:val="16"/>
    <w:qFormat/>
    <w:uiPriority w:val="0"/>
  </w:style>
  <w:style w:type="character" w:customStyle="1" w:styleId="61">
    <w:name w:val="tb07"/>
    <w:basedOn w:val="16"/>
    <w:qFormat/>
    <w:uiPriority w:val="0"/>
  </w:style>
  <w:style w:type="character" w:customStyle="1" w:styleId="62">
    <w:name w:val="rb4"/>
    <w:basedOn w:val="16"/>
    <w:qFormat/>
    <w:uiPriority w:val="0"/>
  </w:style>
  <w:style w:type="character" w:customStyle="1" w:styleId="63">
    <w:name w:val="tb05"/>
    <w:basedOn w:val="16"/>
    <w:qFormat/>
    <w:uiPriority w:val="0"/>
  </w:style>
  <w:style w:type="character" w:customStyle="1" w:styleId="64">
    <w:name w:val="pass"/>
    <w:basedOn w:val="16"/>
    <w:qFormat/>
    <w:uiPriority w:val="0"/>
    <w:rPr>
      <w:color w:val="D50512"/>
    </w:rPr>
  </w:style>
  <w:style w:type="character" w:customStyle="1" w:styleId="65">
    <w:name w:val="m06"/>
    <w:basedOn w:val="16"/>
    <w:qFormat/>
    <w:uiPriority w:val="0"/>
  </w:style>
  <w:style w:type="character" w:customStyle="1" w:styleId="66">
    <w:name w:val="lb4"/>
    <w:basedOn w:val="16"/>
    <w:qFormat/>
    <w:uiPriority w:val="0"/>
  </w:style>
  <w:style w:type="character" w:customStyle="1" w:styleId="67">
    <w:name w:val="lt6"/>
    <w:basedOn w:val="16"/>
    <w:qFormat/>
    <w:uiPriority w:val="0"/>
  </w:style>
  <w:style w:type="character" w:customStyle="1" w:styleId="68">
    <w:name w:val="bds_nopic2"/>
    <w:basedOn w:val="16"/>
    <w:qFormat/>
    <w:uiPriority w:val="0"/>
  </w:style>
  <w:style w:type="character" w:customStyle="1" w:styleId="69">
    <w:name w:val="tb14"/>
    <w:basedOn w:val="16"/>
    <w:qFormat/>
    <w:uiPriority w:val="0"/>
  </w:style>
  <w:style w:type="character" w:customStyle="1" w:styleId="70">
    <w:name w:val="rb2"/>
    <w:basedOn w:val="16"/>
    <w:qFormat/>
    <w:uiPriority w:val="0"/>
  </w:style>
  <w:style w:type="character" w:customStyle="1" w:styleId="71">
    <w:name w:val="cm1"/>
    <w:basedOn w:val="16"/>
    <w:qFormat/>
    <w:uiPriority w:val="0"/>
  </w:style>
  <w:style w:type="character" w:customStyle="1" w:styleId="72">
    <w:name w:val="on"/>
    <w:basedOn w:val="16"/>
    <w:qFormat/>
    <w:uiPriority w:val="0"/>
    <w:rPr>
      <w:color w:val="FF3300"/>
    </w:rPr>
  </w:style>
  <w:style w:type="character" w:customStyle="1" w:styleId="73">
    <w:name w:val="rb"/>
    <w:basedOn w:val="16"/>
    <w:qFormat/>
    <w:uiPriority w:val="0"/>
  </w:style>
  <w:style w:type="character" w:customStyle="1" w:styleId="74">
    <w:name w:val="m071"/>
    <w:basedOn w:val="16"/>
    <w:qFormat/>
    <w:uiPriority w:val="0"/>
  </w:style>
  <w:style w:type="character" w:customStyle="1" w:styleId="75">
    <w:name w:val="cm10"/>
    <w:basedOn w:val="16"/>
    <w:qFormat/>
    <w:uiPriority w:val="0"/>
  </w:style>
  <w:style w:type="character" w:customStyle="1" w:styleId="76">
    <w:name w:val="tb04"/>
    <w:basedOn w:val="16"/>
    <w:qFormat/>
    <w:uiPriority w:val="0"/>
  </w:style>
  <w:style w:type="character" w:customStyle="1" w:styleId="77">
    <w:name w:val="disabled"/>
    <w:basedOn w:val="16"/>
    <w:qFormat/>
    <w:uiPriority w:val="0"/>
    <w:rPr>
      <w:color w:val="CCCCCC"/>
      <w:bdr w:val="single" w:color="F3F3F3" w:sz="6" w:space="0"/>
    </w:rPr>
  </w:style>
  <w:style w:type="character" w:customStyle="1" w:styleId="78">
    <w:name w:val="rt8"/>
    <w:basedOn w:val="16"/>
    <w:qFormat/>
    <w:uiPriority w:val="0"/>
  </w:style>
  <w:style w:type="character" w:customStyle="1" w:styleId="79">
    <w:name w:val="number1"/>
    <w:basedOn w:val="16"/>
    <w:qFormat/>
    <w:uiPriority w:val="0"/>
    <w:rPr>
      <w:color w:val="FFFFFF"/>
    </w:rPr>
  </w:style>
  <w:style w:type="character" w:customStyle="1" w:styleId="80">
    <w:name w:val="lt10"/>
    <w:basedOn w:val="16"/>
    <w:qFormat/>
    <w:uiPriority w:val="0"/>
  </w:style>
  <w:style w:type="character" w:customStyle="1" w:styleId="81">
    <w:name w:val="m061"/>
    <w:basedOn w:val="16"/>
    <w:qFormat/>
    <w:uiPriority w:val="0"/>
  </w:style>
  <w:style w:type="character" w:customStyle="1" w:styleId="82">
    <w:name w:val="cm7"/>
    <w:basedOn w:val="16"/>
    <w:qFormat/>
    <w:uiPriority w:val="0"/>
  </w:style>
  <w:style w:type="character" w:customStyle="1" w:styleId="83">
    <w:name w:val="cm3"/>
    <w:basedOn w:val="16"/>
    <w:qFormat/>
    <w:uiPriority w:val="0"/>
  </w:style>
  <w:style w:type="character" w:customStyle="1" w:styleId="84">
    <w:name w:val="rt10"/>
    <w:basedOn w:val="16"/>
    <w:qFormat/>
    <w:uiPriority w:val="0"/>
  </w:style>
  <w:style w:type="character" w:customStyle="1" w:styleId="85">
    <w:name w:val="tb24"/>
    <w:basedOn w:val="16"/>
    <w:qFormat/>
    <w:uiPriority w:val="0"/>
  </w:style>
  <w:style w:type="character" w:customStyle="1" w:styleId="86">
    <w:name w:val="tb31"/>
    <w:basedOn w:val="16"/>
    <w:qFormat/>
    <w:uiPriority w:val="0"/>
  </w:style>
  <w:style w:type="character" w:customStyle="1" w:styleId="87">
    <w:name w:val="number"/>
    <w:basedOn w:val="16"/>
    <w:qFormat/>
    <w:uiPriority w:val="0"/>
    <w:rPr>
      <w:color w:val="FFFFFF"/>
    </w:rPr>
  </w:style>
  <w:style w:type="character" w:customStyle="1" w:styleId="88">
    <w:name w:val="bds_nopic"/>
    <w:basedOn w:val="16"/>
    <w:qFormat/>
    <w:uiPriority w:val="0"/>
  </w:style>
  <w:style w:type="character" w:customStyle="1" w:styleId="89">
    <w:name w:val="lb13"/>
    <w:basedOn w:val="16"/>
    <w:qFormat/>
    <w:uiPriority w:val="0"/>
  </w:style>
  <w:style w:type="character" w:customStyle="1" w:styleId="90">
    <w:name w:val="lb"/>
    <w:basedOn w:val="16"/>
    <w:qFormat/>
    <w:uiPriority w:val="0"/>
  </w:style>
  <w:style w:type="character" w:customStyle="1" w:styleId="91">
    <w:name w:val="m031"/>
    <w:basedOn w:val="16"/>
    <w:qFormat/>
    <w:uiPriority w:val="0"/>
  </w:style>
  <w:style w:type="character" w:customStyle="1" w:styleId="92">
    <w:name w:val="lb7"/>
    <w:basedOn w:val="16"/>
    <w:qFormat/>
    <w:uiPriority w:val="0"/>
  </w:style>
  <w:style w:type="character" w:customStyle="1" w:styleId="93">
    <w:name w:val="bds_more2"/>
    <w:basedOn w:val="16"/>
    <w:qFormat/>
    <w:uiPriority w:val="0"/>
    <w:rPr>
      <w:rFonts w:hint="eastAsia" w:ascii="宋体" w:hAnsi="宋体" w:eastAsia="宋体" w:cs="宋体"/>
    </w:rPr>
  </w:style>
  <w:style w:type="character" w:customStyle="1" w:styleId="94">
    <w:name w:val="tb09"/>
    <w:basedOn w:val="16"/>
    <w:qFormat/>
    <w:uiPriority w:val="0"/>
  </w:style>
  <w:style w:type="character" w:customStyle="1" w:styleId="95">
    <w:name w:val="lb9"/>
    <w:basedOn w:val="16"/>
    <w:qFormat/>
    <w:uiPriority w:val="0"/>
  </w:style>
  <w:style w:type="character" w:customStyle="1" w:styleId="96">
    <w:name w:val="lb14"/>
    <w:basedOn w:val="16"/>
    <w:qFormat/>
    <w:uiPriority w:val="0"/>
  </w:style>
  <w:style w:type="character" w:customStyle="1" w:styleId="97">
    <w:name w:val="cm4"/>
    <w:basedOn w:val="16"/>
    <w:qFormat/>
    <w:uiPriority w:val="0"/>
  </w:style>
  <w:style w:type="character" w:customStyle="1" w:styleId="98">
    <w:name w:val="rb7"/>
    <w:basedOn w:val="16"/>
    <w:qFormat/>
    <w:uiPriority w:val="0"/>
  </w:style>
  <w:style w:type="character" w:customStyle="1" w:styleId="99">
    <w:name w:val="lt9"/>
    <w:basedOn w:val="16"/>
    <w:qFormat/>
    <w:uiPriority w:val="0"/>
  </w:style>
  <w:style w:type="character" w:customStyle="1" w:styleId="100">
    <w:name w:val="页脚 Char"/>
    <w:link w:val="8"/>
    <w:qFormat/>
    <w:uiPriority w:val="99"/>
    <w:rPr>
      <w:kern w:val="2"/>
      <w:sz w:val="18"/>
      <w:szCs w:val="18"/>
    </w:rPr>
  </w:style>
  <w:style w:type="character" w:customStyle="1" w:styleId="101">
    <w:name w:val="tb35"/>
    <w:basedOn w:val="16"/>
    <w:qFormat/>
    <w:uiPriority w:val="0"/>
  </w:style>
  <w:style w:type="character" w:customStyle="1" w:styleId="102">
    <w:name w:val="curpage"/>
    <w:basedOn w:val="16"/>
    <w:qFormat/>
    <w:uiPriority w:val="0"/>
    <w:rPr>
      <w:color w:val="F36000"/>
    </w:rPr>
  </w:style>
  <w:style w:type="character" w:customStyle="1" w:styleId="103">
    <w:name w:val="m011"/>
    <w:basedOn w:val="16"/>
    <w:qFormat/>
    <w:uiPriority w:val="0"/>
  </w:style>
  <w:style w:type="character" w:customStyle="1" w:styleId="104">
    <w:name w:val="tb20"/>
    <w:basedOn w:val="16"/>
    <w:qFormat/>
    <w:uiPriority w:val="0"/>
  </w:style>
  <w:style w:type="character" w:customStyle="1" w:styleId="105">
    <w:name w:val="lb5"/>
    <w:basedOn w:val="16"/>
    <w:qFormat/>
    <w:uiPriority w:val="0"/>
  </w:style>
  <w:style w:type="character" w:customStyle="1" w:styleId="106">
    <w:name w:val="tb22"/>
    <w:basedOn w:val="16"/>
    <w:qFormat/>
    <w:uiPriority w:val="0"/>
  </w:style>
  <w:style w:type="character" w:customStyle="1" w:styleId="107">
    <w:name w:val="lt8"/>
    <w:basedOn w:val="16"/>
    <w:qFormat/>
    <w:uiPriority w:val="0"/>
  </w:style>
  <w:style w:type="character" w:customStyle="1" w:styleId="108">
    <w:name w:val="lb3"/>
    <w:basedOn w:val="16"/>
    <w:qFormat/>
    <w:uiPriority w:val="0"/>
  </w:style>
  <w:style w:type="character" w:customStyle="1" w:styleId="109">
    <w:name w:val="tb32"/>
    <w:basedOn w:val="16"/>
    <w:qFormat/>
    <w:uiPriority w:val="0"/>
  </w:style>
  <w:style w:type="character" w:customStyle="1" w:styleId="110">
    <w:name w:val="tb17"/>
    <w:basedOn w:val="16"/>
    <w:qFormat/>
    <w:uiPriority w:val="0"/>
  </w:style>
  <w:style w:type="character" w:customStyle="1" w:styleId="111">
    <w:name w:val="rb9"/>
    <w:basedOn w:val="16"/>
    <w:qFormat/>
    <w:uiPriority w:val="0"/>
  </w:style>
  <w:style w:type="character" w:customStyle="1" w:styleId="112">
    <w:name w:val="sbtn"/>
    <w:basedOn w:val="16"/>
    <w:qFormat/>
    <w:uiPriority w:val="0"/>
  </w:style>
  <w:style w:type="character" w:customStyle="1" w:styleId="113">
    <w:name w:val="day"/>
    <w:basedOn w:val="16"/>
    <w:qFormat/>
    <w:uiPriority w:val="0"/>
  </w:style>
  <w:style w:type="character" w:customStyle="1" w:styleId="114">
    <w:name w:val="m041"/>
    <w:basedOn w:val="16"/>
    <w:qFormat/>
    <w:uiPriority w:val="0"/>
  </w:style>
  <w:style w:type="character" w:customStyle="1" w:styleId="115">
    <w:name w:val="page_next"/>
    <w:basedOn w:val="16"/>
    <w:qFormat/>
    <w:uiPriority w:val="0"/>
  </w:style>
  <w:style w:type="character" w:customStyle="1" w:styleId="116">
    <w:name w:val="cm6"/>
    <w:basedOn w:val="16"/>
    <w:qFormat/>
    <w:uiPriority w:val="0"/>
  </w:style>
  <w:style w:type="character" w:customStyle="1" w:styleId="117">
    <w:name w:val="tb29"/>
    <w:basedOn w:val="16"/>
    <w:qFormat/>
    <w:uiPriority w:val="0"/>
  </w:style>
  <w:style w:type="character" w:customStyle="1" w:styleId="118">
    <w:name w:val="m01"/>
    <w:basedOn w:val="16"/>
    <w:qFormat/>
    <w:uiPriority w:val="0"/>
  </w:style>
  <w:style w:type="character" w:customStyle="1" w:styleId="119">
    <w:name w:val="m07"/>
    <w:basedOn w:val="16"/>
    <w:qFormat/>
    <w:uiPriority w:val="0"/>
  </w:style>
  <w:style w:type="character" w:customStyle="1" w:styleId="120">
    <w:name w:val="tb33"/>
    <w:basedOn w:val="16"/>
    <w:qFormat/>
    <w:uiPriority w:val="0"/>
  </w:style>
  <w:style w:type="character" w:customStyle="1" w:styleId="121">
    <w:name w:val="active14"/>
    <w:basedOn w:val="16"/>
    <w:qFormat/>
    <w:uiPriority w:val="0"/>
    <w:rPr>
      <w:color w:val="FFFFFF"/>
    </w:rPr>
  </w:style>
  <w:style w:type="character" w:customStyle="1" w:styleId="122">
    <w:name w:val="lt3"/>
    <w:basedOn w:val="16"/>
    <w:qFormat/>
    <w:uiPriority w:val="0"/>
  </w:style>
  <w:style w:type="character" w:customStyle="1" w:styleId="123">
    <w:name w:val="m021"/>
    <w:basedOn w:val="16"/>
    <w:qFormat/>
    <w:uiPriority w:val="0"/>
  </w:style>
  <w:style w:type="character" w:customStyle="1" w:styleId="124">
    <w:name w:val="lb2"/>
    <w:basedOn w:val="16"/>
    <w:qFormat/>
    <w:uiPriority w:val="0"/>
  </w:style>
  <w:style w:type="character" w:customStyle="1" w:styleId="125">
    <w:name w:val="tb15"/>
    <w:basedOn w:val="16"/>
    <w:qFormat/>
    <w:uiPriority w:val="0"/>
  </w:style>
  <w:style w:type="character" w:customStyle="1" w:styleId="126">
    <w:name w:val="lb12"/>
    <w:basedOn w:val="16"/>
    <w:qFormat/>
    <w:uiPriority w:val="0"/>
  </w:style>
  <w:style w:type="character" w:customStyle="1" w:styleId="127">
    <w:name w:val="rb6"/>
    <w:basedOn w:val="16"/>
    <w:qFormat/>
    <w:uiPriority w:val="0"/>
  </w:style>
  <w:style w:type="character" w:customStyle="1" w:styleId="128">
    <w:name w:val="tb34"/>
    <w:basedOn w:val="16"/>
    <w:qFormat/>
    <w:uiPriority w:val="0"/>
  </w:style>
  <w:style w:type="character" w:customStyle="1" w:styleId="129">
    <w:name w:val="curpage1"/>
    <w:basedOn w:val="16"/>
    <w:qFormat/>
    <w:uiPriority w:val="0"/>
    <w:rPr>
      <w:color w:val="2270D0"/>
    </w:rPr>
  </w:style>
  <w:style w:type="character" w:customStyle="1" w:styleId="130">
    <w:name w:val="lt2"/>
    <w:basedOn w:val="16"/>
    <w:qFormat/>
    <w:uiPriority w:val="0"/>
  </w:style>
  <w:style w:type="character" w:customStyle="1" w:styleId="131">
    <w:name w:val="item-name1"/>
    <w:basedOn w:val="16"/>
    <w:qFormat/>
    <w:uiPriority w:val="0"/>
  </w:style>
  <w:style w:type="character" w:customStyle="1" w:styleId="132">
    <w:name w:val="tb26"/>
    <w:basedOn w:val="16"/>
    <w:qFormat/>
    <w:uiPriority w:val="0"/>
  </w:style>
  <w:style w:type="character" w:customStyle="1" w:styleId="133">
    <w:name w:val="fontstyle41"/>
    <w:qFormat/>
    <w:uiPriority w:val="0"/>
    <w:rPr>
      <w:color w:val="231F20"/>
      <w:sz w:val="20"/>
      <w:szCs w:val="20"/>
    </w:rPr>
  </w:style>
  <w:style w:type="character" w:customStyle="1" w:styleId="134">
    <w:name w:val="fontstyle01"/>
    <w:qFormat/>
    <w:uiPriority w:val="0"/>
    <w:rPr>
      <w:rFonts w:hint="default" w:ascii="DLF-3-0-1335754762+ZJZHnC-674" w:hAnsi="DLF-3-0-1335754762+ZJZHnC-674"/>
      <w:color w:val="231F20"/>
      <w:sz w:val="20"/>
      <w:szCs w:val="20"/>
    </w:rPr>
  </w:style>
  <w:style w:type="character" w:customStyle="1" w:styleId="135">
    <w:name w:val="tb21"/>
    <w:basedOn w:val="16"/>
    <w:qFormat/>
    <w:uiPriority w:val="0"/>
  </w:style>
  <w:style w:type="character" w:customStyle="1" w:styleId="136">
    <w:name w:val="m03"/>
    <w:basedOn w:val="16"/>
    <w:qFormat/>
    <w:uiPriority w:val="0"/>
  </w:style>
  <w:style w:type="character" w:customStyle="1" w:styleId="137">
    <w:name w:val="rb11"/>
    <w:basedOn w:val="16"/>
    <w:qFormat/>
    <w:uiPriority w:val="0"/>
  </w:style>
  <w:style w:type="character" w:customStyle="1" w:styleId="138">
    <w:name w:val="tb36"/>
    <w:basedOn w:val="16"/>
    <w:qFormat/>
    <w:uiPriority w:val="0"/>
  </w:style>
  <w:style w:type="character" w:customStyle="1" w:styleId="139">
    <w:name w:val="tb16"/>
    <w:basedOn w:val="16"/>
    <w:qFormat/>
    <w:uiPriority w:val="0"/>
  </w:style>
  <w:style w:type="character" w:customStyle="1" w:styleId="140">
    <w:name w:val="current"/>
    <w:basedOn w:val="16"/>
    <w:qFormat/>
    <w:uiPriority w:val="0"/>
    <w:rPr>
      <w:color w:val="666666"/>
    </w:rPr>
  </w:style>
  <w:style w:type="character" w:customStyle="1" w:styleId="141">
    <w:name w:val="rt11"/>
    <w:basedOn w:val="16"/>
    <w:qFormat/>
    <w:uiPriority w:val="0"/>
  </w:style>
  <w:style w:type="character" w:customStyle="1" w:styleId="142">
    <w:name w:val="tb18"/>
    <w:basedOn w:val="16"/>
    <w:qFormat/>
    <w:uiPriority w:val="0"/>
  </w:style>
  <w:style w:type="character" w:customStyle="1" w:styleId="143">
    <w:name w:val="rt5"/>
    <w:basedOn w:val="16"/>
    <w:qFormat/>
    <w:uiPriority w:val="0"/>
  </w:style>
  <w:style w:type="character" w:customStyle="1" w:styleId="144">
    <w:name w:val="lt5"/>
    <w:basedOn w:val="16"/>
    <w:qFormat/>
    <w:uiPriority w:val="0"/>
  </w:style>
  <w:style w:type="character" w:customStyle="1" w:styleId="145">
    <w:name w:val="cm5"/>
    <w:basedOn w:val="16"/>
    <w:qFormat/>
    <w:uiPriority w:val="0"/>
  </w:style>
  <w:style w:type="character" w:customStyle="1" w:styleId="146">
    <w:name w:val="bds_nopic1"/>
    <w:basedOn w:val="16"/>
    <w:qFormat/>
    <w:uiPriority w:val="0"/>
  </w:style>
  <w:style w:type="character" w:customStyle="1" w:styleId="147">
    <w:name w:val="lb6"/>
    <w:basedOn w:val="16"/>
    <w:qFormat/>
    <w:uiPriority w:val="0"/>
  </w:style>
  <w:style w:type="character" w:customStyle="1" w:styleId="148">
    <w:name w:val="lt7"/>
    <w:basedOn w:val="16"/>
    <w:qFormat/>
    <w:uiPriority w:val="0"/>
  </w:style>
  <w:style w:type="character" w:customStyle="1" w:styleId="149">
    <w:name w:val="tb23"/>
    <w:basedOn w:val="16"/>
    <w:qFormat/>
    <w:uiPriority w:val="0"/>
  </w:style>
  <w:style w:type="character" w:customStyle="1" w:styleId="150">
    <w:name w:val="rt1"/>
    <w:basedOn w:val="16"/>
    <w:qFormat/>
    <w:uiPriority w:val="0"/>
  </w:style>
  <w:style w:type="character" w:customStyle="1" w:styleId="151">
    <w:name w:val="tb19"/>
    <w:basedOn w:val="16"/>
    <w:qFormat/>
    <w:uiPriority w:val="0"/>
  </w:style>
  <w:style w:type="character" w:customStyle="1" w:styleId="152">
    <w:name w:val="item-name"/>
    <w:basedOn w:val="16"/>
    <w:qFormat/>
    <w:uiPriority w:val="0"/>
  </w:style>
  <w:style w:type="character" w:customStyle="1" w:styleId="153">
    <w:name w:val="currecords1"/>
    <w:basedOn w:val="16"/>
    <w:qFormat/>
    <w:uiPriority w:val="0"/>
    <w:rPr>
      <w:color w:val="2270D0"/>
    </w:rPr>
  </w:style>
  <w:style w:type="character" w:customStyle="1" w:styleId="154">
    <w:name w:val="tb10"/>
    <w:basedOn w:val="16"/>
    <w:qFormat/>
    <w:uiPriority w:val="0"/>
  </w:style>
  <w:style w:type="character" w:customStyle="1" w:styleId="155">
    <w:name w:val="rt"/>
    <w:basedOn w:val="16"/>
    <w:qFormat/>
    <w:uiPriority w:val="0"/>
  </w:style>
  <w:style w:type="character" w:customStyle="1" w:styleId="156">
    <w:name w:val="cm11"/>
    <w:basedOn w:val="16"/>
    <w:qFormat/>
    <w:uiPriority w:val="0"/>
  </w:style>
  <w:style w:type="character" w:customStyle="1" w:styleId="157">
    <w:name w:val="bds_more"/>
    <w:basedOn w:val="16"/>
    <w:qFormat/>
    <w:uiPriority w:val="0"/>
  </w:style>
  <w:style w:type="character" w:customStyle="1" w:styleId="158">
    <w:name w:val="lb15"/>
    <w:basedOn w:val="16"/>
    <w:qFormat/>
    <w:uiPriority w:val="0"/>
  </w:style>
  <w:style w:type="character" w:customStyle="1" w:styleId="159">
    <w:name w:val="cm8"/>
    <w:basedOn w:val="16"/>
    <w:qFormat/>
    <w:uiPriority w:val="0"/>
  </w:style>
  <w:style w:type="character" w:customStyle="1" w:styleId="160">
    <w:name w:val="currecords"/>
    <w:basedOn w:val="16"/>
    <w:qFormat/>
    <w:uiPriority w:val="0"/>
    <w:rPr>
      <w:color w:val="F36000"/>
    </w:rPr>
  </w:style>
  <w:style w:type="character" w:customStyle="1" w:styleId="161">
    <w:name w:val="fontstyle31"/>
    <w:qFormat/>
    <w:uiPriority w:val="0"/>
    <w:rPr>
      <w:rFonts w:hint="eastAsia" w:ascii="宋体" w:hAnsi="宋体" w:eastAsia="宋体"/>
      <w:color w:val="231F20"/>
      <w:sz w:val="20"/>
      <w:szCs w:val="20"/>
    </w:rPr>
  </w:style>
  <w:style w:type="character" w:customStyle="1" w:styleId="162">
    <w:name w:val="tb01"/>
    <w:basedOn w:val="16"/>
    <w:qFormat/>
    <w:uiPriority w:val="0"/>
  </w:style>
  <w:style w:type="character" w:customStyle="1" w:styleId="163">
    <w:name w:val="m05"/>
    <w:basedOn w:val="16"/>
    <w:qFormat/>
    <w:uiPriority w:val="0"/>
  </w:style>
  <w:style w:type="character" w:customStyle="1" w:styleId="164">
    <w:name w:val="cm2"/>
    <w:basedOn w:val="16"/>
    <w:qFormat/>
    <w:uiPriority w:val="0"/>
  </w:style>
  <w:style w:type="character" w:customStyle="1" w:styleId="165">
    <w:name w:val="tb30"/>
    <w:basedOn w:val="16"/>
    <w:qFormat/>
    <w:uiPriority w:val="0"/>
  </w:style>
  <w:style w:type="character" w:customStyle="1" w:styleId="166">
    <w:name w:val="bds_more1"/>
    <w:basedOn w:val="16"/>
    <w:qFormat/>
    <w:uiPriority w:val="0"/>
    <w:rPr>
      <w:rFonts w:ascii="宋体 ! important" w:hAnsi="宋体 ! important" w:eastAsia="宋体 ! important" w:cs="宋体 ! important"/>
      <w:color w:val="454545"/>
      <w:sz w:val="14"/>
      <w:szCs w:val="14"/>
    </w:rPr>
  </w:style>
  <w:style w:type="character" w:customStyle="1" w:styleId="167">
    <w:name w:val="gwds_nopic"/>
    <w:basedOn w:val="16"/>
    <w:qFormat/>
    <w:uiPriority w:val="0"/>
  </w:style>
  <w:style w:type="character" w:customStyle="1" w:styleId="168">
    <w:name w:val="rb3"/>
    <w:basedOn w:val="16"/>
    <w:qFormat/>
    <w:uiPriority w:val="0"/>
  </w:style>
  <w:style w:type="character" w:customStyle="1" w:styleId="169">
    <w:name w:val="clear2"/>
    <w:basedOn w:val="16"/>
    <w:qFormat/>
    <w:uiPriority w:val="0"/>
    <w:rPr>
      <w:sz w:val="16"/>
      <w:szCs w:val="0"/>
    </w:rPr>
  </w:style>
  <w:style w:type="character" w:customStyle="1" w:styleId="170">
    <w:name w:val="m02"/>
    <w:basedOn w:val="16"/>
    <w:qFormat/>
    <w:uiPriority w:val="0"/>
  </w:style>
  <w:style w:type="character" w:customStyle="1" w:styleId="171">
    <w:name w:val="fontstyle51"/>
    <w:qFormat/>
    <w:uiPriority w:val="0"/>
    <w:rPr>
      <w:color w:val="231F20"/>
      <w:sz w:val="20"/>
      <w:szCs w:val="20"/>
    </w:rPr>
  </w:style>
  <w:style w:type="character" w:customStyle="1" w:styleId="172">
    <w:name w:val="current2"/>
    <w:basedOn w:val="16"/>
    <w:qFormat/>
    <w:uiPriority w:val="0"/>
    <w:rPr>
      <w:b/>
      <w:color w:val="FFFFFF"/>
      <w:bdr w:val="single" w:color="15B800" w:sz="6" w:space="0"/>
      <w:shd w:val="clear" w:color="auto" w:fill="15B800"/>
    </w:rPr>
  </w:style>
  <w:style w:type="character" w:customStyle="1" w:styleId="173">
    <w:name w:val="tb06"/>
    <w:basedOn w:val="16"/>
    <w:qFormat/>
    <w:uiPriority w:val="0"/>
  </w:style>
  <w:style w:type="character" w:customStyle="1" w:styleId="174">
    <w:name w:val="rt4"/>
    <w:basedOn w:val="16"/>
    <w:qFormat/>
    <w:uiPriority w:val="0"/>
  </w:style>
  <w:style w:type="character" w:customStyle="1" w:styleId="175">
    <w:name w:val="m04"/>
    <w:basedOn w:val="16"/>
    <w:qFormat/>
    <w:uiPriority w:val="0"/>
  </w:style>
  <w:style w:type="character" w:customStyle="1" w:styleId="176">
    <w:name w:val="rt9"/>
    <w:basedOn w:val="16"/>
    <w:qFormat/>
    <w:uiPriority w:val="0"/>
  </w:style>
  <w:style w:type="character" w:customStyle="1" w:styleId="177">
    <w:name w:val="current4"/>
    <w:basedOn w:val="16"/>
    <w:qFormat/>
    <w:uiPriority w:val="0"/>
    <w:rPr>
      <w:b/>
      <w:color w:val="FFFFFF"/>
      <w:bdr w:val="single" w:color="D80D00" w:sz="4" w:space="0"/>
      <w:shd w:val="clear" w:color="auto" w:fill="D80D00"/>
    </w:rPr>
  </w:style>
  <w:style w:type="character" w:customStyle="1" w:styleId="178">
    <w:name w:val="page_prev"/>
    <w:basedOn w:val="16"/>
    <w:qFormat/>
    <w:uiPriority w:val="0"/>
  </w:style>
  <w:style w:type="character" w:customStyle="1" w:styleId="179">
    <w:name w:val="lb11"/>
    <w:basedOn w:val="16"/>
    <w:qFormat/>
    <w:uiPriority w:val="0"/>
  </w:style>
  <w:style w:type="character" w:customStyle="1" w:styleId="180">
    <w:name w:val="tb11"/>
    <w:basedOn w:val="16"/>
    <w:qFormat/>
    <w:uiPriority w:val="0"/>
  </w:style>
  <w:style w:type="character" w:customStyle="1" w:styleId="181">
    <w:name w:val="gwds_nopic2"/>
    <w:basedOn w:val="16"/>
    <w:qFormat/>
    <w:uiPriority w:val="0"/>
  </w:style>
  <w:style w:type="character" w:customStyle="1" w:styleId="182">
    <w:name w:val="rt6"/>
    <w:basedOn w:val="16"/>
    <w:qFormat/>
    <w:uiPriority w:val="0"/>
  </w:style>
  <w:style w:type="character" w:customStyle="1" w:styleId="183">
    <w:name w:val="fontstyle21"/>
    <w:qFormat/>
    <w:uiPriority w:val="0"/>
    <w:rPr>
      <w:rFonts w:hint="eastAsia" w:ascii="楷体" w:hAnsi="楷体" w:eastAsia="楷体"/>
      <w:color w:val="231F20"/>
      <w:sz w:val="20"/>
      <w:szCs w:val="20"/>
    </w:rPr>
  </w:style>
  <w:style w:type="character" w:customStyle="1" w:styleId="184">
    <w:name w:val="lb8"/>
    <w:basedOn w:val="16"/>
    <w:qFormat/>
    <w:uiPriority w:val="0"/>
  </w:style>
  <w:style w:type="character" w:customStyle="1" w:styleId="185">
    <w:name w:val="gwds_nopic1"/>
    <w:basedOn w:val="16"/>
    <w:qFormat/>
    <w:uiPriority w:val="0"/>
  </w:style>
  <w:style w:type="character" w:customStyle="1" w:styleId="186">
    <w:name w:val="hover17"/>
    <w:basedOn w:val="16"/>
    <w:qFormat/>
    <w:uiPriority w:val="0"/>
    <w:rPr>
      <w:color w:val="557EE7"/>
    </w:rPr>
  </w:style>
  <w:style w:type="character" w:customStyle="1" w:styleId="187">
    <w:name w:val="hover16"/>
    <w:basedOn w:val="16"/>
    <w:qFormat/>
    <w:uiPriority w:val="0"/>
    <w:rPr>
      <w:color w:val="557EE7"/>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5105;&#30340;&#35770;&#25991;&#21450;&#35838;&#39064;\&#32489;&#25928;&#35780;&#20215;\&#20016;&#27901;2020\tubiao.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5105;&#30340;&#35770;&#25991;&#21450;&#35838;&#39064;\&#32489;&#25928;&#35780;&#20215;\&#20016;&#27901;2020\tubia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[tubiao.xlsx]Sheet1!$B$2</c:f>
              <c:strCache>
                <c:ptCount val="1"/>
                <c:pt idx="0">
                  <c:v>2018年</c:v>
                </c:pt>
              </c:strCache>
            </c:strRef>
          </c:tx>
          <c:spPr>
            <a:pattFill prst="ltUpDiag">
              <a:fgClr>
                <a:srgbClr val="4F81BD"/>
              </a:fgClr>
              <a:bgClr>
                <a:srgbClr val="FFFFFF"/>
              </a:bgClr>
            </a:patt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[tubiao.xlsx]Sheet1!$A$3:$A$5</c:f>
              <c:strCache>
                <c:ptCount val="3"/>
                <c:pt idx="0">
                  <c:v>国家高新技术企业数（家）</c:v>
                </c:pt>
                <c:pt idx="1">
                  <c:v>省级高新技术企业数（家）</c:v>
                </c:pt>
                <c:pt idx="2">
                  <c:v>省级科技小巨人领军企业数（家）</c:v>
                </c:pt>
              </c:strCache>
            </c:strRef>
          </c:cat>
          <c:val>
            <c:numRef>
              <c:f>[tubiao.xlsx]Sheet1!$B$3:$B$5</c:f>
              <c:numCache>
                <c:formatCode>General</c:formatCode>
                <c:ptCount val="3"/>
                <c:pt idx="0">
                  <c:v>56</c:v>
                </c:pt>
                <c:pt idx="1">
                  <c:v>22</c:v>
                </c:pt>
                <c:pt idx="2">
                  <c:v>28</c:v>
                </c:pt>
              </c:numCache>
            </c:numRef>
          </c:val>
        </c:ser>
        <c:ser>
          <c:idx val="1"/>
          <c:order val="1"/>
          <c:tx>
            <c:strRef>
              <c:f>[tubiao.xlsx]Sheet1!$C$2</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[tubiao.xlsx]Sheet1!$A$3:$A$5</c:f>
              <c:strCache>
                <c:ptCount val="3"/>
                <c:pt idx="0">
                  <c:v>国家高新技术企业数（家）</c:v>
                </c:pt>
                <c:pt idx="1">
                  <c:v>省级高新技术企业数（家）</c:v>
                </c:pt>
                <c:pt idx="2">
                  <c:v>省级科技小巨人领军企业数（家）</c:v>
                </c:pt>
              </c:strCache>
            </c:strRef>
          </c:cat>
          <c:val>
            <c:numRef>
              <c:f>[tubiao.xlsx]Sheet1!$C$3:$C$5</c:f>
              <c:numCache>
                <c:formatCode>General</c:formatCode>
                <c:ptCount val="3"/>
                <c:pt idx="0">
                  <c:v>83</c:v>
                </c:pt>
                <c:pt idx="1">
                  <c:v>67</c:v>
                </c:pt>
                <c:pt idx="2">
                  <c:v>34</c:v>
                </c:pt>
              </c:numCache>
            </c:numRef>
          </c:val>
        </c:ser>
        <c:dLbls>
          <c:showLegendKey val="0"/>
          <c:showVal val="1"/>
          <c:showCatName val="0"/>
          <c:showSerName val="0"/>
          <c:showPercent val="0"/>
          <c:showBubbleSize val="0"/>
        </c:dLbls>
        <c:gapWidth val="219"/>
        <c:overlap val="-27"/>
        <c:axId val="418958110"/>
        <c:axId val="327759123"/>
      </c:barChart>
      <c:catAx>
        <c:axId val="4189581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759123"/>
        <c:crosses val="autoZero"/>
        <c:auto val="1"/>
        <c:lblAlgn val="ctr"/>
        <c:lblOffset val="100"/>
        <c:noMultiLvlLbl val="0"/>
      </c:catAx>
      <c:valAx>
        <c:axId val="3277591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89581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[tubiao.xlsx]Sheet1!$A$26</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[tubiao.xlsx]Sheet1!$B$25:$D$25</c:f>
              <c:strCache>
                <c:ptCount val="3"/>
                <c:pt idx="0">
                  <c:v>华创园</c:v>
                </c:pt>
                <c:pt idx="1">
                  <c:v>北峰数控园</c:v>
                </c:pt>
                <c:pt idx="2">
                  <c:v>泉州网商（虚拟）产业园</c:v>
                </c:pt>
              </c:strCache>
            </c:strRef>
          </c:cat>
          <c:val>
            <c:numRef>
              <c:f>[tubiao.xlsx]Sheet1!$B$26:$D$26</c:f>
              <c:numCache>
                <c:formatCode>General</c:formatCode>
                <c:ptCount val="3"/>
                <c:pt idx="0">
                  <c:v>1494.3</c:v>
                </c:pt>
                <c:pt idx="1">
                  <c:v>313.8</c:v>
                </c:pt>
                <c:pt idx="2">
                  <c:v>12822.3</c:v>
                </c:pt>
              </c:numCache>
            </c:numRef>
          </c:val>
        </c:ser>
        <c:ser>
          <c:idx val="1"/>
          <c:order val="1"/>
          <c:tx>
            <c:strRef>
              <c:f>[tubiao.xlsx]Sheet1!$A$27</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[tubiao.xlsx]Sheet1!$B$25:$D$25</c:f>
              <c:strCache>
                <c:ptCount val="3"/>
                <c:pt idx="0">
                  <c:v>华创园</c:v>
                </c:pt>
                <c:pt idx="1">
                  <c:v>北峰数控园</c:v>
                </c:pt>
                <c:pt idx="2">
                  <c:v>泉州网商（虚拟）产业园</c:v>
                </c:pt>
              </c:strCache>
            </c:strRef>
          </c:cat>
          <c:val>
            <c:numRef>
              <c:f>[tubiao.xlsx]Sheet1!$B$27:$D$27</c:f>
              <c:numCache>
                <c:formatCode>General</c:formatCode>
                <c:ptCount val="3"/>
                <c:pt idx="0">
                  <c:v>2713.2</c:v>
                </c:pt>
                <c:pt idx="1" c:formatCode="0.0_ ">
                  <c:v>190</c:v>
                </c:pt>
                <c:pt idx="2">
                  <c:v>11323.7</c:v>
                </c:pt>
              </c:numCache>
            </c:numRef>
          </c:val>
        </c:ser>
        <c:dLbls>
          <c:showLegendKey val="0"/>
          <c:showVal val="1"/>
          <c:showCatName val="0"/>
          <c:showSerName val="0"/>
          <c:showPercent val="0"/>
          <c:showBubbleSize val="0"/>
        </c:dLbls>
        <c:gapWidth val="219"/>
        <c:overlap val="-27"/>
        <c:axId val="435222448"/>
        <c:axId val="301669067"/>
      </c:barChart>
      <c:lineChart>
        <c:grouping val="standard"/>
        <c:varyColors val="0"/>
        <c:ser>
          <c:idx val="2"/>
          <c:order val="2"/>
          <c:tx>
            <c:strRef>
              <c:f>[tubiao.xlsx]Sheet1!$A$28</c:f>
              <c:strCache>
                <c:ptCount val="1"/>
                <c:pt idx="0">
                  <c:v>2019年同比增长</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[tubiao.xlsx]Sheet1!$B$25:$D$25</c:f>
              <c:strCache>
                <c:ptCount val="3"/>
                <c:pt idx="0">
                  <c:v>华创园</c:v>
                </c:pt>
                <c:pt idx="1">
                  <c:v>北峰数控园</c:v>
                </c:pt>
                <c:pt idx="2">
                  <c:v>泉州网商（虚拟）产业园</c:v>
                </c:pt>
              </c:strCache>
            </c:strRef>
          </c:cat>
          <c:val>
            <c:numRef>
              <c:f>[tubiao.xlsx]Sheet1!$B$28:$D$28</c:f>
              <c:numCache>
                <c:formatCode>General</c:formatCode>
                <c:ptCount val="3"/>
                <c:pt idx="0">
                  <c:v>81.6</c:v>
                </c:pt>
                <c:pt idx="1">
                  <c:v>-39.5</c:v>
                </c:pt>
                <c:pt idx="2">
                  <c:v>-11.7</c:v>
                </c:pt>
              </c:numCache>
            </c:numRef>
          </c:val>
          <c:smooth val="0"/>
        </c:ser>
        <c:dLbls>
          <c:showLegendKey val="0"/>
          <c:showVal val="1"/>
          <c:showCatName val="0"/>
          <c:showSerName val="0"/>
          <c:showPercent val="0"/>
          <c:showBubbleSize val="0"/>
        </c:dLbls>
        <c:marker val="0"/>
        <c:smooth val="0"/>
        <c:axId val="451713420"/>
        <c:axId val="414825895"/>
      </c:lineChart>
      <c:catAx>
        <c:axId val="4352224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669067"/>
        <c:crosses val="autoZero"/>
        <c:auto val="1"/>
        <c:lblAlgn val="ctr"/>
        <c:lblOffset val="100"/>
        <c:noMultiLvlLbl val="0"/>
      </c:catAx>
      <c:valAx>
        <c:axId val="3016690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纳税金额（万元）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5222448"/>
        <c:crosses val="autoZero"/>
        <c:crossBetween val="between"/>
      </c:valAx>
      <c:catAx>
        <c:axId val="451713420"/>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825895"/>
        <c:crosses val="autoZero"/>
        <c:auto val="1"/>
        <c:lblAlgn val="ctr"/>
        <c:lblOffset val="100"/>
        <c:noMultiLvlLbl val="0"/>
      </c:catAx>
      <c:valAx>
        <c:axId val="414825895"/>
        <c:scaling>
          <c:orientation val="minMax"/>
        </c:scaling>
        <c:delete val="0"/>
        <c:axPos val="r"/>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2019</a:t>
                </a:r>
                <a:r>
                  <a:rPr altLang="en-US"/>
                  <a:t>年同比增长（</a:t>
                </a:r>
                <a:r>
                  <a:rPr lang="en-US" altLang="zh-CN"/>
                  <a:t>%</a:t>
                </a:r>
                <a:r>
                  <a:rPr altLang="en-US"/>
                  <a:t>）</a:t>
                </a:r>
                <a:endParaRPr altLang="en-US"/>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71342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3CB79-3304-43EE-A480-5A6AC762BB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4577</Words>
  <Characters>26091</Characters>
  <Lines>217</Lines>
  <Paragraphs>61</Paragraphs>
  <TotalTime>11</TotalTime>
  <ScaleCrop>false</ScaleCrop>
  <LinksUpToDate>false</LinksUpToDate>
  <CharactersWithSpaces>30607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2019-07-08T02:39:00Z</dcterms:created>
  <dc:creator>ychen</dc:creator>
  <cp:lastModifiedBy>DELL</cp:lastModifiedBy>
  <cp:lastPrinted>2019-11-20T05:30:00Z</cp:lastPrinted>
  <dcterms:modified xsi:type="dcterms:W3CDTF">2020-12-04T01:43:21Z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