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2"/>
        </w:numPr>
        <w:kinsoku/>
        <w:wordWrap/>
        <w:overflowPunct/>
        <w:topLinePunct w:val="0"/>
        <w:autoSpaceDE/>
        <w:autoSpaceDN/>
        <w:bidi w:val="0"/>
        <w:adjustRightInd/>
        <w:snapToGrid/>
        <w:spacing w:after="0" w:line="579" w:lineRule="exact"/>
        <w:ind w:right="0"/>
        <w:jc w:val="center"/>
        <w:textAlignment w:val="auto"/>
        <w:outlineLvl w:val="0"/>
        <w:rPr>
          <w:rFonts w:hint="eastAsia" w:ascii="方正小标宋简体" w:hAnsi="方正小标宋简体" w:eastAsia="方正小标宋简体" w:cs="方正小标宋简体"/>
          <w:color w:val="auto"/>
          <w:sz w:val="44"/>
          <w:szCs w:val="44"/>
          <w:shd w:val="clear" w:color="auto" w:fill="auto"/>
        </w:rPr>
      </w:pPr>
      <w:bookmarkStart w:id="0" w:name="_Toc11076"/>
      <w:bookmarkStart w:id="1" w:name="_Toc76683343"/>
      <w:r>
        <w:rPr>
          <w:rFonts w:hint="eastAsia" w:ascii="方正小标宋简体" w:hAnsi="方正小标宋简体" w:eastAsia="方正小标宋简体" w:cs="方正小标宋简体"/>
          <w:bCs/>
          <w:color w:val="auto"/>
          <w:sz w:val="44"/>
          <w:szCs w:val="44"/>
          <w:shd w:val="clear" w:color="auto" w:fill="auto"/>
        </w:rPr>
        <w:t>泉州市丰泽区市场监督管理局</w:t>
      </w:r>
      <w:bookmarkEnd w:id="0"/>
      <w:bookmarkEnd w:id="1"/>
    </w:p>
    <w:p>
      <w:pPr>
        <w:pStyle w:val="2"/>
        <w:keepNext w:val="0"/>
        <w:keepLines w:val="0"/>
        <w:pageBreakBefore w:val="0"/>
        <w:widowControl w:val="0"/>
        <w:numPr>
          <w:ilvl w:val="0"/>
          <w:numId w:val="2"/>
        </w:numPr>
        <w:kinsoku/>
        <w:wordWrap/>
        <w:overflowPunct/>
        <w:topLinePunct w:val="0"/>
        <w:autoSpaceDE/>
        <w:autoSpaceDN/>
        <w:bidi w:val="0"/>
        <w:adjustRightInd/>
        <w:snapToGrid/>
        <w:spacing w:before="0" w:after="0" w:line="579" w:lineRule="exact"/>
        <w:ind w:right="0"/>
        <w:jc w:val="center"/>
        <w:textAlignment w:val="auto"/>
        <w:rPr>
          <w:rFonts w:eastAsia="方正小标宋简体" w:cs="方正小标宋简体"/>
          <w:color w:val="auto"/>
          <w:sz w:val="44"/>
          <w:szCs w:val="44"/>
          <w:shd w:val="clear" w:color="auto" w:fill="auto"/>
        </w:rPr>
      </w:pPr>
      <w:bookmarkStart w:id="2" w:name="_Toc76683344"/>
      <w:r>
        <w:rPr>
          <w:rFonts w:hint="eastAsia" w:hAnsi="方正小标宋简体" w:eastAsia="方正小标宋简体" w:cs="方正小标宋简体"/>
          <w:color w:val="auto"/>
          <w:sz w:val="44"/>
          <w:szCs w:val="44"/>
          <w:shd w:val="clear" w:color="auto" w:fill="auto"/>
          <w:lang w:val="en-US"/>
        </w:rPr>
        <w:t>行政处罚告知书</w:t>
      </w:r>
      <w:bookmarkEnd w:id="2"/>
    </w:p>
    <w:p>
      <w:pPr>
        <w:keepNext w:val="0"/>
        <w:keepLines w:val="0"/>
        <w:pageBreakBefore w:val="0"/>
        <w:widowControl w:val="0"/>
        <w:kinsoku/>
        <w:wordWrap/>
        <w:overflowPunct/>
        <w:topLinePunct w:val="0"/>
        <w:autoSpaceDE/>
        <w:autoSpaceDN/>
        <w:bidi w:val="0"/>
        <w:adjustRightInd/>
        <w:snapToGrid/>
        <w:spacing w:after="0" w:line="579" w:lineRule="exact"/>
        <w:ind w:right="0"/>
        <w:jc w:val="center"/>
        <w:textAlignment w:val="auto"/>
        <w:outlineLvl w:val="1"/>
        <w:rPr>
          <w:rFonts w:hint="eastAsia" w:ascii="仿宋_GB2312" w:hAnsi="仿宋_GB2312" w:eastAsia="仿宋_GB2312" w:cs="仿宋_GB2312"/>
          <w:color w:val="auto"/>
          <w:sz w:val="32"/>
          <w:szCs w:val="32"/>
          <w:u w:val="none"/>
          <w:shd w:val="clear" w:color="auto" w:fill="auto"/>
        </w:rPr>
      </w:pPr>
      <w:r>
        <w:rPr>
          <w:rFonts w:hint="eastAsia" w:ascii="Times New Roman" w:hAnsi="Times New Roman" w:eastAsia="仿宋_GB2312" w:cs="仿宋"/>
          <w:color w:val="auto"/>
          <w:sz w:val="32"/>
          <w:szCs w:val="32"/>
          <w:u w:val="none"/>
          <w:shd w:val="clear" w:color="auto" w:fill="auto"/>
        </w:rPr>
        <w:t>泉</w:t>
      </w:r>
      <w:r>
        <w:rPr>
          <w:rFonts w:hint="eastAsia" w:ascii="仿宋_GB2312" w:hAnsi="仿宋_GB2312" w:eastAsia="仿宋_GB2312" w:cs="仿宋_GB2312"/>
          <w:color w:val="auto"/>
          <w:sz w:val="32"/>
          <w:szCs w:val="32"/>
          <w:u w:val="none"/>
          <w:shd w:val="clear" w:color="auto" w:fill="auto"/>
        </w:rPr>
        <w:t>丰市监</w:t>
      </w:r>
      <w:r>
        <w:rPr>
          <w:rFonts w:hint="eastAsia" w:ascii="仿宋_GB2312" w:hAnsi="仿宋_GB2312" w:eastAsia="仿宋_GB2312" w:cs="仿宋_GB2312"/>
          <w:bCs/>
          <w:color w:val="auto"/>
          <w:sz w:val="32"/>
          <w:szCs w:val="32"/>
          <w:u w:val="none"/>
          <w:shd w:val="clear" w:color="auto" w:fill="auto"/>
        </w:rPr>
        <w:t>（东海）</w:t>
      </w:r>
      <w:r>
        <w:rPr>
          <w:rFonts w:hint="eastAsia" w:ascii="仿宋_GB2312" w:hAnsi="仿宋_GB2312" w:eastAsia="仿宋_GB2312" w:cs="仿宋_GB2312"/>
          <w:color w:val="auto"/>
          <w:sz w:val="32"/>
          <w:szCs w:val="32"/>
          <w:u w:val="none"/>
          <w:shd w:val="clear" w:color="auto" w:fill="auto"/>
        </w:rPr>
        <w:t>罚告〔2025〕</w:t>
      </w:r>
      <w:r>
        <w:rPr>
          <w:rFonts w:hint="eastAsia" w:ascii="仿宋_GB2312" w:hAnsi="仿宋_GB2312" w:eastAsia="仿宋_GB2312" w:cs="仿宋_GB2312"/>
          <w:color w:val="auto"/>
          <w:sz w:val="32"/>
          <w:szCs w:val="32"/>
          <w:u w:val="none"/>
          <w:shd w:val="clear" w:color="auto" w:fill="auto"/>
          <w:lang w:val="en-US" w:eastAsia="zh-CN"/>
        </w:rPr>
        <w:t>12</w:t>
      </w:r>
      <w:r>
        <w:rPr>
          <w:rFonts w:hint="eastAsia" w:ascii="仿宋_GB2312" w:hAnsi="仿宋_GB2312" w:eastAsia="仿宋_GB2312" w:cs="仿宋_GB2312"/>
          <w:color w:val="auto"/>
          <w:sz w:val="32"/>
          <w:szCs w:val="32"/>
          <w:u w:val="none"/>
          <w:shd w:val="clear" w:color="auto" w:fill="auto"/>
        </w:rPr>
        <w:t>号</w:t>
      </w:r>
    </w:p>
    <w:p>
      <w:pPr>
        <w:keepNext w:val="0"/>
        <w:keepLines w:val="0"/>
        <w:pageBreakBefore w:val="0"/>
        <w:widowControl w:val="0"/>
        <w:kinsoku/>
        <w:wordWrap/>
        <w:overflowPunct/>
        <w:topLinePunct w:val="0"/>
        <w:autoSpaceDE/>
        <w:autoSpaceDN/>
        <w:bidi w:val="0"/>
        <w:adjustRightInd/>
        <w:snapToGrid/>
        <w:spacing w:after="0" w:line="579" w:lineRule="exact"/>
        <w:ind w:right="0"/>
        <w:textAlignment w:val="auto"/>
        <w:rPr>
          <w:rFonts w:hint="eastAsia" w:ascii="仿宋_GB2312" w:hAnsi="仿宋_GB2312" w:eastAsia="仿宋_GB2312" w:cs="仿宋_GB2312"/>
          <w:color w:val="auto"/>
          <w:sz w:val="32"/>
          <w:szCs w:val="32"/>
          <w:u w:val="none"/>
          <w:shd w:val="clear" w:color="auto" w:fill="auto"/>
        </w:rPr>
      </w:pPr>
    </w:p>
    <w:p>
      <w:pPr>
        <w:keepNext w:val="0"/>
        <w:keepLines w:val="0"/>
        <w:pageBreakBefore w:val="0"/>
        <w:widowControl w:val="0"/>
        <w:kinsoku/>
        <w:wordWrap/>
        <w:overflowPunct/>
        <w:topLinePunct w:val="0"/>
        <w:autoSpaceDE/>
        <w:autoSpaceDN/>
        <w:bidi w:val="0"/>
        <w:adjustRightInd/>
        <w:snapToGrid/>
        <w:spacing w:after="0" w:line="579" w:lineRule="exact"/>
        <w:ind w:right="0"/>
        <w:textAlignment w:val="auto"/>
        <w:rPr>
          <w:rFonts w:hint="eastAsia" w:ascii="仿宋_GB2312" w:hAnsi="仿宋_GB2312" w:eastAsia="仿宋_GB2312" w:cs="仿宋_GB2312"/>
          <w:color w:val="auto"/>
          <w:sz w:val="32"/>
          <w:szCs w:val="32"/>
          <w:u w:val="none"/>
          <w:shd w:val="clear" w:color="auto" w:fill="auto"/>
        </w:rPr>
      </w:pPr>
      <w:r>
        <w:rPr>
          <w:rFonts w:hint="eastAsia" w:ascii="仿宋_GB2312" w:hAnsi="仿宋_GB2312" w:eastAsia="仿宋_GB2312" w:cs="仿宋_GB2312"/>
          <w:color w:val="auto"/>
          <w:sz w:val="32"/>
          <w:szCs w:val="32"/>
          <w:u w:val="none"/>
          <w:shd w:val="clear" w:color="auto" w:fill="auto"/>
        </w:rPr>
        <w:fldChar w:fldCharType="begin"/>
      </w:r>
      <w:r>
        <w:rPr>
          <w:rFonts w:hint="eastAsia" w:ascii="仿宋_GB2312" w:hAnsi="仿宋_GB2312" w:eastAsia="仿宋_GB2312" w:cs="仿宋_GB2312"/>
          <w:color w:val="auto"/>
          <w:sz w:val="32"/>
          <w:szCs w:val="32"/>
          <w:u w:val="none"/>
          <w:shd w:val="clear" w:color="auto" w:fill="auto"/>
        </w:rPr>
        <w:instrText xml:space="preserve"> MERGEFIELD "企业名称" </w:instrText>
      </w:r>
      <w:r>
        <w:rPr>
          <w:rFonts w:hint="eastAsia" w:ascii="仿宋_GB2312" w:hAnsi="仿宋_GB2312" w:eastAsia="仿宋_GB2312" w:cs="仿宋_GB2312"/>
          <w:color w:val="auto"/>
          <w:sz w:val="32"/>
          <w:szCs w:val="32"/>
          <w:u w:val="none"/>
          <w:shd w:val="clear" w:color="auto" w:fill="auto"/>
        </w:rPr>
        <w:fldChar w:fldCharType="separate"/>
      </w:r>
      <w:r>
        <w:rPr>
          <w:rFonts w:hint="eastAsia" w:ascii="仿宋_GB2312" w:hAnsi="仿宋_GB2312" w:eastAsia="仿宋_GB2312" w:cs="仿宋_GB2312"/>
          <w:color w:val="auto"/>
          <w:sz w:val="32"/>
          <w:szCs w:val="32"/>
          <w:u w:val="none"/>
          <w:shd w:val="clear" w:color="auto" w:fill="auto"/>
          <w:lang w:val="en-US" w:eastAsia="zh-CN"/>
        </w:rPr>
        <w:t>天玉（厦门）商业保理有限公司泉州分公司</w:t>
      </w:r>
      <w:r>
        <w:rPr>
          <w:rFonts w:hint="eastAsia" w:ascii="仿宋_GB2312" w:hAnsi="仿宋_GB2312" w:eastAsia="仿宋_GB2312" w:cs="仿宋_GB2312"/>
          <w:color w:val="auto"/>
          <w:sz w:val="32"/>
          <w:szCs w:val="32"/>
          <w:u w:val="none"/>
          <w:shd w:val="clear" w:color="auto" w:fill="auto"/>
        </w:rPr>
        <w:fldChar w:fldCharType="end"/>
      </w:r>
      <w:r>
        <w:rPr>
          <w:rFonts w:hint="eastAsia" w:ascii="仿宋_GB2312" w:hAnsi="仿宋_GB2312" w:eastAsia="仿宋_GB2312" w:cs="仿宋_GB2312"/>
          <w:color w:val="auto"/>
          <w:sz w:val="32"/>
          <w:szCs w:val="32"/>
          <w:u w:val="none"/>
          <w:shd w:val="clear" w:color="auto" w:fill="auto"/>
        </w:rPr>
        <w:t>：</w:t>
      </w:r>
    </w:p>
    <w:p>
      <w:pPr>
        <w:keepNext w:val="0"/>
        <w:keepLines w:val="0"/>
        <w:pageBreakBefore w:val="0"/>
        <w:widowControl w:val="0"/>
        <w:kinsoku/>
        <w:wordWrap/>
        <w:overflowPunct/>
        <w:topLinePunct w:val="0"/>
        <w:autoSpaceDE/>
        <w:autoSpaceDN/>
        <w:bidi w:val="0"/>
        <w:adjustRightInd/>
        <w:snapToGrid/>
        <w:spacing w:after="0" w:line="579" w:lineRule="exact"/>
        <w:ind w:right="0" w:firstLine="640" w:firstLineChars="200"/>
        <w:textAlignment w:val="auto"/>
        <w:rPr>
          <w:rFonts w:hint="eastAsia" w:ascii="仿宋_GB2312" w:hAnsi="仿宋_GB2312" w:eastAsia="仿宋_GB2312" w:cs="仿宋_GB2312"/>
          <w:color w:val="auto"/>
          <w:sz w:val="32"/>
          <w:szCs w:val="32"/>
          <w:u w:val="none"/>
          <w:shd w:val="clear" w:color="auto" w:fill="auto"/>
        </w:rPr>
      </w:pPr>
      <w:r>
        <w:rPr>
          <w:rFonts w:hint="eastAsia" w:ascii="仿宋_GB2312" w:hAnsi="仿宋_GB2312" w:eastAsia="仿宋_GB2312" w:cs="仿宋_GB2312"/>
          <w:color w:val="auto"/>
          <w:sz w:val="32"/>
          <w:szCs w:val="32"/>
          <w:u w:val="none"/>
          <w:shd w:val="clear" w:color="auto" w:fill="auto"/>
        </w:rPr>
        <w:t>由本局立案调查的你（单位）涉嫌连续2年未按规定报送年度报告被列入经营异常名录未改正，且通过登记的住所或者经营场所无法取得联系一案，已调查终结。依据《中华人民共和国行政处罚法》第四十四条的规定，现将本局拟作出行政处罚的内容及事实、理由、依据告知如下：</w:t>
      </w:r>
    </w:p>
    <w:p>
      <w:pPr>
        <w:keepNext w:val="0"/>
        <w:keepLines w:val="0"/>
        <w:pageBreakBefore w:val="0"/>
        <w:widowControl w:val="0"/>
        <w:kinsoku/>
        <w:wordWrap/>
        <w:overflowPunct/>
        <w:topLinePunct w:val="0"/>
        <w:autoSpaceDE/>
        <w:autoSpaceDN/>
        <w:bidi w:val="0"/>
        <w:adjustRightInd/>
        <w:snapToGrid/>
        <w:spacing w:after="0" w:line="579" w:lineRule="exact"/>
        <w:ind w:right="0" w:firstLine="640" w:firstLineChars="200"/>
        <w:textAlignment w:val="auto"/>
        <w:rPr>
          <w:rFonts w:hint="eastAsia" w:ascii="仿宋_GB2312" w:hAnsi="仿宋_GB2312" w:eastAsia="仿宋_GB2312" w:cs="仿宋_GB2312"/>
          <w:color w:val="auto"/>
          <w:sz w:val="32"/>
          <w:szCs w:val="32"/>
          <w:u w:val="none"/>
          <w:shd w:val="clear" w:color="auto" w:fill="auto"/>
        </w:rPr>
      </w:pPr>
      <w:r>
        <w:rPr>
          <w:rFonts w:hint="eastAsia" w:ascii="仿宋_GB2312" w:hAnsi="仿宋_GB2312" w:eastAsia="仿宋_GB2312" w:cs="仿宋_GB2312"/>
          <w:color w:val="auto"/>
          <w:sz w:val="32"/>
          <w:szCs w:val="32"/>
          <w:u w:val="none"/>
          <w:shd w:val="clear" w:color="auto" w:fill="auto"/>
        </w:rPr>
        <w:t>你单位连续2年未按规定报送年度报告被列入经营异常名录未改正，且通过登记的住所或者经营场所无法取得联系，依据《企业信息公示暂行条例》第十八条第一款</w:t>
      </w:r>
      <w:r>
        <w:rPr>
          <w:rFonts w:hint="eastAsia" w:ascii="仿宋_GB2312" w:hAnsi="仿宋_GB2312" w:eastAsia="仿宋_GB2312" w:cs="仿宋_GB2312"/>
          <w:color w:val="auto"/>
          <w:sz w:val="32"/>
          <w:szCs w:val="32"/>
          <w:u w:val="none"/>
          <w:shd w:val="clear" w:color="auto" w:fill="auto"/>
          <w:lang w:val="en-US" w:eastAsia="zh-CN"/>
        </w:rPr>
        <w:t>“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的规定</w:t>
      </w:r>
      <w:r>
        <w:rPr>
          <w:rFonts w:hint="eastAsia" w:ascii="仿宋_GB2312" w:hAnsi="仿宋_GB2312" w:eastAsia="仿宋_GB2312" w:cs="仿宋_GB2312"/>
          <w:color w:val="auto"/>
          <w:sz w:val="32"/>
          <w:szCs w:val="32"/>
          <w:u w:val="none"/>
          <w:shd w:val="clear" w:color="auto" w:fill="auto"/>
        </w:rPr>
        <w:t>，现本局拟作出吊销营业执照的行政处罚。</w:t>
      </w:r>
    </w:p>
    <w:p>
      <w:pPr>
        <w:keepNext w:val="0"/>
        <w:keepLines w:val="0"/>
        <w:pageBreakBefore w:val="0"/>
        <w:widowControl w:val="0"/>
        <w:kinsoku/>
        <w:wordWrap/>
        <w:overflowPunct/>
        <w:topLinePunct w:val="0"/>
        <w:autoSpaceDE/>
        <w:autoSpaceDN/>
        <w:bidi w:val="0"/>
        <w:adjustRightInd/>
        <w:snapToGrid/>
        <w:spacing w:after="0" w:line="579" w:lineRule="exact"/>
        <w:ind w:right="0" w:firstLine="640" w:firstLineChars="200"/>
        <w:textAlignment w:val="auto"/>
        <w:rPr>
          <w:rFonts w:hint="eastAsia" w:ascii="仿宋_GB2312" w:hAnsi="仿宋_GB2312" w:eastAsia="仿宋_GB2312" w:cs="仿宋_GB2312"/>
          <w:color w:val="auto"/>
          <w:sz w:val="32"/>
          <w:szCs w:val="32"/>
          <w:u w:val="none"/>
          <w:shd w:val="clear" w:color="auto" w:fill="auto"/>
        </w:rPr>
      </w:pPr>
      <w:r>
        <w:rPr>
          <w:rFonts w:hint="eastAsia" w:ascii="仿宋_GB2312" w:hAnsi="仿宋_GB2312" w:eastAsia="仿宋_GB2312" w:cs="仿宋_GB2312"/>
          <w:color w:val="auto"/>
          <w:sz w:val="32"/>
          <w:szCs w:val="32"/>
          <w:u w:val="none"/>
          <w:shd w:val="clear" w:color="auto" w:fill="auto"/>
        </w:rPr>
        <w:t>依据《中华人民共和国行政处罚法》第四十四条、第四十五条、第六十三条、第六十四条第一项，以及《市场监督管理行政处罚听证办法》第五条的规定，你（单位）有权进行陈述、申辩，并可以要求听证。自收到本告知书之日起五个工作日内未行使陈述、申辩权，未要求听证的，视为放弃此权利。</w:t>
      </w:r>
    </w:p>
    <w:p>
      <w:pPr>
        <w:keepNext w:val="0"/>
        <w:keepLines w:val="0"/>
        <w:pageBreakBefore w:val="0"/>
        <w:widowControl w:val="0"/>
        <w:kinsoku/>
        <w:wordWrap/>
        <w:overflowPunct/>
        <w:topLinePunct w:val="0"/>
        <w:autoSpaceDE/>
        <w:autoSpaceDN/>
        <w:bidi w:val="0"/>
        <w:adjustRightInd/>
        <w:snapToGrid/>
        <w:spacing w:after="0" w:line="579" w:lineRule="exact"/>
        <w:ind w:right="0" w:firstLine="640" w:firstLineChars="200"/>
        <w:textAlignment w:val="auto"/>
        <w:rPr>
          <w:rFonts w:hint="eastAsia" w:ascii="仿宋_GB2312" w:hAnsi="仿宋_GB2312" w:eastAsia="仿宋_GB2312" w:cs="仿宋_GB2312"/>
          <w:color w:val="auto"/>
          <w:sz w:val="32"/>
          <w:szCs w:val="32"/>
          <w:shd w:val="clear" w:color="auto" w:fill="auto"/>
        </w:rPr>
      </w:pPr>
    </w:p>
    <w:p>
      <w:pPr>
        <w:keepNext w:val="0"/>
        <w:keepLines w:val="0"/>
        <w:pageBreakBefore w:val="0"/>
        <w:widowControl w:val="0"/>
        <w:kinsoku/>
        <w:wordWrap/>
        <w:overflowPunct/>
        <w:topLinePunct w:val="0"/>
        <w:autoSpaceDE/>
        <w:autoSpaceDN/>
        <w:bidi w:val="0"/>
        <w:adjustRightInd/>
        <w:snapToGrid/>
        <w:spacing w:after="0" w:line="579" w:lineRule="exact"/>
        <w:ind w:right="0" w:firstLine="640" w:firstLineChars="200"/>
        <w:textAlignment w:val="auto"/>
        <w:rPr>
          <w:rFonts w:hint="eastAsia" w:ascii="仿宋_GB2312" w:hAnsi="仿宋_GB2312" w:eastAsia="仿宋_GB2312" w:cs="仿宋_GB2312"/>
          <w:color w:val="auto"/>
          <w:sz w:val="32"/>
          <w:szCs w:val="32"/>
          <w:u w:val="none"/>
          <w:shd w:val="clear" w:color="auto" w:fill="auto"/>
          <w:lang w:val="en-US" w:eastAsia="zh-CN"/>
        </w:rPr>
      </w:pPr>
      <w:r>
        <w:rPr>
          <w:rFonts w:hint="eastAsia" w:ascii="仿宋_GB2312" w:hAnsi="仿宋_GB2312" w:eastAsia="仿宋_GB2312" w:cs="仿宋_GB2312"/>
          <w:color w:val="auto"/>
          <w:sz w:val="32"/>
          <w:szCs w:val="32"/>
          <w:shd w:val="clear" w:color="auto" w:fill="auto"/>
        </w:rPr>
        <w:t>联系人</w:t>
      </w:r>
      <w:r>
        <w:rPr>
          <w:rFonts w:hint="eastAsia" w:ascii="仿宋_GB2312" w:hAnsi="仿宋_GB2312" w:eastAsia="仿宋_GB2312" w:cs="仿宋_GB2312"/>
          <w:color w:val="auto"/>
          <w:sz w:val="32"/>
          <w:szCs w:val="32"/>
          <w:u w:val="none"/>
          <w:shd w:val="clear" w:color="auto" w:fill="auto"/>
        </w:rPr>
        <w:t>：</w:t>
      </w:r>
      <w:r>
        <w:rPr>
          <w:rFonts w:hint="eastAsia" w:ascii="仿宋_GB2312" w:hAnsi="仿宋_GB2312" w:eastAsia="仿宋_GB2312" w:cs="仿宋_GB2312"/>
          <w:color w:val="auto"/>
          <w:sz w:val="32"/>
          <w:szCs w:val="32"/>
          <w:u w:val="none"/>
          <w:shd w:val="clear" w:color="auto" w:fill="auto"/>
          <w:lang w:val="en-US" w:eastAsia="zh-CN"/>
        </w:rPr>
        <w:t xml:space="preserve">罗林波    </w:t>
      </w:r>
      <w:r>
        <w:rPr>
          <w:rFonts w:hint="eastAsia" w:ascii="仿宋_GB2312" w:hAnsi="仿宋_GB2312" w:eastAsia="仿宋_GB2312" w:cs="仿宋_GB2312"/>
          <w:color w:val="auto"/>
          <w:sz w:val="32"/>
          <w:szCs w:val="32"/>
          <w:u w:val="none"/>
          <w:shd w:val="clear" w:color="auto" w:fill="auto"/>
        </w:rPr>
        <w:t xml:space="preserve"> 联系电话：</w:t>
      </w:r>
      <w:r>
        <w:rPr>
          <w:rFonts w:hint="eastAsia" w:ascii="仿宋_GB2312" w:hAnsi="仿宋_GB2312" w:eastAsia="仿宋_GB2312" w:cs="仿宋_GB2312"/>
          <w:color w:val="auto"/>
          <w:sz w:val="32"/>
          <w:szCs w:val="32"/>
          <w:u w:val="none"/>
          <w:shd w:val="clear" w:color="auto" w:fill="auto"/>
          <w:lang w:val="en-US" w:eastAsia="zh-CN"/>
        </w:rPr>
        <w:t>0595-22109757</w:t>
      </w:r>
    </w:p>
    <w:p>
      <w:pPr>
        <w:keepNext w:val="0"/>
        <w:keepLines w:val="0"/>
        <w:pageBreakBefore w:val="0"/>
        <w:widowControl w:val="0"/>
        <w:kinsoku/>
        <w:wordWrap/>
        <w:overflowPunct/>
        <w:topLinePunct w:val="0"/>
        <w:autoSpaceDE/>
        <w:autoSpaceDN/>
        <w:bidi w:val="0"/>
        <w:adjustRightInd/>
        <w:snapToGrid/>
        <w:spacing w:after="0" w:line="579" w:lineRule="exact"/>
        <w:ind w:right="0" w:firstLine="640" w:firstLineChars="200"/>
        <w:textAlignment w:val="auto"/>
        <w:rPr>
          <w:rFonts w:hint="eastAsia" w:ascii="仿宋_GB2312" w:hAnsi="仿宋_GB2312" w:eastAsia="仿宋_GB2312" w:cs="仿宋_GB2312"/>
          <w:color w:val="auto"/>
          <w:sz w:val="32"/>
          <w:szCs w:val="32"/>
          <w:u w:val="none"/>
          <w:shd w:val="clear" w:color="auto" w:fill="auto"/>
        </w:rPr>
      </w:pPr>
      <w:r>
        <w:rPr>
          <w:rFonts w:hint="eastAsia" w:ascii="仿宋_GB2312" w:hAnsi="仿宋_GB2312" w:eastAsia="仿宋_GB2312" w:cs="仿宋_GB2312"/>
          <w:color w:val="auto"/>
          <w:sz w:val="32"/>
          <w:szCs w:val="32"/>
          <w:u w:val="none"/>
          <w:shd w:val="clear" w:color="auto" w:fill="auto"/>
        </w:rPr>
        <w:t>联系地址：</w:t>
      </w:r>
      <w:r>
        <w:rPr>
          <w:rFonts w:hint="eastAsia" w:ascii="仿宋_GB2312" w:hAnsi="仿宋_GB2312" w:eastAsia="仿宋_GB2312" w:cs="仿宋_GB2312"/>
          <w:color w:val="auto"/>
          <w:sz w:val="32"/>
          <w:szCs w:val="32"/>
          <w:u w:val="none"/>
          <w:shd w:val="clear" w:color="auto" w:fill="auto"/>
          <w:lang w:val="en-US" w:eastAsia="zh-CN"/>
        </w:rPr>
        <w:t xml:space="preserve">泉州市丰泽区东海街道市场监督管理所 </w:t>
      </w:r>
      <w:r>
        <w:rPr>
          <w:rFonts w:hint="eastAsia" w:ascii="仿宋_GB2312" w:hAnsi="仿宋_GB2312" w:eastAsia="仿宋_GB2312" w:cs="仿宋_GB2312"/>
          <w:color w:val="auto"/>
          <w:sz w:val="32"/>
          <w:szCs w:val="32"/>
          <w:u w:val="none"/>
          <w:shd w:val="clear" w:color="auto" w:fill="auto"/>
        </w:rPr>
        <w:t xml:space="preserve">  </w:t>
      </w:r>
    </w:p>
    <w:p>
      <w:pPr>
        <w:keepNext w:val="0"/>
        <w:keepLines w:val="0"/>
        <w:pageBreakBefore w:val="0"/>
        <w:widowControl w:val="0"/>
        <w:kinsoku/>
        <w:wordWrap/>
        <w:overflowPunct/>
        <w:topLinePunct w:val="0"/>
        <w:autoSpaceDE/>
        <w:autoSpaceDN/>
        <w:bidi w:val="0"/>
        <w:adjustRightInd/>
        <w:snapToGrid/>
        <w:spacing w:after="0" w:line="579" w:lineRule="exact"/>
        <w:ind w:right="0" w:firstLine="601"/>
        <w:jc w:val="right"/>
        <w:textAlignment w:val="auto"/>
        <w:rPr>
          <w:rFonts w:hint="eastAsia" w:ascii="仿宋_GB2312" w:hAnsi="仿宋_GB2312" w:eastAsia="仿宋_GB2312" w:cs="仿宋_GB2312"/>
          <w:color w:val="auto"/>
          <w:sz w:val="32"/>
          <w:szCs w:val="32"/>
          <w:shd w:val="clear" w:color="auto" w:fill="auto"/>
        </w:rPr>
      </w:pPr>
    </w:p>
    <w:p>
      <w:pPr>
        <w:keepNext w:val="0"/>
        <w:keepLines w:val="0"/>
        <w:pageBreakBefore w:val="0"/>
        <w:widowControl w:val="0"/>
        <w:kinsoku/>
        <w:wordWrap/>
        <w:overflowPunct/>
        <w:topLinePunct w:val="0"/>
        <w:autoSpaceDE/>
        <w:autoSpaceDN/>
        <w:bidi w:val="0"/>
        <w:adjustRightInd/>
        <w:snapToGrid/>
        <w:spacing w:after="0" w:line="579" w:lineRule="exact"/>
        <w:ind w:right="0" w:firstLine="601"/>
        <w:jc w:val="right"/>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泉州市丰泽区市场监督管理局</w:t>
      </w:r>
    </w:p>
    <w:p>
      <w:pPr>
        <w:keepNext w:val="0"/>
        <w:keepLines w:val="0"/>
        <w:pageBreakBefore w:val="0"/>
        <w:widowControl w:val="0"/>
        <w:kinsoku/>
        <w:wordWrap w:val="0"/>
        <w:overflowPunct/>
        <w:topLinePunct w:val="0"/>
        <w:autoSpaceDE/>
        <w:autoSpaceDN/>
        <w:bidi w:val="0"/>
        <w:adjustRightInd/>
        <w:snapToGrid/>
        <w:spacing w:after="0" w:line="579" w:lineRule="exact"/>
        <w:ind w:right="0" w:firstLine="600"/>
        <w:jc w:val="right"/>
        <w:textAlignment w:val="auto"/>
        <w:rPr>
          <w:rFonts w:hint="default" w:ascii="仿宋_GB2312" w:hAnsi="Times New Roman" w:eastAsia="仿宋_GB2312" w:cs="仿宋"/>
          <w:color w:val="auto"/>
          <w:sz w:val="32"/>
          <w:szCs w:val="32"/>
          <w:shd w:val="clear" w:color="auto" w:fill="auto"/>
          <w:lang w:val="en-US" w:eastAsia="zh-CN"/>
        </w:rPr>
      </w:pPr>
      <w:bookmarkStart w:id="3" w:name="_GoBack"/>
      <w:bookmarkEnd w:id="3"/>
      <w:r>
        <w:rPr>
          <w:rFonts w:hint="eastAsia" w:ascii="仿宋_GB2312" w:hAnsi="仿宋_GB2312" w:eastAsia="仿宋_GB2312" w:cs="仿宋_GB2312"/>
          <w:color w:val="auto"/>
          <w:sz w:val="32"/>
          <w:szCs w:val="32"/>
          <w:shd w:val="clear" w:color="auto" w:fill="auto"/>
        </w:rPr>
        <w:t>2025年</w:t>
      </w:r>
      <w:r>
        <w:rPr>
          <w:rFonts w:hint="eastAsia" w:ascii="仿宋_GB2312" w:hAnsi="仿宋_GB2312" w:eastAsia="仿宋_GB2312" w:cs="仿宋_GB2312"/>
          <w:color w:val="auto"/>
          <w:sz w:val="32"/>
          <w:szCs w:val="32"/>
          <w:shd w:val="clear" w:color="auto" w:fill="auto"/>
          <w:lang w:val="en-US" w:eastAsia="zh-CN"/>
        </w:rPr>
        <w:t>11</w:t>
      </w:r>
      <w:r>
        <w:rPr>
          <w:rFonts w:hint="eastAsia" w:ascii="仿宋_GB2312" w:hAnsi="仿宋_GB2312" w:eastAsia="仿宋_GB2312" w:cs="仿宋_GB2312"/>
          <w:color w:val="auto"/>
          <w:sz w:val="32"/>
          <w:szCs w:val="32"/>
          <w:shd w:val="clear" w:color="auto" w:fill="auto"/>
        </w:rPr>
        <w:t>月</w:t>
      </w:r>
      <w:r>
        <w:rPr>
          <w:rFonts w:hint="eastAsia" w:ascii="仿宋_GB2312" w:hAnsi="仿宋_GB2312" w:eastAsia="仿宋_GB2312" w:cs="仿宋_GB2312"/>
          <w:color w:val="auto"/>
          <w:sz w:val="32"/>
          <w:szCs w:val="32"/>
          <w:shd w:val="clear" w:color="auto" w:fill="auto"/>
          <w:lang w:val="en-US" w:eastAsia="zh-CN"/>
        </w:rPr>
        <w:t>11</w:t>
      </w:r>
      <w:r>
        <w:rPr>
          <w:rFonts w:hint="eastAsia" w:ascii="仿宋_GB2312" w:hAnsi="仿宋_GB2312" w:eastAsia="仿宋_GB2312" w:cs="仿宋_GB2312"/>
          <w:color w:val="auto"/>
          <w:sz w:val="32"/>
          <w:szCs w:val="32"/>
          <w:shd w:val="clear" w:color="auto" w:fill="auto"/>
        </w:rPr>
        <w:t>日</w:t>
      </w:r>
      <w:r>
        <w:rPr>
          <w:rFonts w:hint="eastAsia" w:ascii="仿宋_GB2312" w:hAnsi="仿宋_GB2312" w:eastAsia="仿宋_GB2312" w:cs="仿宋_GB2312"/>
          <w:color w:val="auto"/>
          <w:sz w:val="32"/>
          <w:szCs w:val="32"/>
          <w:shd w:val="clear" w:color="auto" w:fill="auto"/>
          <w:lang w:val="en-US" w:eastAsia="zh-CN"/>
        </w:rPr>
        <w:t xml:space="preserve"> </w:t>
      </w:r>
      <w:r>
        <w:rPr>
          <w:rFonts w:hint="eastAsia" w:ascii="仿宋_GB2312" w:hAnsi="Times New Roman" w:eastAsia="仿宋_GB2312" w:cs="仿宋"/>
          <w:color w:val="auto"/>
          <w:sz w:val="32"/>
          <w:szCs w:val="32"/>
          <w:shd w:val="clear" w:color="auto" w:fill="auto"/>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503050405090304"/>
    <w:charset w:val="CC"/>
    <w:family w:val="roman"/>
    <w:pitch w:val="default"/>
    <w:sig w:usb0="00000000" w:usb1="00000000" w:usb2="00000001" w:usb3="00000000" w:csb0="400001BF" w:csb1="DFF7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Mangal">
    <w:altName w:val="FreeSerif"/>
    <w:panose1 w:val="02040503050203030202"/>
    <w:charset w:val="00"/>
    <w:family w:val="roman"/>
    <w:pitch w:val="default"/>
    <w:sig w:usb0="00000000" w:usb1="00000000" w:usb2="00000000" w:usb3="00000000" w:csb0="00000001" w:csb1="00000000"/>
  </w:font>
  <w:font w:name="FreeSerif">
    <w:panose1 w:val="02020603050405020304"/>
    <w:charset w:val="00"/>
    <w:family w:val="auto"/>
    <w:pitch w:val="default"/>
    <w:sig w:usb0="E59FAFFF" w:usb1="C200FDFF" w:usb2="43501B29" w:usb3="04000043" w:csb0="6001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251E12"/>
    <w:rsid w:val="4FEF087F"/>
    <w:rsid w:val="51251E12"/>
    <w:rsid w:val="7BFDA53E"/>
    <w:rsid w:val="AF774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2025-11-11T02:04:00Z</dcterms:created>
  <dc:creator>倪丹玫</dc:creator>
  <cp:lastModifiedBy>王钠圩</cp:lastModifiedBy>
  <cp:lastPrinted>2025-11-11T23:42:00Z</cp:lastPrinted>
  <dcterms:modified xsi:type="dcterms:W3CDTF">2025-11-17T11:49:04Z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0ED112811BA64FCFAE616985E9633919</vt:lpwstr>
  </property>
</Properties>
</file>