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keepNext w:val="0"/>
        <w:keepLines w:val="0"/>
        <w:pageBreakBefore w:val="0"/>
        <w:widowControl w:val="0"/>
        <w:shd w:val="clear" w:fill="FFFFFF" w:themeFill="background1"/>
        <w:kinsoku/>
        <w:wordWrap/>
        <w:overflowPunct/>
        <w:topLinePunct w:val="0"/>
        <w:autoSpaceDE/>
        <w:autoSpaceDN/>
        <w:bidi w:val="0"/>
        <w:adjustRightInd/>
        <w:snapToGrid/>
        <w:spacing w:after="0" w:line="240" w:lineRule="auto"/>
        <w:ind w:left="0" w:leftChars="0" w:right="0" w:firstLine="0" w:firstLineChars="0"/>
        <w:textAlignment w:val="auto"/>
        <w:rPr>
          <w:rFonts w:hint="eastAsia" w:ascii="仿宋" w:hAnsi="仿宋" w:eastAsia="仿宋" w:cs="仿宋"/>
          <w:color w:val="auto"/>
          <w:highlight w:val="none"/>
        </w:rPr>
      </w:pPr>
    </w:p>
    <w:p>
      <w:pPr>
        <w:pStyle w:val="18"/>
        <w:keepNext w:val="0"/>
        <w:keepLines w:val="0"/>
        <w:pageBreakBefore w:val="0"/>
        <w:widowControl w:val="0"/>
        <w:shd w:val="clear" w:fill="FFFFFF" w:themeFill="background1"/>
        <w:kinsoku/>
        <w:wordWrap/>
        <w:overflowPunct/>
        <w:topLinePunct w:val="0"/>
        <w:autoSpaceDE/>
        <w:autoSpaceDN/>
        <w:bidi w:val="0"/>
        <w:adjustRightInd/>
        <w:snapToGrid/>
        <w:spacing w:after="0" w:line="240" w:lineRule="auto"/>
        <w:ind w:left="0" w:leftChars="0" w:right="0" w:firstLine="424" w:firstLineChars="200"/>
        <w:textAlignment w:val="auto"/>
        <w:rPr>
          <w:rFonts w:hint="eastAsia" w:ascii="仿宋" w:hAnsi="仿宋" w:eastAsia="仿宋" w:cs="仿宋"/>
          <w:color w:val="auto"/>
          <w:highlight w:val="none"/>
        </w:rPr>
      </w:pPr>
    </w:p>
    <w:p>
      <w:pPr>
        <w:pStyle w:val="18"/>
        <w:keepNext w:val="0"/>
        <w:keepLines w:val="0"/>
        <w:pageBreakBefore w:val="0"/>
        <w:widowControl w:val="0"/>
        <w:shd w:val="clear" w:fill="FFFFFF" w:themeFill="background1"/>
        <w:kinsoku/>
        <w:wordWrap/>
        <w:overflowPunct/>
        <w:topLinePunct w:val="0"/>
        <w:autoSpaceDE/>
        <w:autoSpaceDN/>
        <w:bidi w:val="0"/>
        <w:adjustRightInd/>
        <w:snapToGrid/>
        <w:spacing w:after="0" w:line="240" w:lineRule="auto"/>
        <w:ind w:left="0" w:leftChars="0" w:right="0" w:firstLine="1044" w:firstLineChars="200"/>
        <w:textAlignment w:val="auto"/>
        <w:rPr>
          <w:rFonts w:hint="eastAsia" w:ascii="仿宋" w:hAnsi="仿宋" w:eastAsia="仿宋" w:cs="仿宋"/>
          <w:color w:val="auto"/>
          <w:sz w:val="52"/>
          <w:szCs w:val="52"/>
          <w:highlight w:val="none"/>
        </w:rPr>
      </w:pPr>
    </w:p>
    <w:p>
      <w:pPr>
        <w:keepNext w:val="0"/>
        <w:keepLines w:val="0"/>
        <w:pageBreakBefore w:val="0"/>
        <w:widowControl w:val="0"/>
        <w:shd w:val="clear" w:fill="FFFFFF" w:themeFill="background1"/>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方正小标宋简体" w:hAnsi="方正小标宋简体" w:eastAsia="方正小标宋简体" w:cs="方正小标宋简体"/>
          <w:b/>
          <w:kern w:val="2"/>
          <w:sz w:val="72"/>
          <w:szCs w:val="72"/>
          <w:lang w:val="en-US" w:eastAsia="zh-CN" w:bidi="ar-SA"/>
        </w:rPr>
      </w:pPr>
      <w:r>
        <w:rPr>
          <w:rFonts w:hint="eastAsia" w:ascii="方正小标宋简体" w:hAnsi="方正小标宋简体" w:eastAsia="方正小标宋简体" w:cs="方正小标宋简体"/>
          <w:b/>
          <w:kern w:val="2"/>
          <w:sz w:val="56"/>
          <w:szCs w:val="56"/>
          <w:lang w:val="en-US" w:eastAsia="zh-CN" w:bidi="ar-SA"/>
        </w:rPr>
        <w:t>2020-2023年丰泽区公共文化服务体系建设专项资金</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sz w:val="52"/>
          <w:szCs w:val="52"/>
          <w:highlight w:val="none"/>
        </w:rPr>
      </w:pPr>
    </w:p>
    <w:p>
      <w:pPr>
        <w:pStyle w:val="18"/>
        <w:keepNext w:val="0"/>
        <w:pageBreakBefore w:val="0"/>
        <w:kinsoku/>
        <w:topLinePunct w:val="0"/>
        <w:bidi w:val="0"/>
        <w:spacing w:after="0" w:line="240" w:lineRule="auto"/>
        <w:ind w:left="0" w:leftChars="0" w:firstLine="0" w:firstLineChars="0"/>
        <w:jc w:val="center"/>
        <w:rPr>
          <w:rFonts w:hint="eastAsia" w:ascii="华文行楷" w:hAnsi="楷体" w:eastAsia="华文行楷" w:cs="Arial"/>
          <w:b/>
          <w:sz w:val="84"/>
          <w:szCs w:val="84"/>
        </w:rPr>
      </w:pPr>
      <w:r>
        <w:rPr>
          <w:rFonts w:hint="eastAsia" w:ascii="华文行楷" w:hAnsi="楷体" w:eastAsia="华文行楷" w:cs="Arial"/>
          <w:b/>
          <w:sz w:val="84"/>
          <w:szCs w:val="84"/>
          <w:lang w:val="en-US" w:eastAsia="zh-CN"/>
        </w:rPr>
        <w:t>政策</w:t>
      </w:r>
      <w:r>
        <w:rPr>
          <w:rFonts w:hint="eastAsia" w:ascii="华文行楷" w:hAnsi="楷体" w:eastAsia="华文行楷" w:cs="Arial"/>
          <w:b/>
          <w:sz w:val="84"/>
          <w:szCs w:val="84"/>
        </w:rPr>
        <w:t>绩效评价报告</w:t>
      </w:r>
    </w:p>
    <w:p>
      <w:pPr>
        <w:pStyle w:val="18"/>
        <w:keepNext w:val="0"/>
        <w:pageBreakBefore w:val="0"/>
        <w:kinsoku/>
        <w:topLinePunct w:val="0"/>
        <w:bidi w:val="0"/>
        <w:spacing w:after="0" w:line="240" w:lineRule="auto"/>
        <w:ind w:left="0" w:leftChars="0" w:firstLine="0" w:firstLineChars="0"/>
        <w:jc w:val="center"/>
        <w:rPr>
          <w:rFonts w:hint="default"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 xml:space="preserve"> </w:t>
      </w:r>
    </w:p>
    <w:p>
      <w:pPr>
        <w:pStyle w:val="18"/>
        <w:spacing w:line="240" w:lineRule="auto"/>
        <w:ind w:left="0" w:leftChars="0" w:firstLine="0" w:firstLineChars="0"/>
        <w:jc w:val="center"/>
        <w:rPr>
          <w:rFonts w:hint="eastAsia" w:ascii="方正小标宋简体" w:hAnsi="宋体" w:eastAsia="方正小标宋简体" w:cs="Arial"/>
          <w:sz w:val="32"/>
          <w:szCs w:val="32"/>
          <w:lang w:val="en-US" w:eastAsia="zh-CN"/>
        </w:rPr>
      </w:pPr>
      <w:r>
        <w:rPr>
          <w:rFonts w:hint="eastAsia" w:ascii="方正小标宋简体" w:hAnsi="宋体" w:eastAsia="方正小标宋简体" w:cs="Arial"/>
          <w:sz w:val="32"/>
          <w:szCs w:val="32"/>
        </w:rPr>
        <w:t>编号：泉招咨绩【202</w:t>
      </w:r>
      <w:r>
        <w:rPr>
          <w:rFonts w:hint="eastAsia" w:ascii="方正小标宋简体" w:hAnsi="宋体" w:eastAsia="方正小标宋简体" w:cs="Arial"/>
          <w:sz w:val="32"/>
          <w:szCs w:val="32"/>
          <w:lang w:val="en-US" w:eastAsia="zh-CN"/>
        </w:rPr>
        <w:t>3</w:t>
      </w:r>
      <w:r>
        <w:rPr>
          <w:rFonts w:hint="eastAsia" w:ascii="方正小标宋简体" w:hAnsi="宋体" w:eastAsia="方正小标宋简体" w:cs="Arial"/>
          <w:sz w:val="32"/>
          <w:szCs w:val="32"/>
        </w:rPr>
        <w:t>】</w:t>
      </w:r>
      <w:r>
        <w:rPr>
          <w:rFonts w:hint="eastAsia" w:ascii="方正小标宋简体" w:hAnsi="宋体" w:eastAsia="方正小标宋简体" w:cs="Arial"/>
          <w:sz w:val="32"/>
          <w:szCs w:val="32"/>
          <w:lang w:val="en-US" w:eastAsia="zh-CN"/>
        </w:rPr>
        <w:t>17-7</w:t>
      </w:r>
      <w:r>
        <w:rPr>
          <w:rFonts w:hint="eastAsia" w:ascii="方正小标宋简体" w:hAnsi="宋体" w:eastAsia="方正小标宋简体" w:cs="Arial"/>
          <w:sz w:val="32"/>
          <w:szCs w:val="32"/>
        </w:rPr>
        <w:t>号</w:t>
      </w:r>
    </w:p>
    <w:p>
      <w:pPr>
        <w:pStyle w:val="18"/>
        <w:keepNext w:val="0"/>
        <w:pageBreakBefore w:val="0"/>
        <w:kinsoku/>
        <w:topLinePunct w:val="0"/>
        <w:bidi w:val="0"/>
        <w:spacing w:after="0" w:line="240" w:lineRule="auto"/>
        <w:ind w:left="0" w:leftChars="0" w:firstLine="0" w:firstLineChars="0"/>
        <w:jc w:val="center"/>
        <w:rPr>
          <w:rFonts w:hint="eastAsia" w:ascii="仿宋" w:hAnsi="仿宋" w:eastAsia="仿宋" w:cs="仿宋"/>
          <w:color w:val="auto"/>
          <w:sz w:val="20"/>
          <w:szCs w:val="20"/>
          <w:highlight w:val="none"/>
        </w:rPr>
      </w:pPr>
    </w:p>
    <w:p>
      <w:pPr>
        <w:pStyle w:val="18"/>
        <w:keepNext w:val="0"/>
        <w:pageBreakBefore w:val="0"/>
        <w:kinsoku/>
        <w:topLinePunct w:val="0"/>
        <w:bidi w:val="0"/>
        <w:spacing w:after="0" w:line="240" w:lineRule="auto"/>
        <w:ind w:left="0" w:leftChars="0" w:firstLine="0" w:firstLineChars="0"/>
        <w:jc w:val="center"/>
        <w:rPr>
          <w:rFonts w:hint="eastAsia" w:ascii="仿宋" w:hAnsi="仿宋" w:eastAsia="仿宋" w:cs="仿宋"/>
          <w:color w:val="auto"/>
          <w:sz w:val="20"/>
          <w:szCs w:val="20"/>
          <w:highlight w:val="none"/>
        </w:rPr>
      </w:pPr>
    </w:p>
    <w:p>
      <w:pPr>
        <w:pStyle w:val="18"/>
        <w:keepNext w:val="0"/>
        <w:pageBreakBefore w:val="0"/>
        <w:kinsoku/>
        <w:topLinePunct w:val="0"/>
        <w:bidi w:val="0"/>
        <w:spacing w:after="0" w:line="240" w:lineRule="auto"/>
        <w:ind w:left="0" w:leftChars="0" w:firstLine="0" w:firstLineChars="0"/>
        <w:jc w:val="center"/>
        <w:rPr>
          <w:rFonts w:hint="eastAsia" w:ascii="仿宋" w:hAnsi="仿宋" w:eastAsia="仿宋" w:cs="仿宋"/>
          <w:color w:val="auto"/>
          <w:sz w:val="20"/>
          <w:szCs w:val="20"/>
          <w:highlight w:val="none"/>
        </w:rPr>
      </w:pPr>
    </w:p>
    <w:p>
      <w:pPr>
        <w:pStyle w:val="18"/>
        <w:keepNext w:val="0"/>
        <w:pageBreakBefore w:val="0"/>
        <w:kinsoku/>
        <w:topLinePunct w:val="0"/>
        <w:bidi w:val="0"/>
        <w:spacing w:after="0" w:line="240" w:lineRule="auto"/>
        <w:ind w:left="0" w:leftChars="0" w:firstLine="0" w:firstLineChars="0"/>
        <w:jc w:val="center"/>
        <w:rPr>
          <w:rFonts w:hint="eastAsia" w:ascii="仿宋" w:hAnsi="仿宋" w:eastAsia="仿宋" w:cs="仿宋"/>
          <w:color w:val="auto"/>
          <w:sz w:val="20"/>
          <w:szCs w:val="20"/>
          <w:highlight w:val="none"/>
        </w:rPr>
      </w:pP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楷体_GB2312" w:hAnsi="楷体_GB2312" w:eastAsia="楷体_GB2312" w:cs="楷体_GB2312"/>
          <w:b/>
          <w:bCs/>
          <w:color w:val="auto"/>
          <w:sz w:val="32"/>
          <w:szCs w:val="32"/>
          <w:highlight w:val="none"/>
        </w:rPr>
      </w:pP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1288" w:firstLineChars="400"/>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rPr>
        <w:t>委托单位：</w:t>
      </w:r>
      <w:r>
        <w:rPr>
          <w:rFonts w:hint="eastAsia" w:ascii="楷体_GB2312" w:hAnsi="楷体_GB2312" w:eastAsia="楷体_GB2312" w:cs="楷体_GB2312"/>
          <w:b w:val="0"/>
          <w:bCs w:val="0"/>
          <w:color w:val="auto"/>
          <w:sz w:val="32"/>
          <w:szCs w:val="32"/>
          <w:highlight w:val="none"/>
          <w:lang w:val="en-US" w:eastAsia="zh-CN"/>
        </w:rPr>
        <w:t>泉州市丰泽区财政</w:t>
      </w:r>
      <w:r>
        <w:rPr>
          <w:rFonts w:hint="eastAsia" w:ascii="楷体_GB2312" w:hAnsi="楷体_GB2312" w:eastAsia="楷体_GB2312" w:cs="楷体_GB2312"/>
          <w:b w:val="0"/>
          <w:bCs w:val="0"/>
          <w:color w:val="auto"/>
          <w:sz w:val="32"/>
          <w:szCs w:val="32"/>
          <w:highlight w:val="none"/>
          <w:lang w:eastAsia="zh-CN"/>
        </w:rPr>
        <w:t>局</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1288" w:firstLineChars="400"/>
        <w:textAlignment w:val="auto"/>
        <w:rPr>
          <w:rFonts w:hint="default" w:ascii="楷体_GB2312" w:hAnsi="楷体_GB2312" w:eastAsia="楷体_GB2312" w:cs="楷体_GB2312"/>
          <w:b/>
          <w:bCs/>
          <w:color w:val="auto"/>
          <w:sz w:val="32"/>
          <w:szCs w:val="32"/>
          <w:highlight w:val="none"/>
          <w:lang w:val="en-US"/>
        </w:rPr>
      </w:pPr>
      <w:r>
        <w:rPr>
          <w:rFonts w:hint="eastAsia" w:ascii="楷体_GB2312" w:hAnsi="楷体_GB2312" w:eastAsia="楷体_GB2312" w:cs="楷体_GB2312"/>
          <w:b/>
          <w:bCs/>
          <w:color w:val="auto"/>
          <w:sz w:val="32"/>
          <w:szCs w:val="32"/>
          <w:highlight w:val="none"/>
          <w:lang w:val="en-US" w:eastAsia="zh-CN"/>
        </w:rPr>
        <w:t>实施</w:t>
      </w:r>
      <w:r>
        <w:rPr>
          <w:rFonts w:hint="eastAsia" w:ascii="楷体_GB2312" w:hAnsi="楷体_GB2312" w:eastAsia="楷体_GB2312" w:cs="楷体_GB2312"/>
          <w:b/>
          <w:bCs/>
          <w:color w:val="auto"/>
          <w:sz w:val="32"/>
          <w:szCs w:val="32"/>
          <w:highlight w:val="none"/>
        </w:rPr>
        <w:t>单位：</w:t>
      </w:r>
      <w:r>
        <w:rPr>
          <w:rFonts w:hint="eastAsia" w:ascii="楷体_GB2312" w:hAnsi="楷体_GB2312" w:eastAsia="楷体_GB2312" w:cs="楷体_GB2312"/>
          <w:b w:val="0"/>
          <w:bCs w:val="0"/>
          <w:color w:val="auto"/>
          <w:sz w:val="32"/>
          <w:szCs w:val="32"/>
          <w:highlight w:val="none"/>
          <w:lang w:eastAsia="zh-CN"/>
        </w:rPr>
        <w:t>泉州市丰泽区文化体育和旅游局</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1288" w:firstLineChars="4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bCs/>
          <w:color w:val="auto"/>
          <w:sz w:val="32"/>
          <w:szCs w:val="32"/>
          <w:highlight w:val="none"/>
        </w:rPr>
        <w:t>编制单位：</w:t>
      </w:r>
      <w:r>
        <w:rPr>
          <w:rFonts w:hint="eastAsia" w:ascii="楷体_GB2312" w:hAnsi="楷体_GB2312" w:eastAsia="楷体_GB2312" w:cs="楷体_GB2312"/>
          <w:b w:val="0"/>
          <w:bCs w:val="0"/>
          <w:color w:val="auto"/>
          <w:sz w:val="32"/>
          <w:szCs w:val="32"/>
          <w:highlight w:val="none"/>
        </w:rPr>
        <w:t>泉州市招标咨询中心</w:t>
      </w:r>
      <w:r>
        <w:rPr>
          <w:rFonts w:hint="eastAsia" w:ascii="楷体_GB2312" w:hAnsi="楷体_GB2312" w:eastAsia="楷体_GB2312" w:cs="楷体_GB2312"/>
          <w:b w:val="0"/>
          <w:bCs w:val="0"/>
          <w:color w:val="auto"/>
          <w:sz w:val="32"/>
          <w:szCs w:val="32"/>
          <w:highlight w:val="none"/>
          <w:lang w:val="en-US" w:eastAsia="zh-CN"/>
        </w:rPr>
        <w:t>有限公司</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2898" w:firstLineChars="900"/>
        <w:jc w:val="both"/>
        <w:textAlignment w:val="auto"/>
        <w:rPr>
          <w:rFonts w:hint="eastAsia" w:ascii="楷体_GB2312" w:hAnsi="楷体_GB2312" w:eastAsia="楷体_GB2312" w:cs="楷体_GB2312"/>
          <w:b w:val="0"/>
          <w:bCs w:val="0"/>
          <w:color w:val="auto"/>
          <w:sz w:val="32"/>
          <w:szCs w:val="32"/>
          <w:highlight w:val="none"/>
        </w:rPr>
        <w:sectPr>
          <w:headerReference r:id="rId3" w:type="default"/>
          <w:footerReference r:id="rId4" w:type="default"/>
          <w:pgSz w:w="11906" w:h="16838"/>
          <w:pgMar w:top="1440" w:right="1474" w:bottom="1440" w:left="1587" w:header="850" w:footer="992" w:gutter="0"/>
          <w:pgBorders>
            <w:top w:val="none" w:sz="0" w:space="0"/>
            <w:left w:val="none" w:sz="0" w:space="0"/>
            <w:bottom w:val="none" w:sz="0" w:space="0"/>
            <w:right w:val="none" w:sz="0" w:space="0"/>
          </w:pgBorders>
          <w:pgNumType w:fmt="decimal" w:start="1"/>
          <w:cols w:space="0" w:num="1"/>
          <w:docGrid w:type="linesAndChars" w:linePitch="360" w:charSpace="462"/>
        </w:sectPr>
      </w:pPr>
      <w:r>
        <w:rPr>
          <w:rFonts w:hint="eastAsia" w:ascii="楷体_GB2312" w:hAnsi="楷体_GB2312" w:eastAsia="楷体_GB2312" w:cs="楷体_GB2312"/>
          <w:b w:val="0"/>
          <w:bCs w:val="0"/>
          <w:color w:val="auto"/>
          <w:sz w:val="32"/>
          <w:szCs w:val="32"/>
          <w:highlight w:val="none"/>
        </w:rPr>
        <w:t>202</w:t>
      </w:r>
      <w:r>
        <w:rPr>
          <w:rFonts w:hint="eastAsia" w:ascii="楷体_GB2312" w:hAnsi="楷体_GB2312" w:eastAsia="楷体_GB2312" w:cs="楷体_GB2312"/>
          <w:b w:val="0"/>
          <w:bCs w:val="0"/>
          <w:color w:val="auto"/>
          <w:sz w:val="32"/>
          <w:szCs w:val="32"/>
          <w:highlight w:val="none"/>
          <w:lang w:val="en-US" w:eastAsia="zh-CN"/>
        </w:rPr>
        <w:t>3</w:t>
      </w:r>
      <w:r>
        <w:rPr>
          <w:rFonts w:hint="eastAsia" w:ascii="楷体_GB2312" w:hAnsi="楷体_GB2312" w:eastAsia="楷体_GB2312" w:cs="楷体_GB2312"/>
          <w:b w:val="0"/>
          <w:bCs w:val="0"/>
          <w:color w:val="auto"/>
          <w:sz w:val="32"/>
          <w:szCs w:val="32"/>
          <w:highlight w:val="none"/>
        </w:rPr>
        <w:t>年</w:t>
      </w:r>
      <w:r>
        <w:rPr>
          <w:rFonts w:hint="eastAsia" w:ascii="楷体_GB2312" w:hAnsi="楷体_GB2312" w:eastAsia="楷体_GB2312" w:cs="楷体_GB2312"/>
          <w:b w:val="0"/>
          <w:bCs w:val="0"/>
          <w:color w:val="auto"/>
          <w:sz w:val="32"/>
          <w:szCs w:val="32"/>
          <w:highlight w:val="none"/>
          <w:lang w:val="en-US" w:eastAsia="zh-CN"/>
        </w:rPr>
        <w:t>11</w:t>
      </w:r>
      <w:r>
        <w:rPr>
          <w:rFonts w:hint="eastAsia" w:ascii="楷体_GB2312" w:hAnsi="楷体_GB2312" w:eastAsia="楷体_GB2312" w:cs="楷体_GB2312"/>
          <w:b w:val="0"/>
          <w:bCs w:val="0"/>
          <w:color w:val="auto"/>
          <w:sz w:val="32"/>
          <w:szCs w:val="32"/>
          <w:highlight w:val="none"/>
        </w:rPr>
        <w:t>月</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3978" w:firstLineChars="900"/>
        <w:jc w:val="both"/>
        <w:textAlignment w:val="auto"/>
        <w:rPr>
          <w:rFonts w:hint="eastAsia" w:ascii="仿宋" w:hAnsi="仿宋" w:eastAsia="仿宋" w:cs="仿宋"/>
          <w:b/>
          <w:color w:val="auto"/>
          <w:kern w:val="2"/>
          <w:sz w:val="44"/>
          <w:szCs w:val="44"/>
          <w:highlight w:val="none"/>
          <w:lang w:val="en-US" w:eastAsia="zh-CN" w:bidi="ar-SA"/>
        </w:rPr>
        <w:sectPr>
          <w:pgSz w:w="11906" w:h="16838"/>
          <w:pgMar w:top="1440" w:right="1474" w:bottom="1440" w:left="1587" w:header="850" w:footer="992" w:gutter="0"/>
          <w:pgBorders>
            <w:top w:val="none" w:sz="0" w:space="0"/>
            <w:left w:val="none" w:sz="0" w:space="0"/>
            <w:bottom w:val="none" w:sz="0" w:space="0"/>
            <w:right w:val="none" w:sz="0" w:space="0"/>
          </w:pgBorders>
          <w:pgNumType w:fmt="decimal" w:start="1"/>
          <w:cols w:space="0" w:num="1"/>
          <w:docGrid w:type="linesAndChars" w:linePitch="360" w:charSpace="462"/>
        </w:sectPr>
      </w:pPr>
    </w:p>
    <w:p>
      <w:pPr>
        <w:pStyle w:val="18"/>
        <w:spacing w:line="240" w:lineRule="auto"/>
        <w:ind w:left="0" w:leftChars="0" w:firstLine="0" w:firstLineChars="0"/>
        <w:jc w:val="center"/>
        <w:rPr>
          <w:rFonts w:hint="eastAsia" w:ascii="方正小标宋简体" w:hAnsi="方正小标宋简体" w:eastAsia="方正小标宋简体" w:cs="方正小标宋简体"/>
          <w:b/>
          <w:sz w:val="44"/>
          <w:szCs w:val="44"/>
          <w:lang w:val="en-US" w:eastAsia="zh-CN"/>
        </w:rPr>
      </w:pPr>
    </w:p>
    <w:p>
      <w:pPr>
        <w:pStyle w:val="18"/>
        <w:spacing w:line="240" w:lineRule="auto"/>
        <w:ind w:left="0" w:leftChars="0" w:firstLine="0" w:firstLineChars="0"/>
        <w:jc w:val="center"/>
        <w:rPr>
          <w:rFonts w:hint="eastAsia" w:ascii="方正小标宋简体" w:hAnsi="方正小标宋简体" w:eastAsia="方正小标宋简体" w:cs="方正小标宋简体"/>
          <w:b/>
          <w:sz w:val="44"/>
          <w:szCs w:val="44"/>
          <w:lang w:val="en-US" w:eastAsia="zh-CN"/>
        </w:rPr>
      </w:pPr>
    </w:p>
    <w:p>
      <w:pPr>
        <w:pStyle w:val="18"/>
        <w:spacing w:line="240" w:lineRule="auto"/>
        <w:ind w:left="0" w:leftChars="0" w:firstLine="0" w:firstLineChars="0"/>
        <w:jc w:val="center"/>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lang w:val="en-US" w:eastAsia="zh-CN"/>
        </w:rPr>
        <w:t>2020-2023年丰泽区公共文化服务体系建设专项资金</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both"/>
        <w:textAlignment w:val="auto"/>
        <w:rPr>
          <w:rFonts w:hint="eastAsia" w:ascii="仿宋" w:hAnsi="仿宋" w:eastAsia="仿宋" w:cs="仿宋"/>
          <w:color w:val="auto"/>
          <w:highlight w:val="none"/>
        </w:rPr>
      </w:pP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color w:val="auto"/>
          <w:highlight w:val="none"/>
        </w:rPr>
      </w:pPr>
    </w:p>
    <w:p>
      <w:pPr>
        <w:pStyle w:val="18"/>
        <w:keepNext w:val="0"/>
        <w:pageBreakBefore w:val="0"/>
        <w:kinsoku/>
        <w:topLinePunct w:val="0"/>
        <w:bidi w:val="0"/>
        <w:spacing w:after="0" w:line="240" w:lineRule="auto"/>
        <w:ind w:left="0" w:leftChars="0" w:firstLine="0" w:firstLineChars="0"/>
        <w:jc w:val="center"/>
        <w:rPr>
          <w:rFonts w:hint="eastAsia" w:ascii="华文行楷" w:hAnsi="华文行楷" w:eastAsia="华文行楷" w:cs="华文行楷"/>
          <w:color w:val="auto"/>
          <w:highlight w:val="none"/>
        </w:rPr>
      </w:pPr>
      <w:r>
        <w:rPr>
          <w:rFonts w:hint="eastAsia" w:ascii="华文行楷" w:hAnsi="华文行楷" w:eastAsia="华文行楷" w:cs="华文行楷"/>
          <w:b/>
          <w:color w:val="auto"/>
          <w:sz w:val="52"/>
          <w:szCs w:val="52"/>
          <w:highlight w:val="none"/>
          <w:lang w:val="en-US" w:eastAsia="zh-CN"/>
        </w:rPr>
        <w:t>政策</w:t>
      </w:r>
      <w:r>
        <w:rPr>
          <w:rFonts w:hint="eastAsia" w:ascii="华文行楷" w:hAnsi="华文行楷" w:eastAsia="华文行楷" w:cs="华文行楷"/>
          <w:b/>
          <w:color w:val="auto"/>
          <w:sz w:val="52"/>
          <w:szCs w:val="52"/>
          <w:highlight w:val="none"/>
        </w:rPr>
        <w:t>绩效评价报告</w:t>
      </w:r>
    </w:p>
    <w:tbl>
      <w:tblPr>
        <w:tblStyle w:val="20"/>
        <w:tblpPr w:leftFromText="180" w:rightFromText="180" w:vertAnchor="text" w:horzAnchor="page" w:tblpX="2154" w:tblpY="164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0"/>
        <w:gridCol w:w="66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8" w:hRule="atLeast"/>
        </w:trPr>
        <w:tc>
          <w:tcPr>
            <w:tcW w:w="2140" w:type="dxa"/>
            <w:vAlign w:val="top"/>
          </w:tcPr>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r>
              <w:rPr>
                <w:rFonts w:hint="eastAsia" w:ascii="仿宋" w:hAnsi="仿宋" w:eastAsia="仿宋" w:cs="仿宋"/>
                <w:color w:val="auto"/>
                <w:w w:val="100"/>
                <w:sz w:val="28"/>
                <w:szCs w:val="28"/>
                <w:highlight w:val="none"/>
                <w:lang w:val="en-US" w:eastAsia="zh-CN"/>
              </w:rPr>
              <w:t>编制单位：</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r>
              <w:rPr>
                <w:rFonts w:hint="eastAsia" w:ascii="仿宋" w:hAnsi="仿宋" w:eastAsia="仿宋" w:cs="仿宋"/>
                <w:color w:val="auto"/>
                <w:w w:val="100"/>
                <w:sz w:val="28"/>
                <w:szCs w:val="28"/>
                <w:highlight w:val="none"/>
                <w:lang w:val="en-US" w:eastAsia="zh-CN"/>
              </w:rPr>
              <w:t>法定代表人：</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r>
              <w:rPr>
                <w:rFonts w:hint="eastAsia" w:ascii="仿宋" w:hAnsi="仿宋" w:eastAsia="仿宋" w:cs="仿宋"/>
                <w:color w:val="auto"/>
                <w:w w:val="100"/>
                <w:sz w:val="28"/>
                <w:szCs w:val="28"/>
                <w:highlight w:val="none"/>
                <w:lang w:val="en-US" w:eastAsia="zh-CN"/>
              </w:rPr>
              <w:t>主评人：</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r>
              <w:rPr>
                <w:rFonts w:hint="eastAsia" w:ascii="仿宋" w:hAnsi="仿宋" w:eastAsia="仿宋" w:cs="仿宋"/>
                <w:color w:val="auto"/>
                <w:w w:val="100"/>
                <w:sz w:val="28"/>
                <w:szCs w:val="28"/>
                <w:highlight w:val="none"/>
                <w:lang w:val="en-US" w:eastAsia="zh-CN"/>
              </w:rPr>
              <w:t>主要编制人员：</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r>
              <w:rPr>
                <w:rFonts w:hint="eastAsia" w:ascii="仿宋" w:hAnsi="仿宋" w:eastAsia="仿宋" w:cs="仿宋"/>
                <w:color w:val="auto"/>
                <w:w w:val="100"/>
                <w:sz w:val="28"/>
                <w:szCs w:val="28"/>
                <w:highlight w:val="none"/>
                <w:lang w:val="en-US" w:eastAsia="zh-CN"/>
              </w:rPr>
              <w:t>复核人：</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distribute"/>
              <w:textAlignment w:val="auto"/>
              <w:rPr>
                <w:rFonts w:hint="eastAsia" w:ascii="仿宋" w:hAnsi="仿宋" w:eastAsia="仿宋" w:cs="仿宋"/>
                <w:color w:val="auto"/>
                <w:w w:val="100"/>
                <w:sz w:val="28"/>
                <w:szCs w:val="28"/>
                <w:highlight w:val="none"/>
                <w:lang w:val="en-US" w:eastAsia="zh-CN"/>
              </w:rPr>
            </w:pPr>
          </w:p>
        </w:tc>
        <w:tc>
          <w:tcPr>
            <w:tcW w:w="6653" w:type="dxa"/>
            <w:vAlign w:val="top"/>
          </w:tcPr>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泉州市招标咨询中心</w:t>
            </w:r>
            <w:r>
              <w:rPr>
                <w:rFonts w:hint="eastAsia" w:ascii="仿宋" w:hAnsi="仿宋" w:eastAsia="仿宋" w:cs="仿宋"/>
                <w:color w:val="auto"/>
                <w:sz w:val="28"/>
                <w:szCs w:val="28"/>
                <w:highlight w:val="none"/>
                <w:lang w:val="en-US" w:eastAsia="zh-CN"/>
              </w:rPr>
              <w:t>有限公司</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林超群（经济师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管理专家）</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王梅玲（中级会计师）</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范富琳（项目经理）</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陈燕敏</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注册会计师）</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吴文静（项目组成员）</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李美美（高级会计师）</w:t>
            </w: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sz w:val="28"/>
                <w:szCs w:val="28"/>
                <w:highlight w:val="none"/>
                <w:lang w:val="en-US" w:eastAsia="zh-CN"/>
              </w:rPr>
            </w:pPr>
          </w:p>
          <w:p>
            <w:pPr>
              <w:pStyle w:val="18"/>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left"/>
              <w:textAlignment w:val="auto"/>
              <w:rPr>
                <w:rFonts w:hint="eastAsia" w:ascii="仿宋" w:hAnsi="仿宋" w:eastAsia="仿宋" w:cs="仿宋"/>
                <w:color w:val="auto"/>
                <w:kern w:val="2"/>
                <w:sz w:val="28"/>
                <w:szCs w:val="28"/>
                <w:highlight w:val="none"/>
                <w:lang w:val="en-US" w:eastAsia="zh-CN"/>
              </w:rPr>
            </w:pPr>
          </w:p>
        </w:tc>
      </w:tr>
    </w:tbl>
    <w:p>
      <w:pPr>
        <w:rPr>
          <w:rFonts w:hint="eastAsia"/>
        </w:rPr>
        <w:sectPr>
          <w:pgSz w:w="11906" w:h="16838"/>
          <w:pgMar w:top="1440" w:right="1474" w:bottom="1440" w:left="1587" w:header="850" w:footer="992" w:gutter="0"/>
          <w:pgBorders>
            <w:top w:val="none" w:sz="0" w:space="0"/>
            <w:left w:val="none" w:sz="0" w:space="0"/>
            <w:bottom w:val="none" w:sz="0" w:space="0"/>
            <w:right w:val="none" w:sz="0" w:space="0"/>
          </w:pgBorders>
          <w:pgNumType w:fmt="decimal" w:start="1"/>
          <w:cols w:space="0" w:num="1"/>
          <w:docGrid w:type="linesAndChars" w:linePitch="360" w:charSpace="462"/>
        </w:sectPr>
      </w:pPr>
    </w:p>
    <w:p>
      <w:pPr>
        <w:pStyle w:val="18"/>
        <w:rPr>
          <w:rFonts w:hint="eastAsia"/>
        </w:rPr>
        <w:sectPr>
          <w:pgSz w:w="11906" w:h="16838"/>
          <w:pgMar w:top="1440" w:right="1474" w:bottom="1440" w:left="1587" w:header="850" w:footer="992" w:gutter="0"/>
          <w:pgBorders>
            <w:top w:val="none" w:sz="0" w:space="0"/>
            <w:left w:val="none" w:sz="0" w:space="0"/>
            <w:bottom w:val="none" w:sz="0" w:space="0"/>
            <w:right w:val="none" w:sz="0" w:space="0"/>
          </w:pgBorders>
          <w:pgNumType w:fmt="decimal" w:start="1"/>
          <w:cols w:space="0" w:num="1"/>
          <w:docGrid w:type="linesAndChars" w:linePitch="360" w:charSpace="462"/>
        </w:sectPr>
      </w:pPr>
    </w:p>
    <w:sdt>
      <w:sdtPr>
        <w:rPr>
          <w:rFonts w:ascii="宋体" w:hAnsi="宋体" w:eastAsia="宋体" w:cstheme="minorBidi"/>
          <w:kern w:val="2"/>
          <w:sz w:val="21"/>
          <w:szCs w:val="24"/>
          <w:lang w:val="en-US" w:eastAsia="zh-CN" w:bidi="ar-SA"/>
        </w:rPr>
        <w:id w:val="147456807"/>
        <w15:color w:val="DBDBDB"/>
        <w:docPartObj>
          <w:docPartGallery w:val="Table of Contents"/>
          <w:docPartUnique/>
        </w:docPartObj>
      </w:sdtPr>
      <w:sdtEndPr>
        <w:rPr>
          <w:rFonts w:ascii="宋体" w:hAnsi="宋体" w:eastAsia="宋体" w:cstheme="minorBidi"/>
          <w:color w:val="auto"/>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b/>
              <w:bCs/>
              <w:color w:val="auto"/>
              <w:sz w:val="28"/>
              <w:szCs w:val="36"/>
            </w:rPr>
          </w:pPr>
          <w:r>
            <w:rPr>
              <w:rFonts w:hint="eastAsia" w:ascii="仿宋" w:hAnsi="仿宋" w:eastAsia="仿宋" w:cs="仿宋"/>
              <w:b/>
              <w:bCs/>
              <w:color w:val="auto"/>
              <w:sz w:val="28"/>
              <w:szCs w:val="36"/>
            </w:rPr>
            <w:t>目</w:t>
          </w:r>
          <w:r>
            <w:rPr>
              <w:rFonts w:hint="eastAsia" w:ascii="仿宋" w:hAnsi="仿宋" w:eastAsia="仿宋" w:cs="仿宋"/>
              <w:b/>
              <w:bCs/>
              <w:color w:val="auto"/>
              <w:sz w:val="28"/>
              <w:szCs w:val="36"/>
              <w:lang w:val="en-US" w:eastAsia="zh-CN"/>
            </w:rPr>
            <w:t xml:space="preserve">  </w:t>
          </w:r>
          <w:r>
            <w:rPr>
              <w:rFonts w:hint="eastAsia" w:ascii="仿宋" w:hAnsi="仿宋" w:eastAsia="仿宋" w:cs="仿宋"/>
              <w:b/>
              <w:bCs/>
              <w:color w:val="auto"/>
              <w:sz w:val="28"/>
              <w:szCs w:val="36"/>
            </w:rPr>
            <w:t>录</w:t>
          </w:r>
        </w:p>
        <w:p>
          <w:pPr>
            <w:pStyle w:val="15"/>
            <w:tabs>
              <w:tab w:val="right" w:leader="dot" w:pos="9134"/>
            </w:tabs>
          </w:pPr>
          <w:r>
            <w:rPr>
              <w:color w:val="auto"/>
            </w:rPr>
            <w:fldChar w:fldCharType="begin"/>
          </w:r>
          <w:r>
            <w:rPr>
              <w:color w:val="auto"/>
            </w:rPr>
            <w:instrText xml:space="preserve">TOC \o "1-3" \h \u </w:instrText>
          </w:r>
          <w:r>
            <w:rPr>
              <w:color w:val="auto"/>
            </w:rPr>
            <w:fldChar w:fldCharType="separate"/>
          </w:r>
          <w:r>
            <w:rPr>
              <w:color w:val="auto"/>
            </w:rPr>
            <w:fldChar w:fldCharType="begin"/>
          </w:r>
          <w:r>
            <w:instrText xml:space="preserve"> HYPERLINK \l _Toc19576 </w:instrText>
          </w:r>
          <w:r>
            <w:fldChar w:fldCharType="separate"/>
          </w:r>
          <w:r>
            <w:rPr>
              <w:rFonts w:hint="eastAsia" w:ascii="黑体" w:hAnsi="黑体" w:eastAsia="黑体" w:cs="黑体"/>
              <w:bCs/>
              <w:szCs w:val="32"/>
            </w:rPr>
            <w:t>一、</w:t>
          </w:r>
          <w:r>
            <w:rPr>
              <w:rFonts w:hint="eastAsia" w:ascii="黑体" w:hAnsi="黑体" w:eastAsia="黑体" w:cs="黑体"/>
              <w:bCs/>
              <w:szCs w:val="32"/>
              <w:lang w:val="en-US" w:eastAsia="zh-CN"/>
            </w:rPr>
            <w:t>政策概况</w:t>
          </w:r>
          <w:r>
            <w:tab/>
          </w:r>
          <w:r>
            <w:fldChar w:fldCharType="begin"/>
          </w:r>
          <w:r>
            <w:instrText xml:space="preserve"> PAGEREF _Toc19576 \h </w:instrText>
          </w:r>
          <w:r>
            <w:fldChar w:fldCharType="separate"/>
          </w:r>
          <w:r>
            <w:t>2</w:t>
          </w:r>
          <w:r>
            <w:fldChar w:fldCharType="end"/>
          </w:r>
          <w:r>
            <w:rPr>
              <w:color w:val="auto"/>
            </w:rPr>
            <w:fldChar w:fldCharType="end"/>
          </w:r>
        </w:p>
        <w:p>
          <w:pPr>
            <w:pStyle w:val="16"/>
            <w:tabs>
              <w:tab w:val="right" w:leader="dot" w:pos="9134"/>
            </w:tabs>
          </w:pPr>
          <w:r>
            <w:rPr>
              <w:color w:val="auto"/>
            </w:rPr>
            <w:fldChar w:fldCharType="begin"/>
          </w:r>
          <w:r>
            <w:instrText xml:space="preserve"> HYPERLINK \l _Toc11613 </w:instrText>
          </w:r>
          <w:r>
            <w:fldChar w:fldCharType="separate"/>
          </w:r>
          <w:r>
            <w:rPr>
              <w:rFonts w:hint="eastAsia" w:ascii="楷体" w:hAnsi="楷体" w:eastAsia="楷体" w:cs="楷体"/>
              <w:bCs/>
              <w:szCs w:val="32"/>
            </w:rPr>
            <w:t>（一）</w:t>
          </w:r>
          <w:r>
            <w:rPr>
              <w:rFonts w:hint="eastAsia" w:ascii="楷体" w:hAnsi="楷体" w:eastAsia="楷体" w:cs="楷体"/>
              <w:bCs/>
              <w:szCs w:val="32"/>
              <w:lang w:val="en-US" w:eastAsia="zh-CN"/>
            </w:rPr>
            <w:t>政策制定的背景</w:t>
          </w:r>
          <w:r>
            <w:tab/>
          </w:r>
          <w:r>
            <w:fldChar w:fldCharType="begin"/>
          </w:r>
          <w:r>
            <w:instrText xml:space="preserve"> PAGEREF _Toc11613 \h </w:instrText>
          </w:r>
          <w:r>
            <w:fldChar w:fldCharType="separate"/>
          </w:r>
          <w:r>
            <w:t>2</w:t>
          </w:r>
          <w:r>
            <w:fldChar w:fldCharType="end"/>
          </w:r>
          <w:r>
            <w:rPr>
              <w:color w:val="auto"/>
            </w:rPr>
            <w:fldChar w:fldCharType="end"/>
          </w:r>
        </w:p>
        <w:p>
          <w:pPr>
            <w:pStyle w:val="16"/>
            <w:tabs>
              <w:tab w:val="right" w:leader="dot" w:pos="9134"/>
            </w:tabs>
          </w:pPr>
          <w:r>
            <w:rPr>
              <w:color w:val="auto"/>
            </w:rPr>
            <w:fldChar w:fldCharType="begin"/>
          </w:r>
          <w:r>
            <w:instrText xml:space="preserve"> HYPERLINK \l _Toc28257 </w:instrText>
          </w:r>
          <w:r>
            <w:fldChar w:fldCharType="separate"/>
          </w:r>
          <w:r>
            <w:rPr>
              <w:rFonts w:hint="eastAsia" w:ascii="楷体" w:hAnsi="楷体" w:eastAsia="楷体" w:cs="楷体"/>
              <w:bCs/>
              <w:szCs w:val="32"/>
            </w:rPr>
            <w:t>（</w:t>
          </w:r>
          <w:r>
            <w:rPr>
              <w:rFonts w:hint="eastAsia" w:ascii="楷体" w:hAnsi="楷体" w:eastAsia="楷体" w:cs="楷体"/>
              <w:bCs/>
              <w:szCs w:val="32"/>
              <w:lang w:val="en-US" w:eastAsia="zh-CN"/>
            </w:rPr>
            <w:t>二</w:t>
          </w:r>
          <w:r>
            <w:rPr>
              <w:rFonts w:hint="eastAsia" w:ascii="楷体" w:hAnsi="楷体" w:eastAsia="楷体" w:cs="楷体"/>
              <w:bCs/>
              <w:szCs w:val="32"/>
            </w:rPr>
            <w:t>）</w:t>
          </w:r>
          <w:r>
            <w:rPr>
              <w:rFonts w:hint="eastAsia" w:ascii="楷体" w:hAnsi="楷体" w:eastAsia="楷体" w:cs="楷体"/>
              <w:bCs/>
              <w:szCs w:val="32"/>
              <w:lang w:val="en-US" w:eastAsia="zh-CN"/>
            </w:rPr>
            <w:t>政策的意义和作用</w:t>
          </w:r>
          <w:r>
            <w:tab/>
          </w:r>
          <w:r>
            <w:fldChar w:fldCharType="begin"/>
          </w:r>
          <w:r>
            <w:instrText xml:space="preserve"> PAGEREF _Toc28257 \h </w:instrText>
          </w:r>
          <w:r>
            <w:fldChar w:fldCharType="separate"/>
          </w:r>
          <w:r>
            <w:t>3</w:t>
          </w:r>
          <w:r>
            <w:fldChar w:fldCharType="end"/>
          </w:r>
          <w:r>
            <w:rPr>
              <w:color w:val="auto"/>
            </w:rPr>
            <w:fldChar w:fldCharType="end"/>
          </w:r>
        </w:p>
        <w:p>
          <w:pPr>
            <w:pStyle w:val="16"/>
            <w:tabs>
              <w:tab w:val="right" w:leader="dot" w:pos="9134"/>
            </w:tabs>
          </w:pPr>
          <w:r>
            <w:rPr>
              <w:color w:val="auto"/>
            </w:rPr>
            <w:fldChar w:fldCharType="begin"/>
          </w:r>
          <w:r>
            <w:instrText xml:space="preserve"> HYPERLINK \l _Toc11121 </w:instrText>
          </w:r>
          <w:r>
            <w:fldChar w:fldCharType="separate"/>
          </w:r>
          <w:r>
            <w:rPr>
              <w:rFonts w:hint="eastAsia" w:ascii="楷体" w:hAnsi="楷体" w:eastAsia="楷体" w:cs="楷体"/>
              <w:bCs/>
              <w:szCs w:val="32"/>
              <w:lang w:val="en-US" w:eastAsia="zh-CN"/>
            </w:rPr>
            <w:t>（三）政策内容</w:t>
          </w:r>
          <w:r>
            <w:tab/>
          </w:r>
          <w:r>
            <w:fldChar w:fldCharType="begin"/>
          </w:r>
          <w:r>
            <w:instrText xml:space="preserve"> PAGEREF _Toc11121 \h </w:instrText>
          </w:r>
          <w:r>
            <w:fldChar w:fldCharType="separate"/>
          </w:r>
          <w:r>
            <w:t>3</w:t>
          </w:r>
          <w:r>
            <w:fldChar w:fldCharType="end"/>
          </w:r>
          <w:r>
            <w:rPr>
              <w:color w:val="auto"/>
            </w:rPr>
            <w:fldChar w:fldCharType="end"/>
          </w:r>
        </w:p>
        <w:p>
          <w:pPr>
            <w:pStyle w:val="11"/>
            <w:tabs>
              <w:tab w:val="right" w:leader="dot" w:pos="9134"/>
            </w:tabs>
          </w:pPr>
          <w:r>
            <w:rPr>
              <w:color w:val="auto"/>
            </w:rPr>
            <w:fldChar w:fldCharType="begin"/>
          </w:r>
          <w:r>
            <w:instrText xml:space="preserve"> HYPERLINK \l _Toc12890 </w:instrText>
          </w:r>
          <w:r>
            <w:fldChar w:fldCharType="separate"/>
          </w:r>
          <w:r>
            <w:rPr>
              <w:rFonts w:hint="eastAsia" w:ascii="仿宋_GB2312" w:hAnsi="仿宋_GB2312" w:eastAsia="仿宋_GB2312" w:cs="仿宋_GB2312"/>
              <w:bCs w:val="0"/>
              <w:szCs w:val="32"/>
              <w:highlight w:val="none"/>
              <w:lang w:val="en-US" w:eastAsia="zh-CN"/>
            </w:rPr>
            <w:t>1.政策扶持范围和内容</w:t>
          </w:r>
          <w:r>
            <w:tab/>
          </w:r>
          <w:r>
            <w:fldChar w:fldCharType="begin"/>
          </w:r>
          <w:r>
            <w:instrText xml:space="preserve"> PAGEREF _Toc12890 \h </w:instrText>
          </w:r>
          <w:r>
            <w:fldChar w:fldCharType="separate"/>
          </w:r>
          <w:r>
            <w:t>3</w:t>
          </w:r>
          <w:r>
            <w:fldChar w:fldCharType="end"/>
          </w:r>
          <w:r>
            <w:rPr>
              <w:color w:val="auto"/>
            </w:rPr>
            <w:fldChar w:fldCharType="end"/>
          </w:r>
        </w:p>
        <w:p>
          <w:pPr>
            <w:pStyle w:val="11"/>
            <w:tabs>
              <w:tab w:val="right" w:leader="dot" w:pos="9134"/>
            </w:tabs>
          </w:pPr>
          <w:r>
            <w:rPr>
              <w:color w:val="auto"/>
            </w:rPr>
            <w:fldChar w:fldCharType="begin"/>
          </w:r>
          <w:r>
            <w:instrText xml:space="preserve"> HYPERLINK \l _Toc26626 </w:instrText>
          </w:r>
          <w:r>
            <w:fldChar w:fldCharType="separate"/>
          </w:r>
          <w:r>
            <w:rPr>
              <w:rFonts w:hint="eastAsia" w:ascii="仿宋_GB2312" w:hAnsi="仿宋_GB2312" w:eastAsia="仿宋_GB2312" w:cs="仿宋_GB2312"/>
              <w:bCs w:val="0"/>
              <w:szCs w:val="32"/>
              <w:highlight w:val="none"/>
              <w:lang w:val="en-US" w:eastAsia="zh-CN"/>
            </w:rPr>
            <w:t>2.预算编制、批复和执行</w:t>
          </w:r>
          <w:r>
            <w:tab/>
          </w:r>
          <w:r>
            <w:fldChar w:fldCharType="begin"/>
          </w:r>
          <w:r>
            <w:instrText xml:space="preserve"> PAGEREF _Toc26626 \h </w:instrText>
          </w:r>
          <w:r>
            <w:fldChar w:fldCharType="separate"/>
          </w:r>
          <w:r>
            <w:t>5</w:t>
          </w:r>
          <w:r>
            <w:fldChar w:fldCharType="end"/>
          </w:r>
          <w:r>
            <w:rPr>
              <w:color w:val="auto"/>
            </w:rPr>
            <w:fldChar w:fldCharType="end"/>
          </w:r>
        </w:p>
        <w:p>
          <w:pPr>
            <w:pStyle w:val="16"/>
            <w:tabs>
              <w:tab w:val="right" w:leader="dot" w:pos="9134"/>
            </w:tabs>
          </w:pPr>
          <w:r>
            <w:rPr>
              <w:color w:val="auto"/>
            </w:rPr>
            <w:fldChar w:fldCharType="begin"/>
          </w:r>
          <w:r>
            <w:instrText xml:space="preserve"> HYPERLINK \l _Toc6608 </w:instrText>
          </w:r>
          <w:r>
            <w:fldChar w:fldCharType="separate"/>
          </w:r>
          <w:r>
            <w:rPr>
              <w:rFonts w:hint="eastAsia" w:ascii="楷体" w:hAnsi="楷体" w:eastAsia="楷体" w:cs="楷体"/>
              <w:bCs/>
              <w:szCs w:val="32"/>
              <w:lang w:val="en-US" w:eastAsia="zh-CN"/>
            </w:rPr>
            <w:t>（四）政策绩效</w:t>
          </w:r>
          <w:r>
            <w:tab/>
          </w:r>
          <w:r>
            <w:fldChar w:fldCharType="begin"/>
          </w:r>
          <w:r>
            <w:instrText xml:space="preserve"> PAGEREF _Toc6608 \h </w:instrText>
          </w:r>
          <w:r>
            <w:fldChar w:fldCharType="separate"/>
          </w:r>
          <w:r>
            <w:t>5</w:t>
          </w:r>
          <w:r>
            <w:fldChar w:fldCharType="end"/>
          </w:r>
          <w:r>
            <w:rPr>
              <w:color w:val="auto"/>
            </w:rPr>
            <w:fldChar w:fldCharType="end"/>
          </w:r>
        </w:p>
        <w:p>
          <w:pPr>
            <w:pStyle w:val="15"/>
            <w:tabs>
              <w:tab w:val="right" w:leader="dot" w:pos="9134"/>
            </w:tabs>
          </w:pPr>
          <w:r>
            <w:rPr>
              <w:color w:val="auto"/>
            </w:rPr>
            <w:fldChar w:fldCharType="begin"/>
          </w:r>
          <w:r>
            <w:instrText xml:space="preserve"> HYPERLINK \l _Toc13894 </w:instrText>
          </w:r>
          <w:r>
            <w:fldChar w:fldCharType="separate"/>
          </w:r>
          <w:r>
            <w:rPr>
              <w:rFonts w:hint="eastAsia" w:ascii="黑体" w:hAnsi="黑体" w:eastAsia="黑体" w:cs="黑体"/>
              <w:bCs/>
              <w:szCs w:val="32"/>
              <w:lang w:val="en-US" w:eastAsia="zh-CN"/>
            </w:rPr>
            <w:t>二</w:t>
          </w:r>
          <w:r>
            <w:rPr>
              <w:rFonts w:hint="eastAsia" w:ascii="黑体" w:hAnsi="黑体" w:eastAsia="黑体" w:cs="黑体"/>
              <w:bCs/>
              <w:szCs w:val="32"/>
            </w:rPr>
            <w:t>、</w:t>
          </w:r>
          <w:r>
            <w:rPr>
              <w:rFonts w:hint="eastAsia" w:ascii="黑体" w:hAnsi="黑体" w:eastAsia="黑体" w:cs="黑体"/>
              <w:bCs/>
              <w:szCs w:val="32"/>
              <w:lang w:val="en-US" w:eastAsia="zh-CN"/>
            </w:rPr>
            <w:t>政策实施情况</w:t>
          </w:r>
          <w:r>
            <w:tab/>
          </w:r>
          <w:r>
            <w:fldChar w:fldCharType="begin"/>
          </w:r>
          <w:r>
            <w:instrText xml:space="preserve"> PAGEREF _Toc13894 \h </w:instrText>
          </w:r>
          <w:r>
            <w:fldChar w:fldCharType="separate"/>
          </w:r>
          <w:r>
            <w:t>6</w:t>
          </w:r>
          <w:r>
            <w:fldChar w:fldCharType="end"/>
          </w:r>
          <w:r>
            <w:rPr>
              <w:color w:val="auto"/>
            </w:rPr>
            <w:fldChar w:fldCharType="end"/>
          </w:r>
        </w:p>
        <w:p>
          <w:pPr>
            <w:pStyle w:val="16"/>
            <w:tabs>
              <w:tab w:val="right" w:leader="dot" w:pos="9134"/>
            </w:tabs>
          </w:pPr>
          <w:r>
            <w:rPr>
              <w:color w:val="auto"/>
            </w:rPr>
            <w:fldChar w:fldCharType="begin"/>
          </w:r>
          <w:r>
            <w:instrText xml:space="preserve"> HYPERLINK \l _Toc3247 </w:instrText>
          </w:r>
          <w:r>
            <w:fldChar w:fldCharType="separate"/>
          </w:r>
          <w:r>
            <w:rPr>
              <w:rFonts w:hint="eastAsia" w:ascii="楷体" w:hAnsi="楷体" w:eastAsia="楷体" w:cs="楷体"/>
              <w:bCs/>
              <w:szCs w:val="32"/>
              <w:lang w:val="en-US" w:eastAsia="zh-CN"/>
            </w:rPr>
            <w:t>（一）资金来源及使用情况</w:t>
          </w:r>
          <w:r>
            <w:tab/>
          </w:r>
          <w:r>
            <w:fldChar w:fldCharType="begin"/>
          </w:r>
          <w:r>
            <w:instrText xml:space="preserve"> PAGEREF _Toc3247 \h </w:instrText>
          </w:r>
          <w:r>
            <w:fldChar w:fldCharType="separate"/>
          </w:r>
          <w:r>
            <w:t>6</w:t>
          </w:r>
          <w:r>
            <w:fldChar w:fldCharType="end"/>
          </w:r>
          <w:r>
            <w:rPr>
              <w:color w:val="auto"/>
            </w:rPr>
            <w:fldChar w:fldCharType="end"/>
          </w:r>
        </w:p>
        <w:p>
          <w:pPr>
            <w:pStyle w:val="16"/>
            <w:tabs>
              <w:tab w:val="right" w:leader="dot" w:pos="9134"/>
            </w:tabs>
          </w:pPr>
          <w:r>
            <w:rPr>
              <w:color w:val="auto"/>
            </w:rPr>
            <w:fldChar w:fldCharType="begin"/>
          </w:r>
          <w:r>
            <w:instrText xml:space="preserve"> HYPERLINK \l _Toc452 </w:instrText>
          </w:r>
          <w:r>
            <w:fldChar w:fldCharType="separate"/>
          </w:r>
          <w:r>
            <w:rPr>
              <w:rFonts w:hint="eastAsia" w:ascii="楷体" w:hAnsi="楷体" w:eastAsia="楷体" w:cs="楷体"/>
              <w:bCs/>
              <w:szCs w:val="32"/>
              <w:lang w:val="en-US" w:eastAsia="zh-CN"/>
            </w:rPr>
            <w:t>（二）实施组织及管理情况</w:t>
          </w:r>
          <w:r>
            <w:tab/>
          </w:r>
          <w:r>
            <w:fldChar w:fldCharType="begin"/>
          </w:r>
          <w:r>
            <w:instrText xml:space="preserve"> PAGEREF _Toc452 \h </w:instrText>
          </w:r>
          <w:r>
            <w:fldChar w:fldCharType="separate"/>
          </w:r>
          <w:r>
            <w:t>7</w:t>
          </w:r>
          <w:r>
            <w:fldChar w:fldCharType="end"/>
          </w:r>
          <w:r>
            <w:rPr>
              <w:color w:val="auto"/>
            </w:rPr>
            <w:fldChar w:fldCharType="end"/>
          </w:r>
        </w:p>
        <w:p>
          <w:pPr>
            <w:pStyle w:val="11"/>
            <w:tabs>
              <w:tab w:val="right" w:leader="dot" w:pos="9134"/>
            </w:tabs>
          </w:pPr>
          <w:r>
            <w:rPr>
              <w:color w:val="auto"/>
            </w:rPr>
            <w:fldChar w:fldCharType="begin"/>
          </w:r>
          <w:r>
            <w:instrText xml:space="preserve"> HYPERLINK \l _Toc1673 </w:instrText>
          </w:r>
          <w:r>
            <w:fldChar w:fldCharType="separate"/>
          </w:r>
          <w:r>
            <w:rPr>
              <w:rFonts w:hint="eastAsia" w:ascii="仿宋_GB2312" w:hAnsi="仿宋_GB2312" w:eastAsia="仿宋_GB2312" w:cs="仿宋_GB2312"/>
              <w:bCs w:val="0"/>
              <w:szCs w:val="32"/>
              <w:highlight w:val="none"/>
              <w:lang w:val="en-US" w:eastAsia="zh-CN"/>
            </w:rPr>
            <w:t>1.丰泽区财政局</w:t>
          </w:r>
          <w:r>
            <w:tab/>
          </w:r>
          <w:r>
            <w:fldChar w:fldCharType="begin"/>
          </w:r>
          <w:r>
            <w:instrText xml:space="preserve"> PAGEREF _Toc1673 \h </w:instrText>
          </w:r>
          <w:r>
            <w:fldChar w:fldCharType="separate"/>
          </w:r>
          <w:r>
            <w:t>7</w:t>
          </w:r>
          <w:r>
            <w:fldChar w:fldCharType="end"/>
          </w:r>
          <w:r>
            <w:rPr>
              <w:color w:val="auto"/>
            </w:rPr>
            <w:fldChar w:fldCharType="end"/>
          </w:r>
        </w:p>
        <w:p>
          <w:pPr>
            <w:pStyle w:val="11"/>
            <w:tabs>
              <w:tab w:val="right" w:leader="dot" w:pos="9134"/>
            </w:tabs>
          </w:pPr>
          <w:r>
            <w:rPr>
              <w:color w:val="auto"/>
            </w:rPr>
            <w:fldChar w:fldCharType="begin"/>
          </w:r>
          <w:r>
            <w:instrText xml:space="preserve"> HYPERLINK \l _Toc9565 </w:instrText>
          </w:r>
          <w:r>
            <w:fldChar w:fldCharType="separate"/>
          </w:r>
          <w:r>
            <w:rPr>
              <w:rFonts w:hint="eastAsia" w:ascii="仿宋_GB2312" w:hAnsi="仿宋_GB2312" w:eastAsia="仿宋_GB2312" w:cs="仿宋_GB2312"/>
              <w:bCs w:val="0"/>
              <w:szCs w:val="32"/>
              <w:highlight w:val="none"/>
              <w:lang w:val="en-US" w:eastAsia="zh-CN"/>
            </w:rPr>
            <w:t>2.丰泽区文化体育和旅游局</w:t>
          </w:r>
          <w:r>
            <w:tab/>
          </w:r>
          <w:r>
            <w:fldChar w:fldCharType="begin"/>
          </w:r>
          <w:r>
            <w:instrText xml:space="preserve"> PAGEREF _Toc9565 \h </w:instrText>
          </w:r>
          <w:r>
            <w:fldChar w:fldCharType="separate"/>
          </w:r>
          <w:r>
            <w:t>7</w:t>
          </w:r>
          <w:r>
            <w:fldChar w:fldCharType="end"/>
          </w:r>
          <w:r>
            <w:rPr>
              <w:color w:val="auto"/>
            </w:rPr>
            <w:fldChar w:fldCharType="end"/>
          </w:r>
        </w:p>
        <w:p>
          <w:pPr>
            <w:pStyle w:val="11"/>
            <w:tabs>
              <w:tab w:val="right" w:leader="dot" w:pos="9134"/>
            </w:tabs>
          </w:pPr>
          <w:r>
            <w:rPr>
              <w:color w:val="auto"/>
            </w:rPr>
            <w:fldChar w:fldCharType="begin"/>
          </w:r>
          <w:r>
            <w:instrText xml:space="preserve"> HYPERLINK \l _Toc30186 </w:instrText>
          </w:r>
          <w:r>
            <w:fldChar w:fldCharType="separate"/>
          </w:r>
          <w:r>
            <w:rPr>
              <w:rFonts w:hint="eastAsia" w:ascii="仿宋_GB2312" w:hAnsi="仿宋_GB2312" w:eastAsia="仿宋_GB2312" w:cs="仿宋_GB2312"/>
              <w:bCs w:val="0"/>
              <w:szCs w:val="32"/>
              <w:highlight w:val="none"/>
              <w:lang w:val="en-US" w:eastAsia="zh-CN"/>
            </w:rPr>
            <w:t>3.总体目标</w:t>
          </w:r>
          <w:r>
            <w:tab/>
          </w:r>
          <w:r>
            <w:fldChar w:fldCharType="begin"/>
          </w:r>
          <w:r>
            <w:instrText xml:space="preserve"> PAGEREF _Toc30186 \h </w:instrText>
          </w:r>
          <w:r>
            <w:fldChar w:fldCharType="separate"/>
          </w:r>
          <w:r>
            <w:t>7</w:t>
          </w:r>
          <w:r>
            <w:fldChar w:fldCharType="end"/>
          </w:r>
          <w:r>
            <w:rPr>
              <w:color w:val="auto"/>
            </w:rPr>
            <w:fldChar w:fldCharType="end"/>
          </w:r>
        </w:p>
        <w:p>
          <w:pPr>
            <w:pStyle w:val="15"/>
            <w:tabs>
              <w:tab w:val="right" w:leader="dot" w:pos="9134"/>
            </w:tabs>
          </w:pPr>
          <w:r>
            <w:rPr>
              <w:color w:val="auto"/>
            </w:rPr>
            <w:fldChar w:fldCharType="begin"/>
          </w:r>
          <w:r>
            <w:instrText xml:space="preserve"> HYPERLINK \l _Toc8152 </w:instrText>
          </w:r>
          <w:r>
            <w:fldChar w:fldCharType="separate"/>
          </w:r>
          <w:r>
            <w:rPr>
              <w:rFonts w:hint="eastAsia" w:ascii="黑体" w:hAnsi="黑体" w:eastAsia="黑体" w:cs="黑体"/>
              <w:bCs/>
              <w:szCs w:val="32"/>
              <w:lang w:val="en-US" w:eastAsia="zh-CN"/>
            </w:rPr>
            <w:t>三</w:t>
          </w:r>
          <w:r>
            <w:rPr>
              <w:rFonts w:hint="eastAsia" w:ascii="黑体" w:hAnsi="黑体" w:eastAsia="黑体" w:cs="黑体"/>
              <w:bCs/>
              <w:szCs w:val="32"/>
            </w:rPr>
            <w:t>、绩效评价工作开展情况</w:t>
          </w:r>
          <w:r>
            <w:tab/>
          </w:r>
          <w:r>
            <w:fldChar w:fldCharType="begin"/>
          </w:r>
          <w:r>
            <w:instrText xml:space="preserve"> PAGEREF _Toc8152 \h </w:instrText>
          </w:r>
          <w:r>
            <w:fldChar w:fldCharType="separate"/>
          </w:r>
          <w:r>
            <w:t>8</w:t>
          </w:r>
          <w:r>
            <w:fldChar w:fldCharType="end"/>
          </w:r>
          <w:r>
            <w:rPr>
              <w:color w:val="auto"/>
            </w:rPr>
            <w:fldChar w:fldCharType="end"/>
          </w:r>
        </w:p>
        <w:p>
          <w:pPr>
            <w:pStyle w:val="16"/>
            <w:tabs>
              <w:tab w:val="right" w:leader="dot" w:pos="9134"/>
            </w:tabs>
          </w:pPr>
          <w:r>
            <w:rPr>
              <w:color w:val="auto"/>
            </w:rPr>
            <w:fldChar w:fldCharType="begin"/>
          </w:r>
          <w:r>
            <w:instrText xml:space="preserve"> HYPERLINK \l _Toc10046 </w:instrText>
          </w:r>
          <w:r>
            <w:fldChar w:fldCharType="separate"/>
          </w:r>
          <w:r>
            <w:rPr>
              <w:rFonts w:hint="eastAsia" w:ascii="楷体" w:hAnsi="楷体" w:eastAsia="楷体" w:cs="楷体"/>
              <w:bCs/>
              <w:szCs w:val="32"/>
              <w:lang w:val="en-US" w:eastAsia="zh-CN"/>
            </w:rPr>
            <w:t>（一）绩效评价目的</w:t>
          </w:r>
          <w:r>
            <w:tab/>
          </w:r>
          <w:r>
            <w:fldChar w:fldCharType="begin"/>
          </w:r>
          <w:r>
            <w:instrText xml:space="preserve"> PAGEREF _Toc10046 \h </w:instrText>
          </w:r>
          <w:r>
            <w:fldChar w:fldCharType="separate"/>
          </w:r>
          <w:r>
            <w:t>8</w:t>
          </w:r>
          <w:r>
            <w:fldChar w:fldCharType="end"/>
          </w:r>
          <w:r>
            <w:rPr>
              <w:color w:val="auto"/>
            </w:rPr>
            <w:fldChar w:fldCharType="end"/>
          </w:r>
        </w:p>
        <w:p>
          <w:pPr>
            <w:pStyle w:val="16"/>
            <w:tabs>
              <w:tab w:val="right" w:leader="dot" w:pos="9134"/>
            </w:tabs>
          </w:pPr>
          <w:r>
            <w:rPr>
              <w:color w:val="auto"/>
            </w:rPr>
            <w:fldChar w:fldCharType="begin"/>
          </w:r>
          <w:r>
            <w:instrText xml:space="preserve"> HYPERLINK \l _Toc14763 </w:instrText>
          </w:r>
          <w:r>
            <w:fldChar w:fldCharType="separate"/>
          </w:r>
          <w:r>
            <w:rPr>
              <w:rFonts w:hint="eastAsia" w:ascii="楷体" w:hAnsi="楷体" w:eastAsia="楷体" w:cs="楷体"/>
              <w:bCs/>
              <w:szCs w:val="32"/>
              <w:lang w:val="en-US" w:eastAsia="zh-CN"/>
            </w:rPr>
            <w:t>（二）对象和范围</w:t>
          </w:r>
          <w:r>
            <w:tab/>
          </w:r>
          <w:r>
            <w:fldChar w:fldCharType="begin"/>
          </w:r>
          <w:r>
            <w:instrText xml:space="preserve"> PAGEREF _Toc14763 \h </w:instrText>
          </w:r>
          <w:r>
            <w:fldChar w:fldCharType="separate"/>
          </w:r>
          <w:r>
            <w:t>8</w:t>
          </w:r>
          <w:r>
            <w:fldChar w:fldCharType="end"/>
          </w:r>
          <w:r>
            <w:rPr>
              <w:color w:val="auto"/>
            </w:rPr>
            <w:fldChar w:fldCharType="end"/>
          </w:r>
        </w:p>
        <w:p>
          <w:pPr>
            <w:pStyle w:val="16"/>
            <w:tabs>
              <w:tab w:val="right" w:leader="dot" w:pos="9134"/>
            </w:tabs>
          </w:pPr>
          <w:r>
            <w:rPr>
              <w:color w:val="auto"/>
            </w:rPr>
            <w:fldChar w:fldCharType="begin"/>
          </w:r>
          <w:r>
            <w:instrText xml:space="preserve"> HYPERLINK \l _Toc8183 </w:instrText>
          </w:r>
          <w:r>
            <w:fldChar w:fldCharType="separate"/>
          </w:r>
          <w:r>
            <w:rPr>
              <w:rFonts w:hint="eastAsia" w:ascii="楷体" w:hAnsi="楷体" w:eastAsia="楷体" w:cs="楷体"/>
              <w:bCs/>
              <w:szCs w:val="32"/>
              <w:lang w:val="en-US" w:eastAsia="zh-CN"/>
            </w:rPr>
            <w:t>（三）评价依据</w:t>
          </w:r>
          <w:r>
            <w:tab/>
          </w:r>
          <w:r>
            <w:fldChar w:fldCharType="begin"/>
          </w:r>
          <w:r>
            <w:instrText xml:space="preserve"> PAGEREF _Toc8183 \h </w:instrText>
          </w:r>
          <w:r>
            <w:fldChar w:fldCharType="separate"/>
          </w:r>
          <w:r>
            <w:t>8</w:t>
          </w:r>
          <w:r>
            <w:fldChar w:fldCharType="end"/>
          </w:r>
          <w:r>
            <w:rPr>
              <w:color w:val="auto"/>
            </w:rPr>
            <w:fldChar w:fldCharType="end"/>
          </w:r>
        </w:p>
        <w:p>
          <w:pPr>
            <w:pStyle w:val="16"/>
            <w:tabs>
              <w:tab w:val="right" w:leader="dot" w:pos="9134"/>
            </w:tabs>
          </w:pPr>
          <w:r>
            <w:rPr>
              <w:color w:val="auto"/>
            </w:rPr>
            <w:fldChar w:fldCharType="begin"/>
          </w:r>
          <w:r>
            <w:instrText xml:space="preserve"> HYPERLINK \l _Toc3596 </w:instrText>
          </w:r>
          <w:r>
            <w:fldChar w:fldCharType="separate"/>
          </w:r>
          <w:r>
            <w:rPr>
              <w:rFonts w:hint="eastAsia" w:ascii="楷体" w:hAnsi="楷体" w:eastAsia="楷体" w:cs="楷体"/>
              <w:bCs/>
              <w:szCs w:val="32"/>
              <w:lang w:val="en-US" w:eastAsia="zh-CN"/>
            </w:rPr>
            <w:t>（四）政策评价思路</w:t>
          </w:r>
          <w:r>
            <w:tab/>
          </w:r>
          <w:r>
            <w:fldChar w:fldCharType="begin"/>
          </w:r>
          <w:r>
            <w:instrText xml:space="preserve"> PAGEREF _Toc3596 \h </w:instrText>
          </w:r>
          <w:r>
            <w:fldChar w:fldCharType="separate"/>
          </w:r>
          <w:r>
            <w:t>9</w:t>
          </w:r>
          <w:r>
            <w:fldChar w:fldCharType="end"/>
          </w:r>
          <w:r>
            <w:rPr>
              <w:color w:val="auto"/>
            </w:rPr>
            <w:fldChar w:fldCharType="end"/>
          </w:r>
        </w:p>
        <w:p>
          <w:pPr>
            <w:pStyle w:val="11"/>
            <w:tabs>
              <w:tab w:val="right" w:leader="dot" w:pos="9134"/>
            </w:tabs>
          </w:pPr>
          <w:r>
            <w:rPr>
              <w:color w:val="auto"/>
            </w:rPr>
            <w:fldChar w:fldCharType="begin"/>
          </w:r>
          <w:r>
            <w:instrText xml:space="preserve"> HYPERLINK \l _Toc13268 </w:instrText>
          </w:r>
          <w:r>
            <w:fldChar w:fldCharType="separate"/>
          </w:r>
          <w:r>
            <w:rPr>
              <w:rFonts w:hint="eastAsia" w:ascii="仿宋_GB2312" w:hAnsi="仿宋_GB2312" w:eastAsia="仿宋_GB2312" w:cs="仿宋_GB2312"/>
              <w:bCs w:val="0"/>
              <w:szCs w:val="32"/>
              <w:highlight w:val="none"/>
              <w:lang w:val="en-US" w:eastAsia="zh-CN"/>
            </w:rPr>
            <w:t>1.政策制定</w:t>
          </w:r>
          <w:r>
            <w:tab/>
          </w:r>
          <w:r>
            <w:fldChar w:fldCharType="begin"/>
          </w:r>
          <w:r>
            <w:instrText xml:space="preserve"> PAGEREF _Toc13268 \h </w:instrText>
          </w:r>
          <w:r>
            <w:fldChar w:fldCharType="separate"/>
          </w:r>
          <w:r>
            <w:t>10</w:t>
          </w:r>
          <w:r>
            <w:fldChar w:fldCharType="end"/>
          </w:r>
          <w:r>
            <w:rPr>
              <w:color w:val="auto"/>
            </w:rPr>
            <w:fldChar w:fldCharType="end"/>
          </w:r>
        </w:p>
        <w:p>
          <w:pPr>
            <w:pStyle w:val="11"/>
            <w:tabs>
              <w:tab w:val="right" w:leader="dot" w:pos="9134"/>
            </w:tabs>
          </w:pPr>
          <w:r>
            <w:rPr>
              <w:color w:val="auto"/>
            </w:rPr>
            <w:fldChar w:fldCharType="begin"/>
          </w:r>
          <w:r>
            <w:instrText xml:space="preserve"> HYPERLINK \l _Toc14740 </w:instrText>
          </w:r>
          <w:r>
            <w:fldChar w:fldCharType="separate"/>
          </w:r>
          <w:r>
            <w:rPr>
              <w:rFonts w:hint="eastAsia" w:ascii="仿宋_GB2312" w:hAnsi="仿宋_GB2312" w:eastAsia="仿宋_GB2312" w:cs="仿宋_GB2312"/>
              <w:bCs w:val="0"/>
              <w:szCs w:val="32"/>
              <w:highlight w:val="none"/>
              <w:lang w:val="en-US" w:eastAsia="zh-CN"/>
            </w:rPr>
            <w:t>2.政策实施</w:t>
          </w:r>
          <w:r>
            <w:tab/>
          </w:r>
          <w:r>
            <w:fldChar w:fldCharType="begin"/>
          </w:r>
          <w:r>
            <w:instrText xml:space="preserve"> PAGEREF _Toc14740 \h </w:instrText>
          </w:r>
          <w:r>
            <w:fldChar w:fldCharType="separate"/>
          </w:r>
          <w:r>
            <w:t>10</w:t>
          </w:r>
          <w:r>
            <w:fldChar w:fldCharType="end"/>
          </w:r>
          <w:r>
            <w:rPr>
              <w:color w:val="auto"/>
            </w:rPr>
            <w:fldChar w:fldCharType="end"/>
          </w:r>
        </w:p>
        <w:p>
          <w:pPr>
            <w:pStyle w:val="11"/>
            <w:tabs>
              <w:tab w:val="right" w:leader="dot" w:pos="9134"/>
            </w:tabs>
          </w:pPr>
          <w:r>
            <w:rPr>
              <w:color w:val="auto"/>
            </w:rPr>
            <w:fldChar w:fldCharType="begin"/>
          </w:r>
          <w:r>
            <w:instrText xml:space="preserve"> HYPERLINK \l _Toc11643 </w:instrText>
          </w:r>
          <w:r>
            <w:fldChar w:fldCharType="separate"/>
          </w:r>
          <w:r>
            <w:rPr>
              <w:rFonts w:hint="eastAsia" w:ascii="仿宋_GB2312" w:hAnsi="仿宋_GB2312" w:eastAsia="仿宋_GB2312" w:cs="仿宋_GB2312"/>
              <w:bCs w:val="0"/>
              <w:szCs w:val="32"/>
              <w:highlight w:val="none"/>
              <w:lang w:val="en-US" w:eastAsia="zh-CN"/>
            </w:rPr>
            <w:t>3.政策效益</w:t>
          </w:r>
          <w:r>
            <w:tab/>
          </w:r>
          <w:r>
            <w:fldChar w:fldCharType="begin"/>
          </w:r>
          <w:r>
            <w:instrText xml:space="preserve"> PAGEREF _Toc11643 \h </w:instrText>
          </w:r>
          <w:r>
            <w:fldChar w:fldCharType="separate"/>
          </w:r>
          <w:r>
            <w:t>11</w:t>
          </w:r>
          <w:r>
            <w:fldChar w:fldCharType="end"/>
          </w:r>
          <w:r>
            <w:rPr>
              <w:color w:val="auto"/>
            </w:rPr>
            <w:fldChar w:fldCharType="end"/>
          </w:r>
        </w:p>
        <w:p>
          <w:pPr>
            <w:pStyle w:val="16"/>
            <w:tabs>
              <w:tab w:val="right" w:leader="dot" w:pos="9134"/>
            </w:tabs>
          </w:pPr>
          <w:r>
            <w:rPr>
              <w:color w:val="auto"/>
            </w:rPr>
            <w:fldChar w:fldCharType="begin"/>
          </w:r>
          <w:r>
            <w:instrText xml:space="preserve"> HYPERLINK \l _Toc17149 </w:instrText>
          </w:r>
          <w:r>
            <w:fldChar w:fldCharType="separate"/>
          </w:r>
          <w:r>
            <w:rPr>
              <w:rFonts w:hint="eastAsia" w:ascii="楷体" w:hAnsi="楷体" w:eastAsia="楷体" w:cs="楷体"/>
              <w:bCs/>
              <w:szCs w:val="32"/>
              <w:lang w:val="en-US" w:eastAsia="zh-CN"/>
            </w:rPr>
            <w:t>（五）指标体系</w:t>
          </w:r>
          <w:r>
            <w:tab/>
          </w:r>
          <w:r>
            <w:fldChar w:fldCharType="begin"/>
          </w:r>
          <w:r>
            <w:instrText xml:space="preserve"> PAGEREF _Toc17149 \h </w:instrText>
          </w:r>
          <w:r>
            <w:fldChar w:fldCharType="separate"/>
          </w:r>
          <w:r>
            <w:t>11</w:t>
          </w:r>
          <w:r>
            <w:fldChar w:fldCharType="end"/>
          </w:r>
          <w:r>
            <w:rPr>
              <w:color w:val="auto"/>
            </w:rPr>
            <w:fldChar w:fldCharType="end"/>
          </w:r>
        </w:p>
        <w:p>
          <w:pPr>
            <w:pStyle w:val="15"/>
            <w:tabs>
              <w:tab w:val="right" w:leader="dot" w:pos="9134"/>
            </w:tabs>
          </w:pPr>
          <w:r>
            <w:rPr>
              <w:color w:val="auto"/>
            </w:rPr>
            <w:fldChar w:fldCharType="begin"/>
          </w:r>
          <w:r>
            <w:instrText xml:space="preserve"> HYPERLINK \l _Toc27844 </w:instrText>
          </w:r>
          <w:r>
            <w:fldChar w:fldCharType="separate"/>
          </w:r>
          <w:r>
            <w:rPr>
              <w:rFonts w:hint="eastAsia" w:ascii="黑体" w:hAnsi="黑体" w:eastAsia="黑体" w:cs="黑体"/>
              <w:bCs/>
              <w:szCs w:val="32"/>
              <w:lang w:val="en-US" w:eastAsia="zh-CN"/>
            </w:rPr>
            <w:t>四、综合评价情况及评价结论</w:t>
          </w:r>
          <w:r>
            <w:tab/>
          </w:r>
          <w:r>
            <w:fldChar w:fldCharType="begin"/>
          </w:r>
          <w:r>
            <w:instrText xml:space="preserve"> PAGEREF _Toc27844 \h </w:instrText>
          </w:r>
          <w:r>
            <w:fldChar w:fldCharType="separate"/>
          </w:r>
          <w:r>
            <w:t>12</w:t>
          </w:r>
          <w:r>
            <w:fldChar w:fldCharType="end"/>
          </w:r>
          <w:r>
            <w:rPr>
              <w:color w:val="auto"/>
            </w:rPr>
            <w:fldChar w:fldCharType="end"/>
          </w:r>
        </w:p>
        <w:p>
          <w:pPr>
            <w:pStyle w:val="16"/>
            <w:tabs>
              <w:tab w:val="right" w:leader="dot" w:pos="9134"/>
            </w:tabs>
          </w:pPr>
          <w:r>
            <w:rPr>
              <w:color w:val="auto"/>
            </w:rPr>
            <w:fldChar w:fldCharType="begin"/>
          </w:r>
          <w:r>
            <w:instrText xml:space="preserve"> HYPERLINK \l _Toc14012 </w:instrText>
          </w:r>
          <w:r>
            <w:fldChar w:fldCharType="separate"/>
          </w:r>
          <w:r>
            <w:rPr>
              <w:rFonts w:hint="eastAsia" w:ascii="楷体" w:hAnsi="楷体" w:eastAsia="楷体" w:cs="楷体"/>
              <w:bCs/>
              <w:szCs w:val="32"/>
              <w:lang w:val="en-US" w:eastAsia="zh-CN"/>
            </w:rPr>
            <w:t>（一）综合评价情况及评价结论</w:t>
          </w:r>
          <w:r>
            <w:tab/>
          </w:r>
          <w:r>
            <w:fldChar w:fldCharType="begin"/>
          </w:r>
          <w:r>
            <w:instrText xml:space="preserve"> PAGEREF _Toc14012 \h </w:instrText>
          </w:r>
          <w:r>
            <w:fldChar w:fldCharType="separate"/>
          </w:r>
          <w:r>
            <w:t>12</w:t>
          </w:r>
          <w:r>
            <w:fldChar w:fldCharType="end"/>
          </w:r>
          <w:r>
            <w:rPr>
              <w:color w:val="auto"/>
            </w:rPr>
            <w:fldChar w:fldCharType="end"/>
          </w:r>
        </w:p>
        <w:p>
          <w:pPr>
            <w:pStyle w:val="16"/>
            <w:tabs>
              <w:tab w:val="right" w:leader="dot" w:pos="9134"/>
            </w:tabs>
          </w:pPr>
          <w:r>
            <w:rPr>
              <w:color w:val="auto"/>
            </w:rPr>
            <w:fldChar w:fldCharType="begin"/>
          </w:r>
          <w:r>
            <w:instrText xml:space="preserve"> HYPERLINK \l _Toc12382 </w:instrText>
          </w:r>
          <w:r>
            <w:fldChar w:fldCharType="separate"/>
          </w:r>
          <w:r>
            <w:rPr>
              <w:rFonts w:hint="eastAsia" w:ascii="楷体" w:hAnsi="楷体" w:eastAsia="楷体" w:cs="楷体"/>
              <w:bCs/>
              <w:szCs w:val="32"/>
              <w:lang w:val="en-US" w:eastAsia="zh-CN"/>
            </w:rPr>
            <w:t>（二）绩效指标分析</w:t>
          </w:r>
          <w:r>
            <w:tab/>
          </w:r>
          <w:r>
            <w:fldChar w:fldCharType="begin"/>
          </w:r>
          <w:r>
            <w:instrText xml:space="preserve"> PAGEREF _Toc12382 \h </w:instrText>
          </w:r>
          <w:r>
            <w:fldChar w:fldCharType="separate"/>
          </w:r>
          <w:r>
            <w:t>12</w:t>
          </w:r>
          <w:r>
            <w:fldChar w:fldCharType="end"/>
          </w:r>
          <w:r>
            <w:rPr>
              <w:color w:val="auto"/>
            </w:rPr>
            <w:fldChar w:fldCharType="end"/>
          </w:r>
        </w:p>
        <w:p>
          <w:pPr>
            <w:pStyle w:val="11"/>
            <w:tabs>
              <w:tab w:val="right" w:leader="dot" w:pos="9134"/>
            </w:tabs>
          </w:pPr>
          <w:r>
            <w:rPr>
              <w:color w:val="auto"/>
            </w:rPr>
            <w:fldChar w:fldCharType="begin"/>
          </w:r>
          <w:r>
            <w:instrText xml:space="preserve"> HYPERLINK \l _Toc29834 </w:instrText>
          </w:r>
          <w:r>
            <w:fldChar w:fldCharType="separate"/>
          </w:r>
          <w:r>
            <w:rPr>
              <w:rFonts w:hint="eastAsia" w:ascii="仿宋_GB2312" w:hAnsi="仿宋_GB2312" w:eastAsia="仿宋_GB2312" w:cs="仿宋_GB2312"/>
              <w:bCs w:val="0"/>
              <w:szCs w:val="32"/>
              <w:highlight w:val="none"/>
              <w:lang w:val="en-US" w:eastAsia="zh-CN"/>
            </w:rPr>
            <w:t>1.政策制定</w:t>
          </w:r>
          <w:r>
            <w:tab/>
          </w:r>
          <w:r>
            <w:fldChar w:fldCharType="begin"/>
          </w:r>
          <w:r>
            <w:instrText xml:space="preserve"> PAGEREF _Toc29834 \h </w:instrText>
          </w:r>
          <w:r>
            <w:fldChar w:fldCharType="separate"/>
          </w:r>
          <w:r>
            <w:t>13</w:t>
          </w:r>
          <w:r>
            <w:fldChar w:fldCharType="end"/>
          </w:r>
          <w:r>
            <w:rPr>
              <w:color w:val="auto"/>
            </w:rPr>
            <w:fldChar w:fldCharType="end"/>
          </w:r>
        </w:p>
        <w:p>
          <w:pPr>
            <w:pStyle w:val="11"/>
            <w:tabs>
              <w:tab w:val="right" w:leader="dot" w:pos="9134"/>
            </w:tabs>
          </w:pPr>
          <w:r>
            <w:rPr>
              <w:color w:val="auto"/>
            </w:rPr>
            <w:fldChar w:fldCharType="begin"/>
          </w:r>
          <w:r>
            <w:instrText xml:space="preserve"> HYPERLINK \l _Toc11713 </w:instrText>
          </w:r>
          <w:r>
            <w:fldChar w:fldCharType="separate"/>
          </w:r>
          <w:r>
            <w:rPr>
              <w:rFonts w:hint="eastAsia" w:ascii="仿宋_GB2312" w:hAnsi="仿宋_GB2312" w:eastAsia="仿宋_GB2312" w:cs="仿宋_GB2312"/>
              <w:bCs w:val="0"/>
              <w:szCs w:val="32"/>
              <w:highlight w:val="none"/>
              <w:lang w:val="en-US" w:eastAsia="zh-CN"/>
            </w:rPr>
            <w:t>2.政策实施</w:t>
          </w:r>
          <w:r>
            <w:tab/>
          </w:r>
          <w:r>
            <w:fldChar w:fldCharType="begin"/>
          </w:r>
          <w:r>
            <w:instrText xml:space="preserve"> PAGEREF _Toc11713 \h </w:instrText>
          </w:r>
          <w:r>
            <w:fldChar w:fldCharType="separate"/>
          </w:r>
          <w:r>
            <w:t>17</w:t>
          </w:r>
          <w:r>
            <w:fldChar w:fldCharType="end"/>
          </w:r>
          <w:r>
            <w:rPr>
              <w:color w:val="auto"/>
            </w:rPr>
            <w:fldChar w:fldCharType="end"/>
          </w:r>
        </w:p>
        <w:p>
          <w:pPr>
            <w:pStyle w:val="11"/>
            <w:tabs>
              <w:tab w:val="right" w:leader="dot" w:pos="9134"/>
            </w:tabs>
          </w:pPr>
          <w:r>
            <w:rPr>
              <w:color w:val="auto"/>
            </w:rPr>
            <w:fldChar w:fldCharType="begin"/>
          </w:r>
          <w:r>
            <w:instrText xml:space="preserve"> HYPERLINK \l _Toc26138 </w:instrText>
          </w:r>
          <w:r>
            <w:fldChar w:fldCharType="separate"/>
          </w:r>
          <w:r>
            <w:rPr>
              <w:rFonts w:hint="eastAsia" w:ascii="仿宋_GB2312" w:hAnsi="仿宋_GB2312" w:eastAsia="仿宋_GB2312" w:cs="仿宋_GB2312"/>
              <w:bCs w:val="0"/>
              <w:szCs w:val="32"/>
              <w:highlight w:val="none"/>
              <w:lang w:val="en-US" w:eastAsia="zh-CN"/>
            </w:rPr>
            <w:t>3.政策效益</w:t>
          </w:r>
          <w:r>
            <w:tab/>
          </w:r>
          <w:r>
            <w:fldChar w:fldCharType="begin"/>
          </w:r>
          <w:r>
            <w:instrText xml:space="preserve"> PAGEREF _Toc26138 \h </w:instrText>
          </w:r>
          <w:r>
            <w:fldChar w:fldCharType="separate"/>
          </w:r>
          <w:r>
            <w:t>21</w:t>
          </w:r>
          <w:r>
            <w:fldChar w:fldCharType="end"/>
          </w:r>
          <w:r>
            <w:rPr>
              <w:color w:val="auto"/>
            </w:rPr>
            <w:fldChar w:fldCharType="end"/>
          </w:r>
        </w:p>
        <w:p>
          <w:pPr>
            <w:pStyle w:val="15"/>
            <w:tabs>
              <w:tab w:val="right" w:leader="dot" w:pos="9134"/>
            </w:tabs>
          </w:pPr>
          <w:r>
            <w:rPr>
              <w:color w:val="auto"/>
            </w:rPr>
            <w:fldChar w:fldCharType="begin"/>
          </w:r>
          <w:r>
            <w:instrText xml:space="preserve"> HYPERLINK \l _Toc29063 </w:instrText>
          </w:r>
          <w:r>
            <w:fldChar w:fldCharType="separate"/>
          </w:r>
          <w:r>
            <w:rPr>
              <w:rFonts w:hint="eastAsia" w:ascii="黑体" w:hAnsi="黑体" w:eastAsia="黑体" w:cs="黑体"/>
              <w:bCs/>
              <w:szCs w:val="32"/>
              <w:lang w:val="en-US" w:eastAsia="zh-CN"/>
            </w:rPr>
            <w:t>五、存在的问题及原因分析</w:t>
          </w:r>
          <w:r>
            <w:tab/>
          </w:r>
          <w:r>
            <w:fldChar w:fldCharType="begin"/>
          </w:r>
          <w:r>
            <w:instrText xml:space="preserve"> PAGEREF _Toc29063 \h </w:instrText>
          </w:r>
          <w:r>
            <w:fldChar w:fldCharType="separate"/>
          </w:r>
          <w:r>
            <w:t>28</w:t>
          </w:r>
          <w:r>
            <w:fldChar w:fldCharType="end"/>
          </w:r>
          <w:r>
            <w:rPr>
              <w:color w:val="auto"/>
            </w:rPr>
            <w:fldChar w:fldCharType="end"/>
          </w:r>
        </w:p>
        <w:p>
          <w:pPr>
            <w:pStyle w:val="16"/>
            <w:tabs>
              <w:tab w:val="right" w:leader="dot" w:pos="9134"/>
            </w:tabs>
          </w:pPr>
          <w:r>
            <w:rPr>
              <w:color w:val="auto"/>
            </w:rPr>
            <w:fldChar w:fldCharType="begin"/>
          </w:r>
          <w:r>
            <w:instrText xml:space="preserve"> HYPERLINK \l _Toc20616 </w:instrText>
          </w:r>
          <w:r>
            <w:fldChar w:fldCharType="separate"/>
          </w:r>
          <w:r>
            <w:rPr>
              <w:rFonts w:hint="eastAsia" w:ascii="楷体" w:hAnsi="楷体" w:eastAsia="楷体" w:cs="楷体"/>
              <w:bCs/>
              <w:szCs w:val="32"/>
              <w:lang w:val="en-US" w:eastAsia="zh-CN"/>
            </w:rPr>
            <w:t>（一）政策目标设置不够严谨</w:t>
          </w:r>
          <w:r>
            <w:tab/>
          </w:r>
          <w:r>
            <w:fldChar w:fldCharType="begin"/>
          </w:r>
          <w:r>
            <w:instrText xml:space="preserve"> PAGEREF _Toc20616 \h </w:instrText>
          </w:r>
          <w:r>
            <w:fldChar w:fldCharType="separate"/>
          </w:r>
          <w:r>
            <w:t>28</w:t>
          </w:r>
          <w:r>
            <w:fldChar w:fldCharType="end"/>
          </w:r>
          <w:r>
            <w:rPr>
              <w:color w:val="auto"/>
            </w:rPr>
            <w:fldChar w:fldCharType="end"/>
          </w:r>
        </w:p>
        <w:p>
          <w:pPr>
            <w:pStyle w:val="16"/>
            <w:tabs>
              <w:tab w:val="right" w:leader="dot" w:pos="9134"/>
            </w:tabs>
          </w:pPr>
          <w:r>
            <w:rPr>
              <w:color w:val="auto"/>
            </w:rPr>
            <w:fldChar w:fldCharType="begin"/>
          </w:r>
          <w:r>
            <w:instrText xml:space="preserve"> HYPERLINK \l _Toc5019 </w:instrText>
          </w:r>
          <w:r>
            <w:fldChar w:fldCharType="separate"/>
          </w:r>
          <w:r>
            <w:rPr>
              <w:rFonts w:hint="eastAsia" w:ascii="楷体" w:hAnsi="楷体" w:eastAsia="楷体" w:cs="楷体"/>
              <w:bCs/>
              <w:szCs w:val="32"/>
              <w:lang w:val="en-US" w:eastAsia="zh-CN"/>
            </w:rPr>
            <w:t>（二）个别年度预算执行率较差</w:t>
          </w:r>
          <w:r>
            <w:tab/>
          </w:r>
          <w:r>
            <w:fldChar w:fldCharType="begin"/>
          </w:r>
          <w:r>
            <w:instrText xml:space="preserve"> PAGEREF _Toc5019 \h </w:instrText>
          </w:r>
          <w:r>
            <w:fldChar w:fldCharType="separate"/>
          </w:r>
          <w:r>
            <w:t>28</w:t>
          </w:r>
          <w:r>
            <w:fldChar w:fldCharType="end"/>
          </w:r>
          <w:r>
            <w:rPr>
              <w:color w:val="auto"/>
            </w:rPr>
            <w:fldChar w:fldCharType="end"/>
          </w:r>
        </w:p>
        <w:p>
          <w:pPr>
            <w:pStyle w:val="16"/>
            <w:tabs>
              <w:tab w:val="right" w:leader="dot" w:pos="9134"/>
            </w:tabs>
          </w:pPr>
          <w:r>
            <w:rPr>
              <w:color w:val="auto"/>
            </w:rPr>
            <w:fldChar w:fldCharType="begin"/>
          </w:r>
          <w:r>
            <w:instrText xml:space="preserve"> HYPERLINK \l _Toc15950 </w:instrText>
          </w:r>
          <w:r>
            <w:fldChar w:fldCharType="separate"/>
          </w:r>
          <w:r>
            <w:rPr>
              <w:rFonts w:hint="eastAsia" w:ascii="楷体" w:hAnsi="楷体" w:eastAsia="楷体" w:cs="楷体"/>
              <w:bCs/>
              <w:szCs w:val="32"/>
              <w:lang w:val="en-US" w:eastAsia="zh-CN"/>
            </w:rPr>
            <w:t>（三）业务管理制度有待完善</w:t>
          </w:r>
          <w:r>
            <w:tab/>
          </w:r>
          <w:r>
            <w:fldChar w:fldCharType="begin"/>
          </w:r>
          <w:r>
            <w:instrText xml:space="preserve"> PAGEREF _Toc15950 \h </w:instrText>
          </w:r>
          <w:r>
            <w:fldChar w:fldCharType="separate"/>
          </w:r>
          <w:r>
            <w:t>28</w:t>
          </w:r>
          <w:r>
            <w:fldChar w:fldCharType="end"/>
          </w:r>
          <w:r>
            <w:rPr>
              <w:color w:val="auto"/>
            </w:rPr>
            <w:fldChar w:fldCharType="end"/>
          </w:r>
        </w:p>
        <w:p>
          <w:pPr>
            <w:pStyle w:val="16"/>
            <w:tabs>
              <w:tab w:val="right" w:leader="dot" w:pos="9134"/>
            </w:tabs>
          </w:pPr>
          <w:r>
            <w:rPr>
              <w:color w:val="auto"/>
            </w:rPr>
            <w:fldChar w:fldCharType="begin"/>
          </w:r>
          <w:r>
            <w:instrText xml:space="preserve"> HYPERLINK \l _Toc26086 </w:instrText>
          </w:r>
          <w:r>
            <w:fldChar w:fldCharType="separate"/>
          </w:r>
          <w:r>
            <w:rPr>
              <w:rFonts w:hint="eastAsia" w:ascii="楷体" w:hAnsi="楷体" w:eastAsia="楷体" w:cs="楷体"/>
              <w:bCs/>
              <w:szCs w:val="32"/>
              <w:lang w:val="en-US" w:eastAsia="zh-CN"/>
            </w:rPr>
            <w:t>（四）公共文化服务质量仍需提高</w:t>
          </w:r>
          <w:r>
            <w:tab/>
          </w:r>
          <w:r>
            <w:fldChar w:fldCharType="begin"/>
          </w:r>
          <w:r>
            <w:instrText xml:space="preserve"> PAGEREF _Toc26086 \h </w:instrText>
          </w:r>
          <w:r>
            <w:fldChar w:fldCharType="separate"/>
          </w:r>
          <w:r>
            <w:t>29</w:t>
          </w:r>
          <w:r>
            <w:fldChar w:fldCharType="end"/>
          </w:r>
          <w:r>
            <w:rPr>
              <w:color w:val="auto"/>
            </w:rPr>
            <w:fldChar w:fldCharType="end"/>
          </w:r>
        </w:p>
        <w:p>
          <w:pPr>
            <w:pStyle w:val="15"/>
            <w:tabs>
              <w:tab w:val="right" w:leader="dot" w:pos="9134"/>
            </w:tabs>
          </w:pPr>
          <w:r>
            <w:rPr>
              <w:color w:val="auto"/>
            </w:rPr>
            <w:fldChar w:fldCharType="begin"/>
          </w:r>
          <w:r>
            <w:instrText xml:space="preserve"> HYPERLINK \l _Toc11703 </w:instrText>
          </w:r>
          <w:r>
            <w:fldChar w:fldCharType="separate"/>
          </w:r>
          <w:r>
            <w:rPr>
              <w:rFonts w:hint="eastAsia" w:ascii="黑体" w:hAnsi="黑体" w:eastAsia="黑体" w:cs="黑体"/>
              <w:bCs/>
              <w:szCs w:val="32"/>
              <w:lang w:val="en-US" w:eastAsia="zh-CN"/>
            </w:rPr>
            <w:t>六、有关建议</w:t>
          </w:r>
          <w:r>
            <w:tab/>
          </w:r>
          <w:r>
            <w:fldChar w:fldCharType="begin"/>
          </w:r>
          <w:r>
            <w:instrText xml:space="preserve"> PAGEREF _Toc11703 \h </w:instrText>
          </w:r>
          <w:r>
            <w:fldChar w:fldCharType="separate"/>
          </w:r>
          <w:r>
            <w:t>29</w:t>
          </w:r>
          <w:r>
            <w:fldChar w:fldCharType="end"/>
          </w:r>
          <w:r>
            <w:rPr>
              <w:color w:val="auto"/>
            </w:rPr>
            <w:fldChar w:fldCharType="end"/>
          </w:r>
        </w:p>
        <w:p>
          <w:pPr>
            <w:pStyle w:val="16"/>
            <w:tabs>
              <w:tab w:val="right" w:leader="dot" w:pos="9134"/>
            </w:tabs>
          </w:pPr>
          <w:r>
            <w:rPr>
              <w:color w:val="auto"/>
            </w:rPr>
            <w:fldChar w:fldCharType="begin"/>
          </w:r>
          <w:r>
            <w:instrText xml:space="preserve"> HYPERLINK \l _Toc14691 </w:instrText>
          </w:r>
          <w:r>
            <w:fldChar w:fldCharType="separate"/>
          </w:r>
          <w:r>
            <w:rPr>
              <w:rFonts w:hint="eastAsia" w:ascii="楷体" w:hAnsi="楷体" w:eastAsia="楷体" w:cs="楷体"/>
              <w:bCs/>
              <w:szCs w:val="32"/>
              <w:lang w:val="en-US" w:eastAsia="zh-CN"/>
            </w:rPr>
            <w:t>（一）预算绩效目标与单位预算编制同步进行、规范设置绩效目标</w:t>
          </w:r>
          <w:r>
            <w:tab/>
          </w:r>
          <w:r>
            <w:fldChar w:fldCharType="begin"/>
          </w:r>
          <w:r>
            <w:instrText xml:space="preserve"> PAGEREF _Toc14691 \h </w:instrText>
          </w:r>
          <w:r>
            <w:fldChar w:fldCharType="separate"/>
          </w:r>
          <w:r>
            <w:t>29</w:t>
          </w:r>
          <w:r>
            <w:fldChar w:fldCharType="end"/>
          </w:r>
          <w:r>
            <w:rPr>
              <w:color w:val="auto"/>
            </w:rPr>
            <w:fldChar w:fldCharType="end"/>
          </w:r>
        </w:p>
        <w:p>
          <w:pPr>
            <w:pStyle w:val="16"/>
            <w:tabs>
              <w:tab w:val="right" w:leader="dot" w:pos="9134"/>
            </w:tabs>
          </w:pPr>
          <w:r>
            <w:rPr>
              <w:color w:val="auto"/>
            </w:rPr>
            <w:fldChar w:fldCharType="begin"/>
          </w:r>
          <w:r>
            <w:instrText xml:space="preserve"> HYPERLINK \l _Toc20532 </w:instrText>
          </w:r>
          <w:r>
            <w:fldChar w:fldCharType="separate"/>
          </w:r>
          <w:r>
            <w:rPr>
              <w:rFonts w:hint="eastAsia" w:ascii="楷体" w:hAnsi="楷体" w:eastAsia="楷体" w:cs="楷体"/>
              <w:bCs/>
              <w:szCs w:val="32"/>
              <w:lang w:val="en-US" w:eastAsia="zh-CN"/>
            </w:rPr>
            <w:t>（二）资金安排以零为起点，提高预算资金配置效率，提高项目资金执行率</w:t>
          </w:r>
          <w:r>
            <w:tab/>
          </w:r>
          <w:r>
            <w:fldChar w:fldCharType="begin"/>
          </w:r>
          <w:r>
            <w:instrText xml:space="preserve"> PAGEREF _Toc20532 \h </w:instrText>
          </w:r>
          <w:r>
            <w:fldChar w:fldCharType="separate"/>
          </w:r>
          <w:r>
            <w:t>30</w:t>
          </w:r>
          <w:r>
            <w:fldChar w:fldCharType="end"/>
          </w:r>
          <w:r>
            <w:rPr>
              <w:color w:val="auto"/>
            </w:rPr>
            <w:fldChar w:fldCharType="end"/>
          </w:r>
        </w:p>
        <w:p>
          <w:pPr>
            <w:pStyle w:val="16"/>
            <w:tabs>
              <w:tab w:val="right" w:leader="dot" w:pos="9134"/>
            </w:tabs>
          </w:pPr>
          <w:r>
            <w:rPr>
              <w:color w:val="auto"/>
            </w:rPr>
            <w:fldChar w:fldCharType="begin"/>
          </w:r>
          <w:r>
            <w:instrText xml:space="preserve"> HYPERLINK \l _Toc29880 </w:instrText>
          </w:r>
          <w:r>
            <w:fldChar w:fldCharType="separate"/>
          </w:r>
          <w:r>
            <w:rPr>
              <w:rFonts w:hint="eastAsia" w:ascii="楷体" w:hAnsi="楷体" w:eastAsia="楷体" w:cs="楷体"/>
              <w:bCs/>
              <w:szCs w:val="32"/>
              <w:lang w:val="en-US" w:eastAsia="zh-CN"/>
            </w:rPr>
            <w:t>（三）完善制度保障，规范信息公开</w:t>
          </w:r>
          <w:r>
            <w:tab/>
          </w:r>
          <w:r>
            <w:fldChar w:fldCharType="begin"/>
          </w:r>
          <w:r>
            <w:instrText xml:space="preserve"> PAGEREF _Toc29880 \h </w:instrText>
          </w:r>
          <w:r>
            <w:fldChar w:fldCharType="separate"/>
          </w:r>
          <w:r>
            <w:t>30</w:t>
          </w:r>
          <w:r>
            <w:fldChar w:fldCharType="end"/>
          </w:r>
          <w:r>
            <w:rPr>
              <w:color w:val="auto"/>
            </w:rPr>
            <w:fldChar w:fldCharType="end"/>
          </w:r>
        </w:p>
        <w:p>
          <w:pPr>
            <w:pStyle w:val="16"/>
            <w:tabs>
              <w:tab w:val="right" w:leader="dot" w:pos="9134"/>
            </w:tabs>
          </w:pPr>
          <w:r>
            <w:rPr>
              <w:color w:val="auto"/>
            </w:rPr>
            <w:fldChar w:fldCharType="begin"/>
          </w:r>
          <w:r>
            <w:instrText xml:space="preserve"> HYPERLINK \l _Toc18677 </w:instrText>
          </w:r>
          <w:r>
            <w:fldChar w:fldCharType="separate"/>
          </w:r>
          <w:r>
            <w:rPr>
              <w:rFonts w:hint="eastAsia" w:ascii="楷体" w:hAnsi="楷体" w:eastAsia="楷体" w:cs="楷体"/>
              <w:bCs/>
              <w:szCs w:val="32"/>
              <w:lang w:val="en-US" w:eastAsia="zh-CN"/>
            </w:rPr>
            <w:t>（四）丰富文化产品供给，提高基层公共文化服务质量</w:t>
          </w:r>
          <w:r>
            <w:tab/>
          </w:r>
          <w:r>
            <w:fldChar w:fldCharType="begin"/>
          </w:r>
          <w:r>
            <w:instrText xml:space="preserve"> PAGEREF _Toc18677 \h </w:instrText>
          </w:r>
          <w:r>
            <w:fldChar w:fldCharType="separate"/>
          </w:r>
          <w:r>
            <w:t>30</w:t>
          </w:r>
          <w:r>
            <w:fldChar w:fldCharType="end"/>
          </w:r>
          <w:r>
            <w:rPr>
              <w:color w:val="auto"/>
            </w:rPr>
            <w:fldChar w:fldCharType="end"/>
          </w:r>
        </w:p>
        <w:p>
          <w:pPr>
            <w:pStyle w:val="15"/>
            <w:tabs>
              <w:tab w:val="right" w:leader="dot" w:pos="9134"/>
            </w:tabs>
          </w:pPr>
          <w:r>
            <w:rPr>
              <w:color w:val="auto"/>
            </w:rPr>
            <w:fldChar w:fldCharType="begin"/>
          </w:r>
          <w:r>
            <w:instrText xml:space="preserve"> HYPERLINK \l _Toc20688 </w:instrText>
          </w:r>
          <w:r>
            <w:fldChar w:fldCharType="separate"/>
          </w:r>
          <w:r>
            <w:rPr>
              <w:rFonts w:hint="eastAsia" w:ascii="黑体" w:hAnsi="黑体" w:eastAsia="黑体" w:cs="黑体"/>
              <w:bCs/>
              <w:szCs w:val="32"/>
              <w:lang w:val="en-US" w:eastAsia="zh-CN"/>
            </w:rPr>
            <w:t>七、其他需要说明的问题</w:t>
          </w:r>
          <w:r>
            <w:tab/>
          </w:r>
          <w:r>
            <w:fldChar w:fldCharType="begin"/>
          </w:r>
          <w:r>
            <w:instrText xml:space="preserve"> PAGEREF _Toc20688 \h </w:instrText>
          </w:r>
          <w:r>
            <w:fldChar w:fldCharType="separate"/>
          </w:r>
          <w:r>
            <w:t>31</w:t>
          </w:r>
          <w:r>
            <w:fldChar w:fldCharType="end"/>
          </w:r>
          <w:r>
            <w:rPr>
              <w:color w:val="auto"/>
            </w:rPr>
            <w:fldChar w:fldCharType="end"/>
          </w:r>
        </w:p>
        <w:p>
          <w:pPr>
            <w:pStyle w:val="15"/>
            <w:tabs>
              <w:tab w:val="right" w:leader="dot" w:pos="9134"/>
            </w:tabs>
          </w:pPr>
          <w:r>
            <w:rPr>
              <w:color w:val="auto"/>
            </w:rPr>
            <w:fldChar w:fldCharType="begin"/>
          </w:r>
          <w:r>
            <w:instrText xml:space="preserve"> HYPERLINK \l _Toc3513 </w:instrText>
          </w:r>
          <w:r>
            <w:fldChar w:fldCharType="separate"/>
          </w:r>
          <w:r>
            <w:rPr>
              <w:rFonts w:hint="eastAsia" w:ascii="黑体" w:hAnsi="黑体" w:eastAsia="黑体" w:cs="黑体"/>
              <w:bCs/>
              <w:szCs w:val="32"/>
              <w:lang w:val="en-US" w:eastAsia="zh-CN"/>
            </w:rPr>
            <w:t>八、附件</w:t>
          </w:r>
          <w:r>
            <w:tab/>
          </w:r>
          <w:r>
            <w:fldChar w:fldCharType="begin"/>
          </w:r>
          <w:r>
            <w:instrText xml:space="preserve"> PAGEREF _Toc3513 \h </w:instrText>
          </w:r>
          <w:r>
            <w:fldChar w:fldCharType="separate"/>
          </w:r>
          <w:r>
            <w:t>31</w:t>
          </w:r>
          <w:r>
            <w:fldChar w:fldCharType="end"/>
          </w:r>
          <w:r>
            <w:rPr>
              <w:color w:val="auto"/>
            </w:rPr>
            <w:fldChar w:fldCharType="end"/>
          </w:r>
        </w:p>
        <w:p>
          <w:pPr>
            <w:rPr>
              <w:color w:val="auto"/>
            </w:rPr>
          </w:pPr>
          <w:r>
            <w:rPr>
              <w:color w:val="auto"/>
            </w:rPr>
            <w:fldChar w:fldCharType="end"/>
          </w:r>
        </w:p>
      </w:sdtContent>
    </w:sdt>
    <w:p>
      <w:pPr>
        <w:keepNext w:val="0"/>
        <w:pageBreakBefore w:val="0"/>
        <w:shd w:val="clear" w:fill="FFFFFF" w:themeFill="background1"/>
        <w:kinsoku/>
        <w:wordWrap/>
        <w:topLinePunct w:val="0"/>
        <w:bidi w:val="0"/>
        <w:snapToGrid/>
        <w:spacing w:line="240" w:lineRule="auto"/>
        <w:ind w:left="0" w:leftChars="0" w:right="0" w:firstLine="564" w:firstLineChars="200"/>
        <w:jc w:val="center"/>
        <w:outlineLvl w:val="0"/>
        <w:rPr>
          <w:rFonts w:hint="eastAsia" w:ascii="仿宋" w:hAnsi="仿宋" w:eastAsia="仿宋" w:cs="仿宋"/>
          <w:b/>
          <w:bCs/>
          <w:color w:val="auto"/>
          <w:sz w:val="28"/>
          <w:szCs w:val="28"/>
          <w:highlight w:val="none"/>
          <w:lang w:val="en-US" w:eastAsia="zh-CN"/>
        </w:rPr>
        <w:sectPr>
          <w:headerReference r:id="rId5" w:type="default"/>
          <w:footerReference r:id="rId6" w:type="default"/>
          <w:pgSz w:w="12240" w:h="15840"/>
          <w:pgMar w:top="1440" w:right="1519" w:bottom="1440" w:left="1587" w:header="850" w:footer="992" w:gutter="0"/>
          <w:pgBorders>
            <w:top w:val="none" w:sz="0" w:space="0"/>
            <w:left w:val="none" w:sz="0" w:space="0"/>
            <w:bottom w:val="none" w:sz="0" w:space="0"/>
            <w:right w:val="none" w:sz="0" w:space="0"/>
          </w:pgBorders>
          <w:pgNumType w:fmt="upperRoman" w:start="1"/>
          <w:cols w:space="0" w:num="1"/>
          <w:docGrid w:type="linesAndChars" w:linePitch="360" w:charSpace="462"/>
        </w:sectPr>
      </w:pPr>
    </w:p>
    <w:p>
      <w:pPr>
        <w:keepNext w:val="0"/>
        <w:pageBreakBefore w:val="0"/>
        <w:shd w:val="clear" w:fill="FFFFFF" w:themeFill="background1"/>
        <w:kinsoku/>
        <w:wordWrap/>
        <w:topLinePunct w:val="0"/>
        <w:bidi w:val="0"/>
        <w:snapToGrid/>
        <w:spacing w:line="240" w:lineRule="auto"/>
        <w:ind w:left="0" w:leftChars="0" w:right="0" w:firstLine="644" w:firstLineChars="200"/>
        <w:jc w:val="center"/>
        <w:outlineLvl w:val="0"/>
        <w:rPr>
          <w:rFonts w:hint="eastAsia" w:ascii="仿宋_GB2312" w:hAnsi="仿宋_GB2312" w:eastAsia="仿宋_GB2312" w:cs="仿宋_GB2312"/>
          <w:b/>
          <w:bCs/>
          <w:color w:val="auto"/>
          <w:kern w:val="2"/>
          <w:sz w:val="32"/>
          <w:szCs w:val="32"/>
          <w:highlight w:val="none"/>
          <w:lang w:val="en-US" w:eastAsia="zh-CN" w:bidi="ar-SA"/>
        </w:rPr>
      </w:pPr>
      <w:bookmarkStart w:id="0" w:name="_Toc8637"/>
      <w:bookmarkStart w:id="1" w:name="_Toc32630"/>
      <w:bookmarkStart w:id="2" w:name="_Toc15299"/>
      <w:bookmarkStart w:id="3" w:name="_Toc4033"/>
      <w:bookmarkStart w:id="4" w:name="_Toc22649"/>
      <w:bookmarkStart w:id="5" w:name="_Toc24560"/>
      <w:bookmarkStart w:id="6" w:name="_Toc7867"/>
      <w:bookmarkStart w:id="7" w:name="_Toc23053"/>
      <w:bookmarkStart w:id="8" w:name="_Toc14554"/>
      <w:bookmarkStart w:id="9" w:name="_Toc12816"/>
      <w:bookmarkStart w:id="10" w:name="_Toc26165"/>
      <w:r>
        <w:rPr>
          <w:rFonts w:hint="eastAsia" w:ascii="仿宋_GB2312" w:hAnsi="仿宋_GB2312" w:eastAsia="仿宋_GB2312" w:cs="仿宋_GB2312"/>
          <w:b/>
          <w:bCs/>
          <w:color w:val="auto"/>
          <w:kern w:val="2"/>
          <w:sz w:val="32"/>
          <w:szCs w:val="32"/>
          <w:highlight w:val="none"/>
          <w:lang w:val="en-US" w:eastAsia="zh-CN" w:bidi="ar-SA"/>
        </w:rPr>
        <w:t>前 言</w:t>
      </w:r>
      <w:bookmarkEnd w:id="0"/>
      <w:bookmarkEnd w:id="1"/>
      <w:bookmarkEnd w:id="2"/>
      <w:bookmarkEnd w:id="3"/>
      <w:bookmarkEnd w:id="4"/>
      <w:bookmarkEnd w:id="5"/>
      <w:bookmarkEnd w:id="6"/>
      <w:bookmarkEnd w:id="7"/>
      <w:bookmarkEnd w:id="8"/>
      <w:bookmarkEnd w:id="9"/>
      <w:bookmarkEnd w:id="10"/>
    </w:p>
    <w:p>
      <w:pPr>
        <w:keepNext w:val="0"/>
        <w:keepLines w:val="0"/>
        <w:pageBreakBefore w:val="0"/>
        <w:widowControl/>
        <w:suppressLineNumbers w:val="0"/>
        <w:kinsoku/>
        <w:wordWrap/>
        <w:topLinePunct w:val="0"/>
        <w:bidi w:val="0"/>
        <w:snapToGrid/>
        <w:spacing w:line="240" w:lineRule="auto"/>
        <w:ind w:left="0" w:leftChars="0" w:right="0" w:firstLine="644" w:firstLineChars="200"/>
        <w:jc w:val="both"/>
        <w:rPr>
          <w:rFonts w:hint="eastAsia" w:ascii="仿宋_GB2312" w:hAnsi="仿宋_GB2312" w:eastAsia="仿宋_GB2312" w:cs="仿宋_GB2312"/>
          <w:color w:val="auto"/>
          <w:kern w:val="0"/>
          <w:sz w:val="32"/>
          <w:szCs w:val="32"/>
          <w:highlight w:val="none"/>
          <w:lang w:val="en-US" w:eastAsia="zh-CN"/>
        </w:rPr>
        <w:sectPr>
          <w:footerReference r:id="rId7" w:type="default"/>
          <w:pgSz w:w="12240" w:h="15840"/>
          <w:pgMar w:top="1440" w:right="1519" w:bottom="1440" w:left="1587" w:header="850" w:footer="992" w:gutter="0"/>
          <w:pgBorders>
            <w:top w:val="none" w:sz="0" w:space="0"/>
            <w:left w:val="none" w:sz="0" w:space="0"/>
            <w:bottom w:val="none" w:sz="0" w:space="0"/>
            <w:right w:val="none" w:sz="0" w:space="0"/>
          </w:pgBorders>
          <w:pgNumType w:fmt="decimal" w:start="1"/>
          <w:cols w:space="0" w:num="1"/>
          <w:docGrid w:type="linesAndChars" w:linePitch="360" w:charSpace="462"/>
        </w:sectPr>
      </w:pPr>
      <w:r>
        <w:rPr>
          <w:rFonts w:hint="eastAsia" w:ascii="仿宋_GB2312" w:hAnsi="仿宋_GB2312" w:eastAsia="仿宋_GB2312" w:cs="仿宋_GB2312"/>
          <w:color w:val="auto"/>
          <w:kern w:val="0"/>
          <w:sz w:val="32"/>
          <w:szCs w:val="32"/>
          <w:highlight w:val="none"/>
          <w:lang w:val="en-US" w:eastAsia="zh-CN"/>
        </w:rPr>
        <w:t>为加快推进绩效评价管理工作，提高财政资金使用效益，泉州市招标咨询中心有限公司地方财政绩效评价所受泉州市丰泽区财政局</w:t>
      </w:r>
      <w:r>
        <w:rPr>
          <w:rFonts w:hint="eastAsia" w:ascii="仿宋_GB2312" w:hAnsi="仿宋_GB2312" w:eastAsia="仿宋_GB2312" w:cs="仿宋_GB2312"/>
          <w:color w:val="auto"/>
          <w:kern w:val="0"/>
          <w:sz w:val="32"/>
          <w:szCs w:val="32"/>
          <w:highlight w:val="none"/>
          <w:lang w:val="en-US" w:eastAsia="zh-CN" w:bidi="ar-SA"/>
        </w:rPr>
        <w:t>委托，依据《财政部关于印发〈项目支出绩效评价管理办法〉的通知》（财预〔2020〕10号）《中共中央国务院关于全面实施预算绩效管理的意见》（中发〔2018〕34号）中共</w:t>
      </w:r>
      <w:r>
        <w:rPr>
          <w:rFonts w:hint="eastAsia" w:ascii="仿宋_GB2312" w:hAnsi="仿宋_GB2312" w:eastAsia="仿宋_GB2312" w:cs="仿宋_GB2312"/>
          <w:color w:val="auto"/>
          <w:sz w:val="32"/>
          <w:szCs w:val="32"/>
          <w:highlight w:val="none"/>
        </w:rPr>
        <w:t>福建省委、省政府《关于全面实施预算绩效管理的实施意见》（闽委发〔2019〕5号）《福建省财政厅关于全面实施预算绩效管理若干措施的通知》（闽财绩〔2019〕2号）</w:t>
      </w:r>
      <w:r>
        <w:rPr>
          <w:rFonts w:hint="eastAsia" w:ascii="仿宋_GB2312" w:hAnsi="仿宋_GB2312" w:eastAsia="仿宋_GB2312" w:cs="仿宋_GB2312"/>
          <w:color w:val="auto"/>
          <w:sz w:val="32"/>
          <w:szCs w:val="32"/>
          <w:highlight w:val="none"/>
          <w:lang w:val="en-US" w:eastAsia="zh-CN"/>
        </w:rPr>
        <w:t>等文件</w:t>
      </w:r>
      <w:r>
        <w:rPr>
          <w:rFonts w:hint="eastAsia" w:ascii="仿宋_GB2312" w:hAnsi="仿宋_GB2312" w:eastAsia="仿宋_GB2312" w:cs="仿宋_GB2312"/>
          <w:color w:val="auto"/>
          <w:kern w:val="0"/>
          <w:sz w:val="32"/>
          <w:szCs w:val="32"/>
          <w:highlight w:val="none"/>
          <w:lang w:val="en-US" w:eastAsia="zh-CN" w:bidi="ar-SA"/>
        </w:rPr>
        <w:t>的要求，</w:t>
      </w:r>
      <w:r>
        <w:rPr>
          <w:rFonts w:hint="eastAsia" w:ascii="仿宋_GB2312" w:hAnsi="仿宋_GB2312" w:eastAsia="仿宋_GB2312" w:cs="仿宋_GB2312"/>
          <w:color w:val="auto"/>
          <w:kern w:val="0"/>
          <w:sz w:val="32"/>
          <w:szCs w:val="32"/>
          <w:highlight w:val="none"/>
          <w:lang w:val="en-US" w:eastAsia="zh-CN"/>
        </w:rPr>
        <w:t>对丰泽区公共文化服务体系建设专项资金政策开展了事后绩效评价。我中心评价小组经过数据采集、书面资料审查、实地调研、社会调查和分析研究等必要的绩效评价程序，结合单位情况，在梳理、分析、研究评价数据资料的基础上，形成《2020-2023年丰泽区公共文化服务体系建设专项资金政策绩效评价报告》。</w:t>
      </w:r>
    </w:p>
    <w:p>
      <w:pPr>
        <w:keepNext w:val="0"/>
        <w:keepLines w:val="0"/>
        <w:pageBreakBefore w:val="0"/>
        <w:widowControl/>
        <w:suppressLineNumbers w:val="0"/>
        <w:kinsoku/>
        <w:topLinePunct w:val="0"/>
        <w:bidi w:val="0"/>
        <w:spacing w:line="240" w:lineRule="auto"/>
        <w:ind w:leftChars="0"/>
        <w:jc w:val="center"/>
        <w:rPr>
          <w:rFonts w:hint="eastAsia" w:ascii="黑体" w:hAnsi="黑体" w:eastAsia="黑体" w:cs="黑体"/>
          <w:color w:val="auto"/>
          <w:sz w:val="32"/>
          <w:szCs w:val="32"/>
        </w:rPr>
      </w:pPr>
      <w:r>
        <w:rPr>
          <w:rFonts w:hint="eastAsia" w:ascii="黑体" w:hAnsi="黑体" w:eastAsia="黑体" w:cs="黑体"/>
          <w:b/>
          <w:bCs/>
          <w:color w:val="auto"/>
          <w:kern w:val="0"/>
          <w:sz w:val="32"/>
          <w:szCs w:val="32"/>
          <w:lang w:val="en-US" w:eastAsia="zh-CN" w:bidi="ar"/>
        </w:rPr>
        <w:t>报告正文</w:t>
      </w:r>
    </w:p>
    <w:p>
      <w:pPr>
        <w:keepNext w:val="0"/>
        <w:pageBreakBefore w:val="0"/>
        <w:kinsoku/>
        <w:topLinePunct w:val="0"/>
        <w:bidi w:val="0"/>
        <w:spacing w:line="240" w:lineRule="auto"/>
        <w:ind w:leftChars="0" w:firstLine="642" w:firstLineChars="200"/>
        <w:outlineLvl w:val="0"/>
        <w:rPr>
          <w:rFonts w:hint="default" w:ascii="黑体" w:hAnsi="黑体" w:eastAsia="黑体" w:cs="黑体"/>
          <w:b/>
          <w:bCs/>
          <w:color w:val="000000" w:themeColor="text1"/>
          <w:sz w:val="32"/>
          <w:szCs w:val="32"/>
          <w:lang w:val="en-US" w:eastAsia="zh-CN"/>
          <w14:textFill>
            <w14:solidFill>
              <w14:schemeClr w14:val="tx1"/>
            </w14:solidFill>
          </w14:textFill>
        </w:rPr>
      </w:pPr>
      <w:bookmarkStart w:id="11" w:name="_Toc19576"/>
      <w:r>
        <w:rPr>
          <w:rFonts w:hint="eastAsia" w:ascii="黑体" w:hAnsi="黑体" w:eastAsia="黑体" w:cs="黑体"/>
          <w:b/>
          <w:bCs/>
          <w:color w:val="000000" w:themeColor="text1"/>
          <w:sz w:val="32"/>
          <w:szCs w:val="32"/>
          <w14:textFill>
            <w14:solidFill>
              <w14:schemeClr w14:val="tx1"/>
            </w14:solidFill>
          </w14:textFill>
        </w:rPr>
        <w:t>一、</w:t>
      </w:r>
      <w:r>
        <w:rPr>
          <w:rFonts w:hint="eastAsia" w:ascii="黑体" w:hAnsi="黑体" w:eastAsia="黑体" w:cs="黑体"/>
          <w:b/>
          <w:bCs/>
          <w:color w:val="000000" w:themeColor="text1"/>
          <w:sz w:val="32"/>
          <w:szCs w:val="32"/>
          <w:lang w:val="en-US" w:eastAsia="zh-CN"/>
          <w14:textFill>
            <w14:solidFill>
              <w14:schemeClr w14:val="tx1"/>
            </w14:solidFill>
          </w14:textFill>
        </w:rPr>
        <w:t>政策概况</w:t>
      </w:r>
      <w:bookmarkEnd w:id="11"/>
    </w:p>
    <w:p>
      <w:pPr>
        <w:keepNext w:val="0"/>
        <w:pageBreakBefore w:val="0"/>
        <w:kinsoku/>
        <w:topLinePunct w:val="0"/>
        <w:bidi w:val="0"/>
        <w:spacing w:line="240" w:lineRule="auto"/>
        <w:ind w:leftChars="0" w:firstLine="642" w:firstLineChars="200"/>
        <w:outlineLvl w:val="1"/>
        <w:rPr>
          <w:rFonts w:hint="default" w:ascii="楷体" w:hAnsi="楷体" w:eastAsia="楷体" w:cs="楷体"/>
          <w:b/>
          <w:bCs/>
          <w:color w:val="000000" w:themeColor="text1"/>
          <w:sz w:val="32"/>
          <w:szCs w:val="32"/>
          <w:lang w:val="en-US" w:eastAsia="zh-CN"/>
          <w14:textFill>
            <w14:solidFill>
              <w14:schemeClr w14:val="tx1"/>
            </w14:solidFill>
          </w14:textFill>
        </w:rPr>
      </w:pPr>
      <w:bookmarkStart w:id="12" w:name="_Toc11613"/>
      <w:r>
        <w:rPr>
          <w:rFonts w:hint="eastAsia" w:ascii="楷体" w:hAnsi="楷体" w:eastAsia="楷体" w:cs="楷体"/>
          <w:b/>
          <w:bCs/>
          <w:color w:val="000000" w:themeColor="text1"/>
          <w:sz w:val="32"/>
          <w:szCs w:val="32"/>
          <w14:textFill>
            <w14:solidFill>
              <w14:schemeClr w14:val="tx1"/>
            </w14:solidFill>
          </w14:textFill>
        </w:rPr>
        <w:t>（一）</w:t>
      </w:r>
      <w:r>
        <w:rPr>
          <w:rFonts w:hint="eastAsia" w:ascii="楷体" w:hAnsi="楷体" w:eastAsia="楷体" w:cs="楷体"/>
          <w:b/>
          <w:bCs/>
          <w:color w:val="000000" w:themeColor="text1"/>
          <w:sz w:val="32"/>
          <w:szCs w:val="32"/>
          <w:lang w:val="en-US" w:eastAsia="zh-CN"/>
          <w14:textFill>
            <w14:solidFill>
              <w14:schemeClr w14:val="tx1"/>
            </w14:solidFill>
          </w14:textFill>
        </w:rPr>
        <w:t>政策制定的背景</w:t>
      </w:r>
      <w:bookmarkEnd w:id="12"/>
    </w:p>
    <w:p>
      <w:pPr>
        <w:keepNext w:val="0"/>
        <w:pageBreakBefore w:val="0"/>
        <w:kinsoku/>
        <w:topLinePunct w:val="0"/>
        <w:bidi w:val="0"/>
        <w:spacing w:line="240" w:lineRule="auto"/>
        <w:ind w:leftChars="0"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十四五时期是我国全面建成小康社会、实现第一个百年奋斗目标之后，乘势而上开启全面建设社会主义现代化国家新征程、向第二个百年奋斗目标进军的第一个五年，在新的历史起点上，公共文化服务面临着新的发展形势。经济发展方式的转变、产业结构的调整优化，对公共文化服务培育促进文化消费，拉动内需等方面提出了新的要求；现代科技发展催生新产业新业态新模式不断涌现，为公共文化服务发展提供的动能更加强劲；文化和旅游的融合发展，大众旅游的深入推进，为公共文化服务提供了新的发展契机。</w:t>
      </w:r>
    </w:p>
    <w:p>
      <w:pPr>
        <w:keepNext w:val="0"/>
        <w:pageBreakBefore w:val="0"/>
        <w:kinsoku/>
        <w:topLinePunct w:val="0"/>
        <w:bidi w:val="0"/>
        <w:spacing w:line="240" w:lineRule="auto"/>
        <w:ind w:leftChars="0"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2015年12月24日，福建省委办公厅、省政府办公厅印发了《福建省关于加快构建现代公共文化服务体系的实施意见》，对福建省构建现代公共文化服务体系作了全面部署，为加快推进福建省现代公共文化服务体系建设指明了方向；2016年中共泉州市委办公室、泉州市人民政府办公室出台《关于加快构建现代公共文化服务体系的实施意见》（泉委办发﹝2016﹞19号），严格落实《公共文化服务保障法》，结合分析泉州市基本公共文化服务现状和公共文化服务体系建设的重点难点问题，围绕构建现代公共文化服务体系总目标，聚焦公共文化服务共建共享，在县（市、区）先行开展针对性试点基础上，开展创新打造公共文化服务体系建设“共建共享”机制。</w:t>
      </w:r>
    </w:p>
    <w:p>
      <w:pPr>
        <w:keepNext w:val="0"/>
        <w:pageBreakBefore w:val="0"/>
        <w:kinsoku/>
        <w:topLinePunct w:val="0"/>
        <w:bidi w:val="0"/>
        <w:spacing w:line="240" w:lineRule="auto"/>
        <w:ind w:leftChars="0"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加快泉州市丰泽区构建现代公共文化服务体系，建立健全公共文化服务经费保障机制，泉州市丰泽区财政局和文化体育和旅游局共同设立丰泽区公共文化服务体系建设专项资金。为规范和加强专项资金管理，提高资金使用效益，特制定《泉州市丰泽区公共文化服务体系建设专项资金管理办法》。</w:t>
      </w:r>
    </w:p>
    <w:p>
      <w:pPr>
        <w:keepNext w:val="0"/>
        <w:pageBreakBefore w:val="0"/>
        <w:kinsoku/>
        <w:topLinePunct w:val="0"/>
        <w:bidi w:val="0"/>
        <w:spacing w:line="240" w:lineRule="auto"/>
        <w:ind w:firstLine="642" w:firstLineChars="200"/>
        <w:outlineLvl w:val="1"/>
        <w:rPr>
          <w:rFonts w:hint="default" w:ascii="楷体" w:hAnsi="楷体" w:eastAsia="楷体" w:cs="楷体"/>
          <w:b/>
          <w:bCs/>
          <w:color w:val="auto"/>
          <w:sz w:val="32"/>
          <w:szCs w:val="32"/>
          <w:lang w:val="en-US" w:eastAsia="zh-CN"/>
        </w:rPr>
      </w:pPr>
      <w:bookmarkStart w:id="13" w:name="_Toc28257"/>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二</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政策的意义和作用</w:t>
      </w:r>
      <w:bookmarkEnd w:id="13"/>
    </w:p>
    <w:p>
      <w:pPr>
        <w:keepNext w:val="0"/>
        <w:pageBreakBefore w:val="0"/>
        <w:kinsoku/>
        <w:topLinePunct w:val="0"/>
        <w:bidi w:val="0"/>
        <w:spacing w:line="240" w:lineRule="auto"/>
        <w:ind w:leftChars="0" w:firstLine="640" w:firstLineChars="200"/>
        <w:rPr>
          <w:rFonts w:hint="eastAsia"/>
          <w:color w:val="auto"/>
          <w:lang w:val="en-US" w:eastAsia="zh-CN"/>
        </w:rPr>
      </w:pPr>
      <w:r>
        <w:rPr>
          <w:rFonts w:hint="eastAsia" w:ascii="仿宋_GB2312" w:hAnsi="仿宋_GB2312" w:eastAsia="仿宋_GB2312" w:cs="仿宋_GB2312"/>
          <w:color w:val="auto"/>
          <w:sz w:val="32"/>
          <w:szCs w:val="32"/>
          <w:lang w:val="en-US" w:eastAsia="zh-CN"/>
        </w:rPr>
        <w:t>泉州市丰泽区公共文化服务体系建设专项资金政策的制定，是对《关于加快构建现代公共文化服务体系的实施意见》（泉委办发﹝2016﹞19号）的落实，旨在规范和加强区级公共文化服务体系建设专项资金的使用和管理，发挥资金的引导和激励作用,提高资金的使用效益，促进我区公共文化事业持续健康发展，加快我区构建现代公共文化服务体系。</w:t>
      </w:r>
    </w:p>
    <w:p>
      <w:pPr>
        <w:keepNext w:val="0"/>
        <w:pageBreakBefore w:val="0"/>
        <w:kinsoku/>
        <w:topLinePunct w:val="0"/>
        <w:bidi w:val="0"/>
        <w:spacing w:line="240" w:lineRule="auto"/>
        <w:ind w:firstLine="642" w:firstLineChars="200"/>
        <w:outlineLvl w:val="1"/>
        <w:rPr>
          <w:rFonts w:hint="default" w:ascii="楷体" w:hAnsi="楷体" w:eastAsia="楷体" w:cs="楷体"/>
          <w:b/>
          <w:bCs/>
          <w:color w:val="auto"/>
          <w:sz w:val="32"/>
          <w:szCs w:val="32"/>
          <w:lang w:val="en-US" w:eastAsia="zh-CN"/>
        </w:rPr>
      </w:pPr>
      <w:bookmarkStart w:id="14" w:name="_Toc11121"/>
      <w:r>
        <w:rPr>
          <w:rFonts w:hint="eastAsia" w:ascii="楷体" w:hAnsi="楷体" w:eastAsia="楷体" w:cs="楷体"/>
          <w:b/>
          <w:bCs/>
          <w:color w:val="auto"/>
          <w:sz w:val="32"/>
          <w:szCs w:val="32"/>
          <w:lang w:val="en-US" w:eastAsia="zh-CN"/>
        </w:rPr>
        <w:t>（三）政策内容</w:t>
      </w:r>
      <w:bookmarkEnd w:id="14"/>
    </w:p>
    <w:p>
      <w:pPr>
        <w:keepNext w:val="0"/>
        <w:pageBreakBefore w:val="0"/>
        <w:kinsoku/>
        <w:topLinePunct w:val="0"/>
        <w:bidi w:val="0"/>
        <w:spacing w:line="240" w:lineRule="auto"/>
        <w:ind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2020年丰泽区公共文化服务体系建设专项资金补贴依据《泉州市丰泽区公共文化服务体系建设专项资金管理办法》（泉丰政财〔2020〕28号）开展。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15" w:name="_Toc12890"/>
      <w:r>
        <w:rPr>
          <w:rFonts w:hint="eastAsia" w:ascii="仿宋_GB2312" w:hAnsi="仿宋_GB2312" w:eastAsia="仿宋_GB2312" w:cs="仿宋_GB2312"/>
          <w:b/>
          <w:bCs/>
          <w:color w:val="auto"/>
          <w:sz w:val="32"/>
          <w:szCs w:val="32"/>
          <w:highlight w:val="none"/>
          <w:lang w:val="en-US" w:eastAsia="zh-CN"/>
        </w:rPr>
        <w:t>1.政策扶持范围和内容</w:t>
      </w:r>
      <w:bookmarkEnd w:id="15"/>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专项资金包括项目补助资金和奖励资金。</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项目补助资金</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项目补助资金结合公共文化服务规模、主要内容、项目实施周期等特点安排，分为经常性项目和重点项目：</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经常性项目包括：</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①公共图书馆、文化馆（站）等公共文化设施免费开放项目；</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w:t>
      </w:r>
      <w:r>
        <w:rPr>
          <w:rFonts w:hint="default" w:ascii="仿宋_GB2312" w:hAnsi="仿宋_GB2312" w:eastAsia="仿宋_GB2312" w:cs="仿宋_GB2312"/>
          <w:color w:val="auto"/>
          <w:sz w:val="32"/>
          <w:szCs w:val="32"/>
          <w:lang w:val="en-US" w:eastAsia="zh-CN"/>
        </w:rPr>
        <w:t>公共图书馆、文化馆（站）等公共文化设施的公共文化服务项目：用于基本服务条件保障的专项业务经费、设备更新、图书购置等；开展公益性品牌文化活动及培训辅导活动；</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③各街道公共文化服务项目：用于图书、功放音箱、乐器、演出服饰、投影仪、照相机、摄像机等文化器材的更新替换；开展的各类文体活动及培训活动；全国文化信息资源共享工程基层服务中心运行维护等；</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社区公共文化服务项目：用于图书、功放音箱、乐器、演出服饰、投影仪、照相机、摄像机等文化器材的更新替换；社区综合性文化服务中心所开展的文体活动和培训活动；全国文化信息资源共享工程村级基层服务点运行维护；</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传统节庆文化活动及丰泽特色文化品牌活动项目；</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w:t>
      </w:r>
      <w:r>
        <w:rPr>
          <w:rFonts w:hint="default" w:ascii="仿宋_GB2312" w:hAnsi="仿宋_GB2312" w:eastAsia="仿宋_GB2312" w:cs="仿宋_GB2312"/>
          <w:color w:val="auto"/>
          <w:sz w:val="32"/>
          <w:szCs w:val="32"/>
          <w:lang w:val="en-US" w:eastAsia="zh-CN"/>
        </w:rPr>
        <w:t>文物保护及非物质文化遗产保护专项。</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重点项目包括：</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①公共图书馆、文化馆（站）等设施的新（扩）建；</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w:t>
      </w:r>
      <w:r>
        <w:rPr>
          <w:rFonts w:hint="default" w:ascii="仿宋_GB2312" w:hAnsi="仿宋_GB2312" w:eastAsia="仿宋_GB2312" w:cs="仿宋_GB2312"/>
          <w:color w:val="auto"/>
          <w:sz w:val="32"/>
          <w:szCs w:val="32"/>
          <w:lang w:val="en-US" w:eastAsia="zh-CN"/>
        </w:rPr>
        <w:t>公益性文化、文物、广播电视、新闻出版等单位设施维修与设备购置；</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③按照上级要求开展的其他公共文化服务项目。</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奖励资金</w:t>
      </w:r>
    </w:p>
    <w:p>
      <w:pPr>
        <w:pStyle w:val="18"/>
        <w:ind w:left="0" w:leftChars="0" w:firstLine="640" w:firstLineChars="200"/>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奖励资金是指上级根据丰泽区公共文化服务绩效评价结果给予我区的奖励，由区财政局会同区文体旅游局共同安排使用方向及计划，全部用于完善公共文化服务体系、丰富公共文化服务内容、保障人民群众基本文化权益等方面的支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16" w:name="_Toc26626"/>
      <w:r>
        <w:rPr>
          <w:rFonts w:hint="eastAsia" w:ascii="仿宋_GB2312" w:hAnsi="仿宋_GB2312" w:eastAsia="仿宋_GB2312" w:cs="仿宋_GB2312"/>
          <w:b/>
          <w:bCs/>
          <w:color w:val="auto"/>
          <w:sz w:val="32"/>
          <w:szCs w:val="32"/>
          <w:highlight w:val="none"/>
          <w:lang w:val="en-US" w:eastAsia="zh-CN"/>
        </w:rPr>
        <w:t>2.预算编制、批复和执行</w:t>
      </w:r>
      <w:bookmarkEnd w:id="16"/>
    </w:p>
    <w:p>
      <w:pPr>
        <w:pStyle w:val="18"/>
        <w:tabs>
          <w:tab w:val="center" w:pos="4400"/>
        </w:tabs>
        <w:ind w:left="0" w:leftChars="0" w:firstLine="0" w:firstLineChars="0"/>
        <w:rPr>
          <w:rFonts w:hint="default" w:ascii="仿宋_GB2312" w:hAnsi="仿宋_GB2312" w:eastAsia="仿宋_GB2312" w:cs="仿宋_GB2312"/>
          <w:color w:val="auto"/>
          <w:sz w:val="32"/>
          <w:szCs w:val="32"/>
          <w:lang w:val="en-US" w:eastAsia="zh-CN"/>
        </w:rPr>
      </w:pPr>
      <w:r>
        <mc:AlternateContent>
          <mc:Choice Requires="wpg">
            <w:drawing>
              <wp:anchor distT="0" distB="0" distL="114300" distR="114300" simplePos="0" relativeHeight="251664384" behindDoc="0" locked="0" layoutInCell="1" allowOverlap="1">
                <wp:simplePos x="0" y="0"/>
                <wp:positionH relativeFrom="column">
                  <wp:posOffset>-444500</wp:posOffset>
                </wp:positionH>
                <wp:positionV relativeFrom="paragraph">
                  <wp:posOffset>127000</wp:posOffset>
                </wp:positionV>
                <wp:extent cx="6313170" cy="2644775"/>
                <wp:effectExtent l="6350" t="9525" r="24130" b="12700"/>
                <wp:wrapNone/>
                <wp:docPr id="50" name="组合 37"/>
                <wp:cNvGraphicFramePr/>
                <a:graphic xmlns:a="http://schemas.openxmlformats.org/drawingml/2006/main">
                  <a:graphicData uri="http://schemas.microsoft.com/office/word/2010/wordprocessingGroup">
                    <wpg:wgp>
                      <wpg:cNvGrpSpPr/>
                      <wpg:grpSpPr>
                        <a:xfrm>
                          <a:off x="0" y="0"/>
                          <a:ext cx="6312905" cy="2644775"/>
                          <a:chOff x="1054" y="2554"/>
                          <a:chExt cx="12525" cy="3683"/>
                        </a:xfrm>
                      </wpg:grpSpPr>
                      <wpg:grpSp>
                        <wpg:cNvPr id="51" name="组合 23"/>
                        <wpg:cNvGrpSpPr/>
                        <wpg:grpSpPr>
                          <a:xfrm>
                            <a:off x="7510" y="3211"/>
                            <a:ext cx="2851" cy="2495"/>
                            <a:chOff x="9730" y="2118"/>
                            <a:chExt cx="5418" cy="1630"/>
                          </a:xfrm>
                        </wpg:grpSpPr>
                        <wps:wsp>
                          <wps:cNvPr id="52" name="圆角矩形 33"/>
                          <wps:cNvSpPr/>
                          <wps:spPr>
                            <a:xfrm>
                              <a:off x="9730" y="2118"/>
                              <a:ext cx="5381" cy="1630"/>
                            </a:xfrm>
                            <a:prstGeom prst="roundRect">
                              <a:avLst/>
                            </a:prstGeom>
                            <a:ln w="12700" cmpd="sng">
                              <a:solidFill>
                                <a:schemeClr val="accent1">
                                  <a:shade val="50000"/>
                                </a:schemeClr>
                              </a:solidFill>
                              <a:prstDash val="solid"/>
                            </a:ln>
                          </wps:spPr>
                          <wps:style>
                            <a:lnRef idx="2">
                              <a:schemeClr val="accent3"/>
                            </a:lnRef>
                            <a:fillRef idx="0">
                              <a:srgbClr val="FFFFFF"/>
                            </a:fillRef>
                            <a:effectRef idx="0">
                              <a:srgbClr val="FFFFFF"/>
                            </a:effectRef>
                            <a:fontRef idx="minor">
                              <a:schemeClr val="dk1"/>
                            </a:fontRef>
                          </wps:style>
                          <wps:bodyPr/>
                        </wps:wsp>
                        <wps:wsp>
                          <wps:cNvPr id="53" name="文本框 25"/>
                          <wps:cNvSpPr txBox="1"/>
                          <wps:spPr>
                            <a:xfrm>
                              <a:off x="9771" y="2218"/>
                              <a:ext cx="5377" cy="1412"/>
                            </a:xfrm>
                            <a:prstGeom prst="rect">
                              <a:avLst/>
                            </a:prstGeom>
                            <a:noFill/>
                          </wps:spPr>
                          <wps:txbx>
                            <w:txbxContent>
                              <w:p>
                                <w:pPr>
                                  <w:pStyle w:val="17"/>
                                  <w:kinsoku/>
                                  <w:ind w:left="0"/>
                                  <w:jc w:val="left"/>
                                  <w:rPr>
                                    <w:b/>
                                    <w:bCs/>
                                    <w:sz w:val="21"/>
                                    <w:szCs w:val="21"/>
                                  </w:rPr>
                                </w:pPr>
                                <w:r>
                                  <w:rPr>
                                    <w:rFonts w:ascii="仿宋" w:eastAsia="仿宋" w:hAnsiTheme="minorBidi"/>
                                    <w:b/>
                                    <w:bCs/>
                                    <w:color w:val="000000" w:themeColor="text1"/>
                                    <w:kern w:val="24"/>
                                    <w:sz w:val="21"/>
                                    <w:szCs w:val="21"/>
                                    <w14:textFill>
                                      <w14:solidFill>
                                        <w14:schemeClr w14:val="tx1"/>
                                      </w14:solidFill>
                                    </w14:textFill>
                                  </w:rPr>
                                  <w:t>专项资金支付严格按照预算管理及国库集中支付制度等有关规定执行，涉及工程招投标和政府采购的，严格按照国家有关法律、法规组织实施。</w:t>
                                </w:r>
                              </w:p>
                            </w:txbxContent>
                          </wps:txbx>
                          <wps:bodyPr wrap="square" rtlCol="0">
                            <a:noAutofit/>
                          </wps:bodyPr>
                        </wps:wsp>
                      </wpg:grpSp>
                      <wpg:grpSp>
                        <wpg:cNvPr id="54" name="组合 26"/>
                        <wpg:cNvGrpSpPr/>
                        <wpg:grpSpPr>
                          <a:xfrm>
                            <a:off x="10748" y="3211"/>
                            <a:ext cx="2831" cy="2495"/>
                            <a:chOff x="9730" y="2118"/>
                            <a:chExt cx="5381" cy="1630"/>
                          </a:xfrm>
                        </wpg:grpSpPr>
                        <wps:wsp>
                          <wps:cNvPr id="55" name="圆角矩形 33"/>
                          <wps:cNvSpPr/>
                          <wps:spPr>
                            <a:xfrm>
                              <a:off x="9730" y="2118"/>
                              <a:ext cx="5381" cy="1630"/>
                            </a:xfrm>
                            <a:prstGeom prst="roundRect">
                              <a:avLst/>
                            </a:prstGeom>
                            <a:ln w="12700" cmpd="sng">
                              <a:solidFill>
                                <a:schemeClr val="accent1">
                                  <a:shade val="50000"/>
                                </a:schemeClr>
                              </a:solidFill>
                              <a:prstDash val="solid"/>
                            </a:ln>
                          </wps:spPr>
                          <wps:style>
                            <a:lnRef idx="2">
                              <a:schemeClr val="accent3"/>
                            </a:lnRef>
                            <a:fillRef idx="0">
                              <a:srgbClr val="FFFFFF"/>
                            </a:fillRef>
                            <a:effectRef idx="0">
                              <a:srgbClr val="FFFFFF"/>
                            </a:effectRef>
                            <a:fontRef idx="minor">
                              <a:schemeClr val="dk1"/>
                            </a:fontRef>
                          </wps:style>
                          <wps:bodyPr/>
                        </wps:wsp>
                        <wps:wsp>
                          <wps:cNvPr id="56" name="文本框 28"/>
                          <wps:cNvSpPr txBox="1"/>
                          <wps:spPr>
                            <a:xfrm>
                              <a:off x="9950" y="2515"/>
                              <a:ext cx="5160" cy="962"/>
                            </a:xfrm>
                            <a:prstGeom prst="rect">
                              <a:avLst/>
                            </a:prstGeom>
                            <a:noFill/>
                          </wps:spPr>
                          <wps:txbx>
                            <w:txbxContent>
                              <w:p>
                                <w:pPr>
                                  <w:pStyle w:val="17"/>
                                  <w:kinsoku/>
                                  <w:ind w:left="0"/>
                                  <w:jc w:val="left"/>
                                  <w:rPr>
                                    <w:b/>
                                    <w:bCs/>
                                    <w:sz w:val="21"/>
                                    <w:szCs w:val="21"/>
                                  </w:rPr>
                                </w:pPr>
                                <w:r>
                                  <w:rPr>
                                    <w:rFonts w:ascii="仿宋" w:eastAsia="仿宋" w:hAnsiTheme="minorBidi"/>
                                    <w:b/>
                                    <w:bCs/>
                                    <w:color w:val="000000" w:themeColor="text1"/>
                                    <w:kern w:val="24"/>
                                    <w:sz w:val="21"/>
                                    <w:szCs w:val="21"/>
                                    <w14:textFill>
                                      <w14:solidFill>
                                        <w14:schemeClr w14:val="tx1"/>
                                      </w14:solidFill>
                                    </w14:textFill>
                                  </w:rPr>
                                  <w:t>编制专项资金用款计划，按规定报区级财政部门审批后，据以办理专项资金支付。</w:t>
                                </w:r>
                              </w:p>
                            </w:txbxContent>
                          </wps:txbx>
                          <wps:bodyPr wrap="square" rtlCol="0">
                            <a:noAutofit/>
                          </wps:bodyPr>
                        </wps:wsp>
                      </wpg:grpSp>
                      <wpg:grpSp>
                        <wpg:cNvPr id="57" name="组合 36"/>
                        <wpg:cNvGrpSpPr/>
                        <wpg:grpSpPr>
                          <a:xfrm>
                            <a:off x="1054" y="2554"/>
                            <a:ext cx="6068" cy="3151"/>
                            <a:chOff x="1054" y="2554"/>
                            <a:chExt cx="6068" cy="3151"/>
                          </a:xfrm>
                        </wpg:grpSpPr>
                        <wpg:grpSp>
                          <wpg:cNvPr id="58" name="组合 21"/>
                          <wpg:cNvGrpSpPr/>
                          <wpg:grpSpPr>
                            <a:xfrm>
                              <a:off x="1054" y="3192"/>
                              <a:ext cx="2832" cy="2495"/>
                              <a:chOff x="9729" y="861"/>
                              <a:chExt cx="5382" cy="620"/>
                            </a:xfrm>
                          </wpg:grpSpPr>
                          <wps:wsp>
                            <wps:cNvPr id="17" name="圆角矩形 17"/>
                            <wps:cNvSpPr/>
                            <wps:spPr>
                              <a:xfrm>
                                <a:off x="9729" y="861"/>
                                <a:ext cx="5381" cy="620"/>
                              </a:xfrm>
                              <a:prstGeom prst="roundRect">
                                <a:avLst/>
                              </a:prstGeom>
                              <a:ln w="12700" cmpd="sng">
                                <a:solidFill>
                                  <a:schemeClr val="accent1">
                                    <a:shade val="50000"/>
                                  </a:schemeClr>
                                </a:solidFill>
                                <a:prstDash val="solid"/>
                              </a:ln>
                            </wps:spPr>
                            <wps:style>
                              <a:lnRef idx="2">
                                <a:schemeClr val="accent3"/>
                              </a:lnRef>
                              <a:fillRef idx="0">
                                <a:srgbClr val="FFFFFF"/>
                              </a:fillRef>
                              <a:effectRef idx="0">
                                <a:srgbClr val="FFFFFF"/>
                              </a:effectRef>
                              <a:fontRef idx="minor">
                                <a:schemeClr val="dk1"/>
                              </a:fontRef>
                            </wps:style>
                            <wps:bodyPr/>
                          </wps:wsp>
                          <wps:wsp>
                            <wps:cNvPr id="59" name="文本框 5"/>
                            <wps:cNvSpPr txBox="1"/>
                            <wps:spPr>
                              <a:xfrm>
                                <a:off x="9729" y="1076"/>
                                <a:ext cx="5382" cy="183"/>
                              </a:xfrm>
                              <a:prstGeom prst="rect">
                                <a:avLst/>
                              </a:prstGeom>
                              <a:noFill/>
                            </wps:spPr>
                            <wps:txbx>
                              <w:txbxContent>
                                <w:p>
                                  <w:pPr>
                                    <w:pStyle w:val="17"/>
                                    <w:kinsoku/>
                                    <w:ind w:left="0"/>
                                    <w:jc w:val="center"/>
                                    <w:rPr>
                                      <w:b/>
                                      <w:bCs/>
                                      <w:sz w:val="21"/>
                                      <w:szCs w:val="21"/>
                                    </w:rPr>
                                  </w:pPr>
                                  <w:r>
                                    <w:rPr>
                                      <w:rFonts w:ascii="仿宋" w:eastAsia="仿宋" w:hAnsiTheme="minorBidi"/>
                                      <w:b/>
                                      <w:bCs/>
                                      <w:color w:val="000000" w:themeColor="text1"/>
                                      <w:kern w:val="24"/>
                                      <w:sz w:val="21"/>
                                      <w:szCs w:val="21"/>
                                      <w14:textFill>
                                        <w14:solidFill>
                                          <w14:schemeClr w14:val="tx1"/>
                                        </w14:solidFill>
                                      </w14:textFill>
                                    </w:rPr>
                                    <w:t>专项资金纳入预算管理</w:t>
                                  </w:r>
                                </w:p>
                              </w:txbxContent>
                            </wps:txbx>
                            <wps:bodyPr wrap="square" rtlCol="0">
                              <a:noAutofit/>
                            </wps:bodyPr>
                          </wps:wsp>
                        </wpg:grpSp>
                        <wpg:grpSp>
                          <wpg:cNvPr id="60" name="组合 22"/>
                          <wpg:cNvGrpSpPr/>
                          <wpg:grpSpPr>
                            <a:xfrm>
                              <a:off x="4272" y="3211"/>
                              <a:ext cx="2851" cy="2495"/>
                              <a:chOff x="9730" y="2118"/>
                              <a:chExt cx="5418" cy="1630"/>
                            </a:xfrm>
                          </wpg:grpSpPr>
                          <wps:wsp>
                            <wps:cNvPr id="33" name="圆角矩形 33"/>
                            <wps:cNvSpPr/>
                            <wps:spPr>
                              <a:xfrm>
                                <a:off x="9730" y="2118"/>
                                <a:ext cx="5381" cy="1630"/>
                              </a:xfrm>
                              <a:prstGeom prst="roundRect">
                                <a:avLst/>
                              </a:prstGeom>
                              <a:ln w="12700" cmpd="sng">
                                <a:solidFill>
                                  <a:schemeClr val="accent1">
                                    <a:shade val="50000"/>
                                  </a:schemeClr>
                                </a:solidFill>
                                <a:prstDash val="solid"/>
                              </a:ln>
                            </wps:spPr>
                            <wps:style>
                              <a:lnRef idx="2">
                                <a:schemeClr val="accent3"/>
                              </a:lnRef>
                              <a:fillRef idx="0">
                                <a:srgbClr val="FFFFFF"/>
                              </a:fillRef>
                              <a:effectRef idx="0">
                                <a:srgbClr val="FFFFFF"/>
                              </a:effectRef>
                              <a:fontRef idx="minor">
                                <a:schemeClr val="dk1"/>
                              </a:fontRef>
                            </wps:style>
                            <wps:bodyPr/>
                          </wps:wsp>
                          <wps:wsp>
                            <wps:cNvPr id="61" name="文本框 6"/>
                            <wps:cNvSpPr txBox="1"/>
                            <wps:spPr>
                              <a:xfrm>
                                <a:off x="9730" y="2160"/>
                                <a:ext cx="5418" cy="1547"/>
                              </a:xfrm>
                              <a:prstGeom prst="rect">
                                <a:avLst/>
                              </a:prstGeom>
                              <a:noFill/>
                            </wps:spPr>
                            <wps:txbx>
                              <w:txbxContent>
                                <w:p>
                                  <w:pPr>
                                    <w:pStyle w:val="17"/>
                                    <w:kinsoku/>
                                    <w:ind w:left="0"/>
                                    <w:jc w:val="left"/>
                                    <w:rPr>
                                      <w:b/>
                                      <w:bCs/>
                                      <w:sz w:val="21"/>
                                      <w:szCs w:val="21"/>
                                    </w:rPr>
                                  </w:pPr>
                                  <w:r>
                                    <w:rPr>
                                      <w:rFonts w:ascii="仿宋" w:eastAsia="仿宋" w:hAnsiTheme="minorBidi"/>
                                      <w:b/>
                                      <w:bCs/>
                                      <w:color w:val="000000" w:themeColor="text1"/>
                                      <w:kern w:val="24"/>
                                      <w:sz w:val="21"/>
                                      <w:szCs w:val="21"/>
                                      <w14:textFill>
                                        <w14:solidFill>
                                          <w14:schemeClr w14:val="tx1"/>
                                        </w14:solidFill>
                                      </w14:textFill>
                                    </w:rPr>
                                    <w:t>区级财政预算草案经区人代会审议通过后，实施基本公共文化服务的文化行政管理部门和单位结合工作实际，按区级财政性经费审批程序办理资金追加手续。</w:t>
                                  </w:r>
                                </w:p>
                              </w:txbxContent>
                            </wps:txbx>
                            <wps:bodyPr wrap="square" rtlCol="0">
                              <a:noAutofit/>
                            </wps:bodyPr>
                          </wps:wsp>
                        </wpg:grpSp>
                        <wps:wsp>
                          <wps:cNvPr id="85" name="上弧形箭头 33"/>
                          <wps:cNvSpPr/>
                          <wps:spPr>
                            <a:xfrm>
                              <a:off x="2353" y="2554"/>
                              <a:ext cx="3427" cy="619"/>
                            </a:xfrm>
                            <a:prstGeom prst="curvedDownArrow">
                              <a:avLst/>
                            </a:prstGeom>
                          </wps:spPr>
                          <wps:style>
                            <a:lnRef idx="3">
                              <a:schemeClr val="accent1"/>
                            </a:lnRef>
                            <a:fillRef idx="0">
                              <a:srgbClr val="FFFFFF"/>
                            </a:fillRef>
                            <a:effectRef idx="0">
                              <a:srgbClr val="FFFFFF"/>
                            </a:effectRef>
                            <a:fontRef idx="minor">
                              <a:schemeClr val="dk1"/>
                            </a:fontRef>
                          </wps:style>
                          <wps:bodyPr rtlCol="0" anchor="ctr"/>
                        </wps:wsp>
                      </wpg:grpSp>
                      <wps:wsp>
                        <wps:cNvPr id="86" name="上弧形箭头 34"/>
                        <wps:cNvSpPr/>
                        <wps:spPr>
                          <a:xfrm>
                            <a:off x="8802" y="2592"/>
                            <a:ext cx="3427" cy="619"/>
                          </a:xfrm>
                          <a:prstGeom prst="curvedDownArrow">
                            <a:avLst/>
                          </a:prstGeom>
                        </wps:spPr>
                        <wps:style>
                          <a:lnRef idx="3">
                            <a:schemeClr val="accent1"/>
                          </a:lnRef>
                          <a:fillRef idx="0">
                            <a:srgbClr val="FFFFFF"/>
                          </a:fillRef>
                          <a:effectRef idx="0">
                            <a:srgbClr val="FFFFFF"/>
                          </a:effectRef>
                          <a:fontRef idx="minor">
                            <a:schemeClr val="dk1"/>
                          </a:fontRef>
                        </wps:style>
                        <wps:bodyPr rtlCol="0" anchor="ctr"/>
                      </wps:wsp>
                      <wps:wsp>
                        <wps:cNvPr id="87" name="下弧形箭头 35"/>
                        <wps:cNvSpPr/>
                        <wps:spPr>
                          <a:xfrm>
                            <a:off x="5523" y="5709"/>
                            <a:ext cx="3412" cy="528"/>
                          </a:xfrm>
                          <a:prstGeom prst="curvedUpArrow">
                            <a:avLst/>
                          </a:prstGeom>
                        </wps:spPr>
                        <wps:style>
                          <a:lnRef idx="3">
                            <a:schemeClr val="accent1"/>
                          </a:lnRef>
                          <a:fillRef idx="0">
                            <a:srgbClr val="FFFFFF"/>
                          </a:fillRef>
                          <a:effectRef idx="0">
                            <a:srgbClr val="FFFFFF"/>
                          </a:effectRef>
                          <a:fontRef idx="minor">
                            <a:schemeClr val="dk1"/>
                          </a:fontRef>
                        </wps:style>
                        <wps:bodyPr rtlCol="0" anchor="ctr"/>
                      </wps:wsp>
                    </wpg:wgp>
                  </a:graphicData>
                </a:graphic>
              </wp:anchor>
            </w:drawing>
          </mc:Choice>
          <mc:Fallback>
            <w:pict>
              <v:group id="组合 37" o:spid="_x0000_s1026" o:spt="203" style="position:absolute;left:0pt;margin-left:-35pt;margin-top:10pt;height:208.25pt;width:497.1pt;z-index:251664384;mso-width-relative:page;mso-height-relative:page;" coordorigin="1054,2554" coordsize="12525,3683" o:gfxdata="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">
                <o:lock v:ext="edit" aspectratio="f"/>
                <v:group id="组合 23" o:spid="_x0000_s1026" o:spt="203" style="position:absolute;left:7510;top:3211;height:2495;width:2851;" coordorigin="9730,2118" coordsize="5418,1630" o:gfxdata="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ALKI1OvgAAANsAAAAPAAAAAAAAAAEA&#10;IAAAADgAAABkcnMvZG93bnJldi54bWxQSwECFAAUAAAACACHTuJAMy8FnjsAAAA5AAAAFQAAAAAA&#10;AAABACAAAAAjAQAAZHJzL2dyb3Vwc2hhcGV4bWwueG1sUEsFBgAAAAAGAAYAYAEAAOADAAAAAA==&#10;">
                  <o:lock v:ext="edit" aspectratio="f"/>
                  <v:roundrect id="圆角矩形 33" o:spid="_x0000_s1026" o:spt="2" style="position:absolute;left:9730;top:2118;height:1630;width:5381;" filled="f" stroked="t" coordsize="21600,21600" arcsize="0.166666666666667" o:gfxdata="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g5TQa+AAAA2wAAAA8AAAAAAAAAAQAgAAAAOAAAAGRycy9kb3ducmV2&#10;LnhtbFBLAQIUABQAAAAIAIdO4kAzLwWeOwAAADkAAAAQAAAAAAAAAAEAIAAAACMBAABkcnMvc2hh&#10;cGV4bWwueG1sUEsFBgAAAAAGAAYAWwEAAM0DAAAAAA==&#10;">
                    <v:fill on="f" focussize="0,0"/>
                    <v:stroke weight="1pt" color="#41719C [3204]" miterlimit="8" joinstyle="miter"/>
                    <v:imagedata o:title=""/>
                    <o:lock v:ext="edit" aspectratio="f"/>
                  </v:roundrect>
                  <v:shape id="文本框 25" o:spid="_x0000_s1026" o:spt="202" type="#_x0000_t202" style="position:absolute;left:9771;top:2218;height:1412;width:5377;" filled="f" stroked="f" coordsize="21600,21600" o:gfxdata="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QuhQb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17"/>
                            <w:kinsoku/>
                            <w:ind w:left="0"/>
                            <w:jc w:val="left"/>
                            <w:rPr>
                              <w:b/>
                              <w:bCs/>
                              <w:sz w:val="21"/>
                              <w:szCs w:val="21"/>
                            </w:rPr>
                          </w:pPr>
                          <w:r>
                            <w:rPr>
                              <w:rFonts w:ascii="仿宋" w:eastAsia="仿宋" w:hAnsiTheme="minorBidi"/>
                              <w:b/>
                              <w:bCs/>
                              <w:color w:val="000000" w:themeColor="text1"/>
                              <w:kern w:val="24"/>
                              <w:sz w:val="21"/>
                              <w:szCs w:val="21"/>
                              <w14:textFill>
                                <w14:solidFill>
                                  <w14:schemeClr w14:val="tx1"/>
                                </w14:solidFill>
                              </w14:textFill>
                            </w:rPr>
                            <w:t>专项资金支付严格按照预算管理及国库集中支付制度等有关规定执行，涉及工程招投标和政府采购的，严格按照国家有关法律、法规组织实施。</w:t>
                          </w:r>
                        </w:p>
                      </w:txbxContent>
                    </v:textbox>
                  </v:shape>
                </v:group>
                <v:group id="组合 26" o:spid="_x0000_s1026" o:spt="203" style="position:absolute;left:10748;top:3211;height:2495;width:2831;" coordorigin="9730,2118" coordsize="5381,1630" o:gfxdata="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G18u1r8AAADbAAAADwAAAAAAAAAB&#10;ACAAAAA4AAAAZHJzL2Rvd25yZXYueG1sUEsBAhQAFAAAAAgAh07iQDMvBZ47AAAAOQAAABUAAAAA&#10;AAAAAQAgAAAAJAEAAGRycy9ncm91cHNoYXBleG1sLnhtbFBLBQYAAAAABgAGAGABAADhAwAAAAA=&#10;">
                  <o:lock v:ext="edit" aspectratio="f"/>
                  <v:roundrect id="圆角矩形 33" o:spid="_x0000_s1026" o:spt="2" style="position:absolute;left:9730;top:2118;height:1630;width:5381;" filled="f" stroked="t" coordsize="21600,21600" arcsize="0.166666666666667" o:gfxdata="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fQ1XK+AAAA2wAAAA8AAAAAAAAAAQAgAAAAOAAAAGRycy9kb3ducmV2&#10;LnhtbFBLAQIUABQAAAAIAIdO4kAzLwWeOwAAADkAAAAQAAAAAAAAAAEAIAAAACMBAABkcnMvc2hh&#10;cGV4bWwueG1sUEsFBgAAAAAGAAYAWwEAAM0DAAAAAA==&#10;">
                    <v:fill on="f" focussize="0,0"/>
                    <v:stroke weight="1pt" color="#41719C [3204]" miterlimit="8" joinstyle="miter"/>
                    <v:imagedata o:title=""/>
                    <o:lock v:ext="edit" aspectratio="f"/>
                  </v:roundrect>
                  <v:shape id="文本框 28" o:spid="_x0000_s1026" o:spt="202" type="#_x0000_t202" style="position:absolute;left:9950;top:2515;height:962;width:5160;" filled="f" stroked="f" coordsize="21600,21600" o:gfxdata="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XwC2b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17"/>
                            <w:kinsoku/>
                            <w:ind w:left="0"/>
                            <w:jc w:val="left"/>
                            <w:rPr>
                              <w:b/>
                              <w:bCs/>
                              <w:sz w:val="21"/>
                              <w:szCs w:val="21"/>
                            </w:rPr>
                          </w:pPr>
                          <w:r>
                            <w:rPr>
                              <w:rFonts w:ascii="仿宋" w:eastAsia="仿宋" w:hAnsiTheme="minorBidi"/>
                              <w:b/>
                              <w:bCs/>
                              <w:color w:val="000000" w:themeColor="text1"/>
                              <w:kern w:val="24"/>
                              <w:sz w:val="21"/>
                              <w:szCs w:val="21"/>
                              <w14:textFill>
                                <w14:solidFill>
                                  <w14:schemeClr w14:val="tx1"/>
                                </w14:solidFill>
                              </w14:textFill>
                            </w:rPr>
                            <w:t>编制专项资金用款计划，按规定报区级财政部门审批后，据以办理专项资金支付。</w:t>
                          </w:r>
                        </w:p>
                      </w:txbxContent>
                    </v:textbox>
                  </v:shape>
                </v:group>
                <v:group id="组合 36" o:spid="_x0000_s1026" o:spt="203" style="position:absolute;left:1054;top:2554;height:3151;width:6068;" coordorigin="1054,2554" coordsize="6068,3151" o:gfxdata="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OuNsKG9AAAA2wAAAA8AAAAAAAAAAQAg&#10;AAAAOAAAAGRycy9kb3ducmV2LnhtbFBLAQIUABQAAAAIAIdO4kAzLwWeOwAAADkAAAAVAAAAAAAA&#10;AAEAIAAAACIBAABkcnMvZ3JvdXBzaGFwZXhtbC54bWxQSwUGAAAAAAYABgBgAQAA3wMAAAAA&#10;">
                  <o:lock v:ext="edit" aspectratio="f"/>
                  <v:group id="组合 21" o:spid="_x0000_s1026" o:spt="203" style="position:absolute;left:1054;top:3192;height:2495;width:2832;" coordorigin="9729,861" coordsize="5382,620" o:gfxdata="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">
                    <o:lock v:ext="edit" aspectratio="f"/>
                    <v:roundrect id="_x0000_s1026" o:spid="_x0000_s1026" o:spt="2" style="position:absolute;left:9729;top:861;height:620;width:5381;" filled="f" stroked="t" coordsize="21600,21600" arcsize="0.166666666666667" o:gfxdata="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JFdevAAAANsAAAAPAAAAAAAAAAEAIAAAADgAAABkcnMvZG93bnJldi54&#10;bWxQSwECFAAUAAAACACHTuJAMy8FnjsAAAA5AAAAEAAAAAAAAAABACAAAAAhAQAAZHJzL3NoYXBl&#10;eG1sLnhtbFBLBQYAAAAABgAGAFsBAADLAwAAAAA=&#10;">
                      <v:fill on="f" focussize="0,0"/>
                      <v:stroke weight="1pt" color="#41719C [3204]" miterlimit="8" joinstyle="miter"/>
                      <v:imagedata o:title=""/>
                      <o:lock v:ext="edit" aspectratio="f"/>
                    </v:roundrect>
                    <v:shape id="文本框 5" o:spid="_x0000_s1026" o:spt="202" type="#_x0000_t202" style="position:absolute;left:9729;top:1076;height:183;width:5382;" filled="f" stroked="f" coordsize="21600,21600" o:gfxdata="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ROOWq7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17"/>
                              <w:kinsoku/>
                              <w:ind w:left="0"/>
                              <w:jc w:val="center"/>
                              <w:rPr>
                                <w:b/>
                                <w:bCs/>
                                <w:sz w:val="21"/>
                                <w:szCs w:val="21"/>
                              </w:rPr>
                            </w:pPr>
                            <w:r>
                              <w:rPr>
                                <w:rFonts w:ascii="仿宋" w:eastAsia="仿宋" w:hAnsiTheme="minorBidi"/>
                                <w:b/>
                                <w:bCs/>
                                <w:color w:val="000000" w:themeColor="text1"/>
                                <w:kern w:val="24"/>
                                <w:sz w:val="21"/>
                                <w:szCs w:val="21"/>
                                <w14:textFill>
                                  <w14:solidFill>
                                    <w14:schemeClr w14:val="tx1"/>
                                  </w14:solidFill>
                                </w14:textFill>
                              </w:rPr>
                              <w:t>专项资金纳入预算管理</w:t>
                            </w:r>
                          </w:p>
                        </w:txbxContent>
                      </v:textbox>
                    </v:shape>
                  </v:group>
                  <v:group id="组合 22" o:spid="_x0000_s1026" o:spt="203" style="position:absolute;left:4272;top:3211;height:2495;width:2851;" coordorigin="9730,2118" coordsize="5418,1630" o:gfxdata="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">
                    <o:lock v:ext="edit" aspectratio="f"/>
                    <v:roundrect id="_x0000_s1026" o:spid="_x0000_s1026" o:spt="2" style="position:absolute;left:9730;top:2118;height:1630;width:5381;" filled="f" stroked="t" coordsize="21600,21600" arcsize="0.166666666666667" o:gfxdata="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qqDT2+AAAA2wAAAA8AAAAAAAAAAQAgAAAAOAAAAGRycy9kb3ducmV2&#10;LnhtbFBLAQIUABQAAAAIAIdO4kAzLwWeOwAAADkAAAAQAAAAAAAAAAEAIAAAACMBAABkcnMvc2hh&#10;cGV4bWwueG1sUEsFBgAAAAAGAAYAWwEAAM0DAAAAAA==&#10;">
                      <v:fill on="f" focussize="0,0"/>
                      <v:stroke weight="1pt" color="#41719C [3204]" miterlimit="8" joinstyle="miter"/>
                      <v:imagedata o:title=""/>
                      <o:lock v:ext="edit" aspectratio="f"/>
                    </v:roundrect>
                    <v:shape id="文本框 6" o:spid="_x0000_s1026" o:spt="202" type="#_x0000_t202" style="position:absolute;left:9730;top:2160;height:1547;width:5418;" filled="f" stroked="f" coordsize="21600,21600" o:gfxdata="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dPlQEL0AAADbAAAADwAAAAAAAAABACAAAAA4AAAAZHJzL2Rvd25yZXYu&#10;eG1sUEsBAhQAFAAAAAgAh07iQDMvBZ47AAAAOQAAABAAAAAAAAAAAQAgAAAAIgEAAGRycy9zaGFw&#10;ZXhtbC54bWxQSwUGAAAAAAYABgBbAQAAzAMAAAAA&#10;">
                      <v:fill on="f" focussize="0,0"/>
                      <v:stroke on="f"/>
                      <v:imagedata o:title=""/>
                      <o:lock v:ext="edit" aspectratio="f"/>
                      <v:textbox>
                        <w:txbxContent>
                          <w:p>
                            <w:pPr>
                              <w:pStyle w:val="17"/>
                              <w:kinsoku/>
                              <w:ind w:left="0"/>
                              <w:jc w:val="left"/>
                              <w:rPr>
                                <w:b/>
                                <w:bCs/>
                                <w:sz w:val="21"/>
                                <w:szCs w:val="21"/>
                              </w:rPr>
                            </w:pPr>
                            <w:r>
                              <w:rPr>
                                <w:rFonts w:ascii="仿宋" w:eastAsia="仿宋" w:hAnsiTheme="minorBidi"/>
                                <w:b/>
                                <w:bCs/>
                                <w:color w:val="000000" w:themeColor="text1"/>
                                <w:kern w:val="24"/>
                                <w:sz w:val="21"/>
                                <w:szCs w:val="21"/>
                                <w14:textFill>
                                  <w14:solidFill>
                                    <w14:schemeClr w14:val="tx1"/>
                                  </w14:solidFill>
                                </w14:textFill>
                              </w:rPr>
                              <w:t>区级财政预算草案经区人代会审议通过后，实施基本公共文化服务的文化行政管理部门和单位结合工作实际，按区级财政性经费审批程序办理资金追加手续。</w:t>
                            </w:r>
                          </w:p>
                        </w:txbxContent>
                      </v:textbox>
                    </v:shape>
                  </v:group>
                  <v:shape id="上弧形箭头 33" o:spid="_x0000_s1026" o:spt="105" type="#_x0000_t105" style="position:absolute;left:2353;top:2554;height:619;width:3427;v-text-anchor:middle;" filled="f" stroked="t" coordsize="21600,21600" o:gfxdata="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TBNCwvAAAANsAAAAPAAAAAAAAAAEAIAAAADgAAABkcnMvZG93bnJldi54&#10;bWxQSwECFAAUAAAACACHTuJAMy8FnjsAAAA5AAAAEAAAAAAAAAABACAAAAAhAQAAZHJzL3NoYXBl&#10;eG1sLnhtbFBLBQYAAAAABgAGAFsBAADLAwAAAAA=&#10;" adj="19649,21112,16200">
                    <v:fill on="f" focussize="0,0"/>
                    <v:stroke weight="1.5pt" color="#5B9BD5 [3204]" miterlimit="8" joinstyle="miter"/>
                    <v:imagedata o:title=""/>
                    <o:lock v:ext="edit" aspectratio="f"/>
                  </v:shape>
                </v:group>
                <v:shape id="上弧形箭头 34" o:spid="_x0000_s1026" o:spt="105" type="#_x0000_t105" style="position:absolute;left:8802;top:2592;height:619;width:3427;v-text-anchor:middle;" filled="f" stroked="t" coordsize="21600,21600" o:gfxdata="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j1k7HvAAAANsAAAAPAAAAAAAAAAEAIAAAADgAAABkcnMvZG93bnJldi54&#10;bWxQSwECFAAUAAAACACHTuJAMy8FnjsAAAA5AAAAEAAAAAAAAAABACAAAAAhAQAAZHJzL3NoYXBl&#10;eG1sLnhtbFBLBQYAAAAABgAGAFsBAADLAwAAAAA=&#10;" adj="19649,21112,16200">
                  <v:fill on="f" focussize="0,0"/>
                  <v:stroke weight="1.5pt" color="#5B9BD5 [3204]" miterlimit="8" joinstyle="miter"/>
                  <v:imagedata o:title=""/>
                  <o:lock v:ext="edit" aspectratio="f"/>
                </v:shape>
                <v:shape id="下弧形箭头 35" o:spid="_x0000_s1026" o:spt="104" type="#_x0000_t104" style="position:absolute;left:5523;top:5709;height:528;width:3412;v-text-anchor:middle;" filled="f" stroked="t" coordsize="21600,21600" o:gfxdata="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1omWm7AAAA2wAAAA8AAAAAAAAAAQAgAAAAOAAAAGRycy9kb3ducmV2Lnht&#10;bFBLAQIUABQAAAAIAIdO4kAzLwWeOwAAADkAAAAQAAAAAAAAAAEAIAAAACABAABkcnMvc2hhcGV4&#10;bWwueG1sUEsFBgAAAAAGAAYAWwEAAMoDAAAAAA==&#10;" adj="19929,21182,5400">
                  <v:fill on="f" focussize="0,0"/>
                  <v:stroke weight="1.5pt" color="#5B9BD5 [3204]" miterlimit="8" joinstyle="miter"/>
                  <v:imagedata o:title=""/>
                  <o:lock v:ext="edit" aspectratio="f"/>
                </v:shape>
              </v:group>
            </w:pict>
          </mc:Fallback>
        </mc:AlternateContent>
      </w:r>
      <w:r>
        <w:rPr>
          <w:rFonts w:hint="eastAsia" w:ascii="仿宋_GB2312" w:hAnsi="仿宋_GB2312" w:eastAsia="仿宋_GB2312" w:cs="仿宋_GB2312"/>
          <w:color w:val="auto"/>
          <w:sz w:val="32"/>
          <w:szCs w:val="32"/>
          <w:lang w:val="en-US" w:eastAsia="zh-CN"/>
        </w:rPr>
        <w:t xml:space="preserve">          </w:t>
      </w:r>
    </w:p>
    <w:p>
      <w:pPr>
        <w:pStyle w:val="18"/>
        <w:ind w:left="0" w:leftChars="0" w:firstLine="640" w:firstLineChars="200"/>
        <w:rPr>
          <w:rFonts w:hint="default" w:ascii="仿宋_GB2312" w:hAnsi="仿宋_GB2312" w:eastAsia="仿宋_GB2312" w:cs="仿宋_GB2312"/>
          <w:color w:val="auto"/>
          <w:sz w:val="32"/>
          <w:szCs w:val="32"/>
          <w:lang w:val="en-US" w:eastAsia="zh-CN"/>
        </w:rPr>
      </w:pPr>
    </w:p>
    <w:p>
      <w:pPr>
        <w:pStyle w:val="18"/>
        <w:ind w:left="0" w:leftChars="0" w:firstLine="640" w:firstLineChars="200"/>
        <w:rPr>
          <w:rFonts w:hint="default" w:ascii="仿宋_GB2312" w:hAnsi="仿宋_GB2312" w:eastAsia="仿宋_GB2312" w:cs="仿宋_GB2312"/>
          <w:color w:val="auto"/>
          <w:sz w:val="32"/>
          <w:szCs w:val="32"/>
          <w:lang w:val="en-US" w:eastAsia="zh-CN"/>
        </w:rPr>
      </w:pPr>
    </w:p>
    <w:p>
      <w:pPr>
        <w:pStyle w:val="18"/>
        <w:ind w:left="0" w:leftChars="0" w:firstLine="640" w:firstLineChars="200"/>
        <w:rPr>
          <w:rFonts w:hint="default" w:ascii="仿宋_GB2312" w:hAnsi="仿宋_GB2312" w:eastAsia="仿宋_GB2312" w:cs="仿宋_GB2312"/>
          <w:color w:val="auto"/>
          <w:sz w:val="32"/>
          <w:szCs w:val="32"/>
          <w:lang w:val="en-US" w:eastAsia="zh-CN"/>
        </w:rPr>
      </w:pPr>
    </w:p>
    <w:p>
      <w:pPr>
        <w:pStyle w:val="18"/>
        <w:ind w:left="0" w:leftChars="0" w:firstLine="640" w:firstLineChars="200"/>
        <w:rPr>
          <w:rFonts w:hint="default" w:ascii="仿宋_GB2312" w:hAnsi="仿宋_GB2312" w:eastAsia="仿宋_GB2312" w:cs="仿宋_GB2312"/>
          <w:color w:val="auto"/>
          <w:sz w:val="32"/>
          <w:szCs w:val="32"/>
          <w:lang w:val="en-US" w:eastAsia="zh-CN"/>
        </w:rPr>
      </w:pPr>
    </w:p>
    <w:p>
      <w:pPr>
        <w:keepNext w:val="0"/>
        <w:pageBreakBefore w:val="0"/>
        <w:kinsoku/>
        <w:topLinePunct w:val="0"/>
        <w:bidi w:val="0"/>
        <w:spacing w:line="240" w:lineRule="auto"/>
        <w:ind w:leftChars="0" w:firstLine="642" w:firstLineChars="200"/>
        <w:outlineLvl w:val="9"/>
        <w:rPr>
          <w:rFonts w:hint="eastAsia" w:ascii="楷体" w:hAnsi="楷体" w:eastAsia="楷体" w:cs="楷体"/>
          <w:b/>
          <w:bCs/>
          <w:color w:val="FF0000"/>
          <w:sz w:val="32"/>
          <w:szCs w:val="32"/>
          <w:lang w:val="en-US" w:eastAsia="zh-CN"/>
        </w:rPr>
      </w:pPr>
    </w:p>
    <w:p>
      <w:pPr>
        <w:pStyle w:val="18"/>
        <w:ind w:left="0" w:leftChars="0" w:firstLine="0" w:firstLineChars="0"/>
        <w:rPr>
          <w:rFonts w:hint="eastAsia"/>
          <w:lang w:val="en-US" w:eastAsia="zh-CN"/>
        </w:rPr>
      </w:pPr>
    </w:p>
    <w:p>
      <w:pPr>
        <w:keepNext w:val="0"/>
        <w:pageBreakBefore w:val="0"/>
        <w:kinsoku/>
        <w:topLinePunct w:val="0"/>
        <w:bidi w:val="0"/>
        <w:spacing w:line="240" w:lineRule="auto"/>
        <w:ind w:firstLine="642" w:firstLineChars="200"/>
        <w:outlineLvl w:val="1"/>
        <w:rPr>
          <w:rFonts w:hint="default" w:ascii="楷体" w:hAnsi="楷体" w:eastAsia="楷体" w:cs="楷体"/>
          <w:b/>
          <w:bCs/>
          <w:color w:val="auto"/>
          <w:sz w:val="32"/>
          <w:szCs w:val="32"/>
          <w:lang w:val="en-US" w:eastAsia="zh-CN"/>
        </w:rPr>
      </w:pPr>
      <w:bookmarkStart w:id="17" w:name="_Toc6608"/>
      <w:r>
        <w:rPr>
          <w:rFonts w:hint="eastAsia" w:ascii="楷体" w:hAnsi="楷体" w:eastAsia="楷体" w:cs="楷体"/>
          <w:b/>
          <w:bCs/>
          <w:color w:val="auto"/>
          <w:sz w:val="32"/>
          <w:szCs w:val="32"/>
          <w:lang w:val="en-US" w:eastAsia="zh-CN"/>
        </w:rPr>
        <w:t>（四）政策绩效</w:t>
      </w:r>
      <w:bookmarkEnd w:id="17"/>
    </w:p>
    <w:p>
      <w:pPr>
        <w:keepNext w:val="0"/>
        <w:pageBreakBefore w:val="0"/>
        <w:kinsoku/>
        <w:topLinePunct w:val="0"/>
        <w:bidi w:val="0"/>
        <w:spacing w:line="240" w:lineRule="auto"/>
        <w:ind w:firstLine="640" w:firstLineChars="200"/>
        <w:jc w:val="both"/>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1.配合市级完成“国家公共文化服务体系示范区”</w:t>
      </w:r>
      <w:r>
        <w:rPr>
          <w:rFonts w:hint="eastAsia" w:ascii="仿宋_GB2312" w:hAnsi="仿宋_GB2312" w:eastAsia="仿宋_GB2312" w:cs="仿宋_GB2312"/>
          <w:color w:val="auto"/>
          <w:kern w:val="2"/>
          <w:sz w:val="32"/>
          <w:szCs w:val="32"/>
          <w:highlight w:val="none"/>
          <w:lang w:val="en-US" w:eastAsia="zh-CN" w:bidi="ar-SA"/>
        </w:rPr>
        <w:t>创建</w:t>
      </w:r>
      <w:r>
        <w:rPr>
          <w:rFonts w:hint="eastAsia" w:ascii="仿宋_GB2312" w:hAnsi="仿宋_GB2312" w:eastAsia="仿宋_GB2312" w:cs="仿宋_GB2312"/>
          <w:color w:val="auto"/>
          <w:kern w:val="2"/>
          <w:sz w:val="32"/>
          <w:szCs w:val="32"/>
          <w:lang w:val="en-US" w:eastAsia="zh-CN" w:bidi="ar-SA"/>
        </w:rPr>
        <w:t>（20年街道文化站免费开放补助）；</w:t>
      </w:r>
    </w:p>
    <w:p>
      <w:pPr>
        <w:keepNext w:val="0"/>
        <w:pageBreakBefore w:val="0"/>
        <w:kinsoku/>
        <w:topLinePunct w:val="0"/>
        <w:bidi w:val="0"/>
        <w:spacing w:line="240" w:lineRule="auto"/>
        <w:ind w:firstLine="640" w:firstLineChars="200"/>
        <w:jc w:val="both"/>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2.保障丰泽区图书馆顺利开馆，2022年共接待读者18.9万人次，接待读者占丰泽区常住居民人口约26.2%(按照丰泽区常住人口72万人进行计算）；</w:t>
      </w:r>
    </w:p>
    <w:p>
      <w:pPr>
        <w:keepNext w:val="0"/>
        <w:pageBreakBefore w:val="0"/>
        <w:kinsoku/>
        <w:topLinePunct w:val="0"/>
        <w:bidi w:val="0"/>
        <w:spacing w:line="240" w:lineRule="auto"/>
        <w:ind w:firstLine="640" w:firstLineChars="200"/>
        <w:jc w:val="both"/>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图书馆获得：2020年阅读推广工作“先进单位”荣誉证书、2021年度“新媒体运营”先进单位、2022年度阅读推广优秀个人（金昱忻、谢明璇）【丰泽区图书馆通过充分利用公共文化服务体系建设专项资金，总分馆制联合各分馆、百姓书房举办“读书传递力量·红色经典阅读”暨4.23世界读书日“阅读马拉松”活动、开展“我的入党故事”党员专题访谈录制、21年“书香丰泽”全民阅读月、22年图书馆元旦春节主题系列活动，做好阅读推广】。</w:t>
      </w:r>
    </w:p>
    <w:p>
      <w:pPr>
        <w:keepNext w:val="0"/>
        <w:pageBreakBefore w:val="0"/>
        <w:kinsoku/>
        <w:topLinePunct w:val="0"/>
        <w:bidi w:val="0"/>
        <w:spacing w:line="240" w:lineRule="auto"/>
        <w:jc w:val="both"/>
        <w:outlineLvl w:val="9"/>
        <w:rPr>
          <w:rFonts w:hint="eastAsia" w:ascii="仿宋_GB2312" w:hAnsi="仿宋_GB2312" w:eastAsia="仿宋_GB2312" w:cs="仿宋_GB2312"/>
          <w:color w:val="auto"/>
          <w:kern w:val="2"/>
          <w:sz w:val="16"/>
          <w:szCs w:val="16"/>
          <w:lang w:val="en-US" w:eastAsia="zh-CN" w:bidi="ar-SA"/>
        </w:rPr>
      </w:pPr>
    </w:p>
    <w:p>
      <w:pPr>
        <w:keepNext w:val="0"/>
        <w:pageBreakBefore w:val="0"/>
        <w:kinsoku/>
        <w:topLinePunct w:val="0"/>
        <w:bidi w:val="0"/>
        <w:spacing w:line="240" w:lineRule="auto"/>
        <w:ind w:leftChars="0" w:firstLine="642" w:firstLineChars="200"/>
        <w:outlineLvl w:val="0"/>
        <w:rPr>
          <w:rFonts w:hint="eastAsia"/>
          <w:lang w:val="en-US" w:eastAsia="zh-CN"/>
        </w:rPr>
      </w:pPr>
      <w:bookmarkStart w:id="18" w:name="_Toc13894"/>
      <w:r>
        <w:rPr>
          <w:rFonts w:hint="eastAsia" w:ascii="黑体" w:hAnsi="黑体" w:eastAsia="黑体" w:cs="黑体"/>
          <w:b/>
          <w:bCs/>
          <w:color w:val="000000" w:themeColor="text1"/>
          <w:sz w:val="32"/>
          <w:szCs w:val="32"/>
          <w:lang w:val="en-US" w:eastAsia="zh-CN"/>
          <w14:textFill>
            <w14:solidFill>
              <w14:schemeClr w14:val="tx1"/>
            </w14:solidFill>
          </w14:textFill>
        </w:rPr>
        <w:t>二</w:t>
      </w:r>
      <w:r>
        <w:rPr>
          <w:rFonts w:hint="eastAsia" w:ascii="黑体" w:hAnsi="黑体" w:eastAsia="黑体" w:cs="黑体"/>
          <w:b/>
          <w:bCs/>
          <w:color w:val="000000" w:themeColor="text1"/>
          <w:sz w:val="32"/>
          <w:szCs w:val="32"/>
          <w14:textFill>
            <w14:solidFill>
              <w14:schemeClr w14:val="tx1"/>
            </w14:solidFill>
          </w14:textFill>
        </w:rPr>
        <w:t>、</w:t>
      </w:r>
      <w:r>
        <w:rPr>
          <w:rFonts w:hint="eastAsia" w:ascii="黑体" w:hAnsi="黑体" w:eastAsia="黑体" w:cs="黑体"/>
          <w:b/>
          <w:bCs/>
          <w:color w:val="000000" w:themeColor="text1"/>
          <w:sz w:val="32"/>
          <w:szCs w:val="32"/>
          <w:lang w:val="en-US" w:eastAsia="zh-CN"/>
          <w14:textFill>
            <w14:solidFill>
              <w14:schemeClr w14:val="tx1"/>
            </w14:solidFill>
          </w14:textFill>
        </w:rPr>
        <w:t>政策实施情况</w:t>
      </w:r>
      <w:bookmarkEnd w:id="18"/>
    </w:p>
    <w:p>
      <w:pPr>
        <w:keepNext w:val="0"/>
        <w:pageBreakBefore w:val="0"/>
        <w:kinsoku/>
        <w:topLinePunct w:val="0"/>
        <w:bidi w:val="0"/>
        <w:spacing w:line="240" w:lineRule="auto"/>
        <w:ind w:leftChars="0" w:firstLine="642" w:firstLineChars="200"/>
        <w:outlineLvl w:val="1"/>
        <w:rPr>
          <w:rFonts w:hint="default" w:ascii="楷体" w:hAnsi="楷体" w:eastAsia="楷体" w:cs="楷体"/>
          <w:b/>
          <w:bCs/>
          <w:color w:val="auto"/>
          <w:sz w:val="32"/>
          <w:szCs w:val="32"/>
          <w:lang w:val="en-US" w:eastAsia="zh-CN"/>
        </w:rPr>
      </w:pPr>
      <w:bookmarkStart w:id="19" w:name="_Toc3247"/>
      <w:r>
        <w:rPr>
          <w:rFonts w:hint="eastAsia" w:ascii="楷体" w:hAnsi="楷体" w:eastAsia="楷体" w:cs="楷体"/>
          <w:b/>
          <w:bCs/>
          <w:color w:val="auto"/>
          <w:sz w:val="32"/>
          <w:szCs w:val="32"/>
          <w:lang w:val="en-US" w:eastAsia="zh-CN"/>
        </w:rPr>
        <w:t>（一）资金来源及使用情况</w:t>
      </w:r>
      <w:bookmarkEnd w:id="19"/>
    </w:p>
    <w:p>
      <w:pPr>
        <w:keepNext w:val="0"/>
        <w:pageBreakBefore w:val="0"/>
        <w:kinsoku/>
        <w:topLinePunct w:val="0"/>
        <w:bidi w:val="0"/>
        <w:spacing w:line="240" w:lineRule="auto"/>
        <w:ind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2020年到2023年6月年丰泽区公共文化服务体系建设专项资金实际支出为3624485.5元。具体明细如下：</w:t>
      </w:r>
    </w:p>
    <w:p>
      <w:pPr>
        <w:pStyle w:val="18"/>
        <w:rPr>
          <w:rFonts w:hint="eastAsia"/>
          <w:lang w:val="en-US" w:eastAsia="zh-CN"/>
        </w:rPr>
      </w:pPr>
    </w:p>
    <w:tbl>
      <w:tblPr>
        <w:tblStyle w:val="19"/>
        <w:tblW w:w="98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6"/>
        <w:gridCol w:w="1183"/>
        <w:gridCol w:w="1350"/>
        <w:gridCol w:w="68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blHeader/>
          <w:jc w:val="center"/>
        </w:trPr>
        <w:tc>
          <w:tcPr>
            <w:tcW w:w="4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年度</w:t>
            </w:r>
          </w:p>
        </w:tc>
        <w:tc>
          <w:tcPr>
            <w:tcW w:w="118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总金额（元）</w:t>
            </w:r>
          </w:p>
        </w:tc>
        <w:tc>
          <w:tcPr>
            <w:tcW w:w="1350"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项目金额（元）</w:t>
            </w:r>
          </w:p>
        </w:tc>
        <w:tc>
          <w:tcPr>
            <w:tcW w:w="684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完成项目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2020</w:t>
            </w:r>
          </w:p>
        </w:tc>
        <w:tc>
          <w:tcPr>
            <w:tcW w:w="11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2836955.85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320000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全区街道综合文化站2020年度免费开放专项资金（中央下达地方的任务，当年补助街道5万元，中央补助20%，地方补全剩余80%=4万元，共8个街道，一共320000元）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公共文化服务体系建设专项资金（20万图书馆图书捐赠执行费（发货、仓储、人员服务等支出））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8897</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公共文化服务体系建设专项资金（图书加工费）（尾款部分）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7238</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“阅读马拉松”之每天阅读一小时阅读推广活动协议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14800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举办“阅读力量”云论坛暨纪念第25个4·23世界读书日主题活动协议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18500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泉州市壹心文化传媒有限公司2020年区元宵花灯宣传视频摄制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204000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丰泽区宝雅广告设计中心2020年区元宵花灯红灯笼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1574100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24小时街区自助图书馆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489420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泉州市丰泽区平安电子有限公司2020年区元宵花灯氛围夜景亮化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2021</w:t>
            </w:r>
          </w:p>
        </w:tc>
        <w:tc>
          <w:tcPr>
            <w:tcW w:w="11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160357.5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285</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福州21年文化志愿者培训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图书馆开馆前业务培训培训师资费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24720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“我的入党故事”党员专题访谈录制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24780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“4.23世界读书日”阅读推广服务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70152.5</w:t>
            </w:r>
          </w:p>
        </w:tc>
        <w:tc>
          <w:tcPr>
            <w:tcW w:w="6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泉州市纸间游文化创意发展有限公司图书编目加工费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38420</w:t>
            </w:r>
          </w:p>
        </w:tc>
        <w:tc>
          <w:tcPr>
            <w:tcW w:w="6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2022</w:t>
            </w:r>
          </w:p>
        </w:tc>
        <w:tc>
          <w:tcPr>
            <w:tcW w:w="1183"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20400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2021福建旅游交易会展位费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left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left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丰泽区“十四五”文旅产业发展规划课题编制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219000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区影视协拍小程序平台运营后60%款项（平台开始运营后一个月内支付合同总额的60%）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2023</w:t>
            </w:r>
          </w:p>
        </w:tc>
        <w:tc>
          <w:tcPr>
            <w:tcW w:w="11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387773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36500</w:t>
            </w:r>
          </w:p>
        </w:tc>
        <w:tc>
          <w:tcPr>
            <w:tcW w:w="68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丰泽区影视协拍小程序项目资金（尾款）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49749</w:t>
            </w:r>
          </w:p>
        </w:tc>
        <w:tc>
          <w:tcPr>
            <w:tcW w:w="6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影视协拍小程序运营服务合同价首付50%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247500</w:t>
            </w:r>
          </w:p>
        </w:tc>
        <w:tc>
          <w:tcPr>
            <w:tcW w:w="6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2022年时尚文化微剧场系列文艺活动服务费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15024</w:t>
            </w:r>
          </w:p>
        </w:tc>
        <w:tc>
          <w:tcPr>
            <w:tcW w:w="6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21年书香丰泽读书分享会活动经费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22年图书馆元旦春节主题系列活动经费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12000</w:t>
            </w:r>
          </w:p>
        </w:tc>
        <w:tc>
          <w:tcPr>
            <w:tcW w:w="6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非遗进社区主题活动（总三场）活动经费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16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3624485.5</w:t>
            </w:r>
          </w:p>
        </w:tc>
        <w:tc>
          <w:tcPr>
            <w:tcW w:w="6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p>
        </w:tc>
      </w:tr>
    </w:tbl>
    <w:p>
      <w:pPr>
        <w:pStyle w:val="18"/>
        <w:rPr>
          <w:rFonts w:hint="eastAsia"/>
          <w:lang w:val="en-US" w:eastAsia="zh-CN"/>
        </w:rPr>
      </w:pPr>
    </w:p>
    <w:p>
      <w:pPr>
        <w:keepNext w:val="0"/>
        <w:pageBreakBefore w:val="0"/>
        <w:kinsoku/>
        <w:topLinePunct w:val="0"/>
        <w:bidi w:val="0"/>
        <w:spacing w:line="240" w:lineRule="auto"/>
        <w:ind w:leftChars="0" w:firstLine="642" w:firstLineChars="200"/>
        <w:outlineLvl w:val="1"/>
        <w:rPr>
          <w:rFonts w:hint="default" w:ascii="楷体" w:hAnsi="楷体" w:eastAsia="楷体" w:cs="楷体"/>
          <w:b/>
          <w:bCs/>
          <w:color w:val="auto"/>
          <w:sz w:val="32"/>
          <w:szCs w:val="32"/>
          <w:lang w:val="en-US" w:eastAsia="zh-CN"/>
        </w:rPr>
      </w:pPr>
      <w:bookmarkStart w:id="20" w:name="_Toc452"/>
      <w:r>
        <w:rPr>
          <w:rFonts w:hint="eastAsia" w:ascii="楷体" w:hAnsi="楷体" w:eastAsia="楷体" w:cs="楷体"/>
          <w:b/>
          <w:bCs/>
          <w:color w:val="auto"/>
          <w:sz w:val="32"/>
          <w:szCs w:val="32"/>
          <w:lang w:val="en-US" w:eastAsia="zh-CN"/>
        </w:rPr>
        <w:t>（二）实施组织及管理情况</w:t>
      </w:r>
      <w:bookmarkEnd w:id="20"/>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default" w:ascii="仿宋_GB2312" w:hAnsi="仿宋_GB2312" w:eastAsia="仿宋_GB2312" w:cs="仿宋_GB2312"/>
          <w:b/>
          <w:bCs/>
          <w:color w:val="auto"/>
          <w:sz w:val="32"/>
          <w:szCs w:val="32"/>
          <w:highlight w:val="none"/>
          <w:lang w:val="en-US" w:eastAsia="zh-CN"/>
        </w:rPr>
      </w:pPr>
      <w:bookmarkStart w:id="21" w:name="_Toc9781"/>
      <w:bookmarkStart w:id="22" w:name="_Toc652"/>
      <w:bookmarkStart w:id="23" w:name="_Toc7941"/>
      <w:bookmarkStart w:id="24" w:name="_Toc27742"/>
      <w:bookmarkStart w:id="25" w:name="_Toc1673"/>
      <w:r>
        <w:rPr>
          <w:rFonts w:hint="eastAsia" w:ascii="仿宋_GB2312" w:hAnsi="仿宋_GB2312" w:eastAsia="仿宋_GB2312" w:cs="仿宋_GB2312"/>
          <w:b/>
          <w:bCs/>
          <w:color w:val="auto"/>
          <w:sz w:val="32"/>
          <w:szCs w:val="32"/>
          <w:highlight w:val="none"/>
          <w:lang w:val="en-US" w:eastAsia="zh-CN"/>
        </w:rPr>
        <w:t>1.</w:t>
      </w:r>
      <w:bookmarkEnd w:id="21"/>
      <w:bookmarkEnd w:id="22"/>
      <w:bookmarkEnd w:id="23"/>
      <w:bookmarkEnd w:id="24"/>
      <w:r>
        <w:rPr>
          <w:rFonts w:hint="eastAsia" w:ascii="仿宋_GB2312" w:hAnsi="仿宋_GB2312" w:eastAsia="仿宋_GB2312" w:cs="仿宋_GB2312"/>
          <w:b/>
          <w:bCs/>
          <w:color w:val="auto"/>
          <w:sz w:val="32"/>
          <w:szCs w:val="32"/>
          <w:highlight w:val="none"/>
          <w:lang w:val="en-US" w:eastAsia="zh-CN"/>
        </w:rPr>
        <w:t>丰泽区财政局</w:t>
      </w:r>
      <w:bookmarkEnd w:id="25"/>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负责对丰泽区文化体育和旅游局提交的项目预算进行审核、批复；对经审核的补贴申请拨付资金；对预算执行情况实时监督检查；组织委托第三方机构对政策实施效果开展绩效评价工作。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26" w:name="_Toc2290"/>
      <w:bookmarkStart w:id="27" w:name="_Toc26145"/>
      <w:bookmarkStart w:id="28" w:name="_Toc31035"/>
      <w:bookmarkStart w:id="29" w:name="_Toc9681"/>
      <w:bookmarkStart w:id="30" w:name="_Toc9565"/>
      <w:r>
        <w:rPr>
          <w:rFonts w:hint="eastAsia" w:ascii="仿宋_GB2312" w:hAnsi="仿宋_GB2312" w:eastAsia="仿宋_GB2312" w:cs="仿宋_GB2312"/>
          <w:b/>
          <w:bCs/>
          <w:color w:val="auto"/>
          <w:sz w:val="32"/>
          <w:szCs w:val="32"/>
          <w:highlight w:val="none"/>
          <w:lang w:val="en-US" w:eastAsia="zh-CN"/>
        </w:rPr>
        <w:t>2.</w:t>
      </w:r>
      <w:bookmarkEnd w:id="26"/>
      <w:bookmarkEnd w:id="27"/>
      <w:bookmarkEnd w:id="28"/>
      <w:bookmarkEnd w:id="29"/>
      <w:r>
        <w:rPr>
          <w:rFonts w:hint="eastAsia" w:ascii="仿宋_GB2312" w:hAnsi="仿宋_GB2312" w:eastAsia="仿宋_GB2312" w:cs="仿宋_GB2312"/>
          <w:b/>
          <w:bCs/>
          <w:color w:val="auto"/>
          <w:sz w:val="32"/>
          <w:szCs w:val="32"/>
          <w:highlight w:val="none"/>
          <w:lang w:val="en-US" w:eastAsia="zh-CN"/>
        </w:rPr>
        <w:t>丰泽区文化体育和旅游局</w:t>
      </w:r>
      <w:bookmarkEnd w:id="30"/>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根据政策实施内容编制对应预算，上报区财政局（含绩效目标申报表）；按照项目预算批复合法合规使用财政资金；审批相关申请材料；确定公共文化服务体系建设专项资金分配方案；项目具体实施阶段的指导和监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31" w:name="_Toc30186"/>
      <w:r>
        <w:rPr>
          <w:rFonts w:hint="eastAsia" w:ascii="仿宋_GB2312" w:hAnsi="仿宋_GB2312" w:eastAsia="仿宋_GB2312" w:cs="仿宋_GB2312"/>
          <w:b/>
          <w:bCs/>
          <w:color w:val="auto"/>
          <w:sz w:val="32"/>
          <w:szCs w:val="32"/>
          <w:highlight w:val="none"/>
          <w:lang w:val="en-US" w:eastAsia="zh-CN"/>
        </w:rPr>
        <w:t>3.总体目标</w:t>
      </w:r>
      <w:bookmarkEnd w:id="31"/>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完善区级公共文化设施，提升基层文化硬件设施；加强文化遗产保护和合理利用，推动非遗项目申报国家、省非遗目录；实施公共文化数字化建设工程，推动区级文化馆、图书馆建设；加强特色公共文化服务，办好元宵节等贴近生活、参与度高的文化活动，打造“文化有约”、“素馨花”等特色品牌，进一步推进丰泽区公共文化服务标准化、均等化。</w:t>
      </w:r>
    </w:p>
    <w:p>
      <w:pPr>
        <w:pStyle w:val="24"/>
        <w:keepNext w:val="0"/>
        <w:pageBreakBefore w:val="0"/>
        <w:kinsoku/>
        <w:topLinePunct w:val="0"/>
        <w:bidi w:val="0"/>
        <w:spacing w:line="240" w:lineRule="auto"/>
        <w:ind w:firstLine="200" w:firstLineChars="200"/>
        <w:rPr>
          <w:rFonts w:hint="default" w:ascii="仿宋" w:hAnsi="仿宋" w:eastAsia="仿宋" w:cs="仿宋"/>
          <w:i w:val="0"/>
          <w:iCs w:val="0"/>
          <w:caps w:val="0"/>
          <w:color w:val="FF0000"/>
          <w:spacing w:val="0"/>
          <w:sz w:val="10"/>
          <w:szCs w:val="10"/>
          <w:shd w:val="clear" w:fill="FFFFFF"/>
          <w:lang w:val="en-US" w:eastAsia="zh-CN"/>
        </w:rPr>
      </w:pPr>
    </w:p>
    <w:p>
      <w:pPr>
        <w:keepNext w:val="0"/>
        <w:pageBreakBefore w:val="0"/>
        <w:kinsoku/>
        <w:topLinePunct w:val="0"/>
        <w:bidi w:val="0"/>
        <w:spacing w:line="240" w:lineRule="auto"/>
        <w:ind w:leftChars="0" w:firstLine="642" w:firstLineChars="200"/>
        <w:outlineLvl w:val="0"/>
        <w:rPr>
          <w:rFonts w:hint="eastAsia" w:ascii="黑体" w:hAnsi="黑体" w:eastAsia="黑体" w:cs="黑体"/>
          <w:b/>
          <w:bCs/>
          <w:color w:val="auto"/>
          <w:sz w:val="32"/>
          <w:szCs w:val="32"/>
        </w:rPr>
      </w:pPr>
      <w:bookmarkStart w:id="32" w:name="_Toc8152"/>
      <w:r>
        <w:rPr>
          <w:rFonts w:hint="eastAsia" w:ascii="黑体" w:hAnsi="黑体" w:eastAsia="黑体" w:cs="黑体"/>
          <w:b/>
          <w:bCs/>
          <w:color w:val="auto"/>
          <w:sz w:val="32"/>
          <w:szCs w:val="32"/>
          <w:lang w:val="en-US" w:eastAsia="zh-CN"/>
        </w:rPr>
        <w:t>三</w:t>
      </w:r>
      <w:r>
        <w:rPr>
          <w:rFonts w:hint="eastAsia" w:ascii="黑体" w:hAnsi="黑体" w:eastAsia="黑体" w:cs="黑体"/>
          <w:b/>
          <w:bCs/>
          <w:color w:val="auto"/>
          <w:sz w:val="32"/>
          <w:szCs w:val="32"/>
        </w:rPr>
        <w:t>、绩效评价工作开展情况</w:t>
      </w:r>
      <w:bookmarkEnd w:id="32"/>
    </w:p>
    <w:p>
      <w:pPr>
        <w:keepNext w:val="0"/>
        <w:pageBreakBefore w:val="0"/>
        <w:kinsoku/>
        <w:topLinePunct w:val="0"/>
        <w:bidi w:val="0"/>
        <w:spacing w:line="240" w:lineRule="auto"/>
        <w:ind w:leftChars="0" w:firstLine="642" w:firstLineChars="200"/>
        <w:outlineLvl w:val="1"/>
        <w:rPr>
          <w:rFonts w:hint="eastAsia" w:ascii="楷体" w:hAnsi="楷体" w:eastAsia="楷体" w:cs="楷体"/>
          <w:b/>
          <w:bCs/>
          <w:color w:val="auto"/>
          <w:sz w:val="32"/>
          <w:szCs w:val="32"/>
          <w:lang w:val="en-US" w:eastAsia="zh-CN"/>
        </w:rPr>
      </w:pPr>
      <w:bookmarkStart w:id="33" w:name="_Toc10046"/>
      <w:r>
        <w:rPr>
          <w:rFonts w:hint="eastAsia" w:ascii="楷体" w:hAnsi="楷体" w:eastAsia="楷体" w:cs="楷体"/>
          <w:b/>
          <w:bCs/>
          <w:color w:val="auto"/>
          <w:sz w:val="32"/>
          <w:szCs w:val="32"/>
          <w:lang w:val="en-US" w:eastAsia="zh-CN"/>
        </w:rPr>
        <w:t>（一）绩效评价目的</w:t>
      </w:r>
      <w:bookmarkEnd w:id="33"/>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通过评价，总结政策在执行过程中的经验，发现问题并提出相关建议，从政策制定、政策实施和政策效益三方面予以重点考察，进一步强化政策管理，提高财政资金的使用效益，为政策是否延续或调整提供重要参考。</w:t>
      </w:r>
    </w:p>
    <w:p>
      <w:pPr>
        <w:keepNext w:val="0"/>
        <w:pageBreakBefore w:val="0"/>
        <w:kinsoku/>
        <w:topLinePunct w:val="0"/>
        <w:bidi w:val="0"/>
        <w:spacing w:line="240" w:lineRule="auto"/>
        <w:ind w:leftChars="0" w:firstLine="642" w:firstLineChars="200"/>
        <w:outlineLvl w:val="1"/>
        <w:rPr>
          <w:rFonts w:hint="eastAsia" w:ascii="楷体" w:hAnsi="楷体" w:eastAsia="楷体" w:cs="楷体"/>
          <w:b/>
          <w:bCs/>
          <w:color w:val="auto"/>
          <w:sz w:val="32"/>
          <w:szCs w:val="32"/>
          <w:lang w:val="en-US" w:eastAsia="zh-CN"/>
        </w:rPr>
      </w:pPr>
      <w:bookmarkStart w:id="34" w:name="_Toc14763"/>
      <w:r>
        <w:rPr>
          <w:rFonts w:hint="eastAsia" w:ascii="楷体" w:hAnsi="楷体" w:eastAsia="楷体" w:cs="楷体"/>
          <w:b/>
          <w:bCs/>
          <w:color w:val="auto"/>
          <w:sz w:val="32"/>
          <w:szCs w:val="32"/>
          <w:lang w:val="en-US" w:eastAsia="zh-CN"/>
        </w:rPr>
        <w:t>（二）对象和范围</w:t>
      </w:r>
      <w:bookmarkEnd w:id="34"/>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评价对象为2020-2023年丰泽区公共文化服务体系建设专项资金政策，涉及专项资金共362.45万元。</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评价范围为实施单位围绕政策范围所实施的各项活动，包括绩效目标的设定、资金投入和使用、采取措施以及绩效目标的实现程度和效果等。</w:t>
      </w:r>
    </w:p>
    <w:p>
      <w:pPr>
        <w:keepNext w:val="0"/>
        <w:pageBreakBefore w:val="0"/>
        <w:kinsoku/>
        <w:topLinePunct w:val="0"/>
        <w:bidi w:val="0"/>
        <w:spacing w:line="240" w:lineRule="auto"/>
        <w:ind w:leftChars="0" w:firstLine="642" w:firstLineChars="200"/>
        <w:outlineLvl w:val="1"/>
        <w:rPr>
          <w:rFonts w:hint="eastAsia" w:ascii="楷体" w:hAnsi="楷体" w:eastAsia="楷体" w:cs="楷体"/>
          <w:b/>
          <w:bCs/>
          <w:color w:val="auto"/>
          <w:sz w:val="32"/>
          <w:szCs w:val="32"/>
          <w:lang w:val="en-US" w:eastAsia="zh-CN"/>
        </w:rPr>
      </w:pPr>
      <w:bookmarkStart w:id="35" w:name="_Toc13168"/>
      <w:bookmarkStart w:id="36" w:name="_Toc8183"/>
      <w:bookmarkStart w:id="37" w:name="_Toc25485"/>
      <w:bookmarkStart w:id="38" w:name="_Toc12129"/>
      <w:r>
        <w:rPr>
          <w:rFonts w:hint="eastAsia" w:ascii="楷体" w:hAnsi="楷体" w:eastAsia="楷体" w:cs="楷体"/>
          <w:b/>
          <w:bCs/>
          <w:color w:val="auto"/>
          <w:sz w:val="32"/>
          <w:szCs w:val="32"/>
          <w:lang w:val="en-US" w:eastAsia="zh-CN"/>
        </w:rPr>
        <w:t>（三）评价依据</w:t>
      </w:r>
      <w:bookmarkEnd w:id="35"/>
      <w:bookmarkEnd w:id="36"/>
      <w:bookmarkEnd w:id="37"/>
      <w:bookmarkEnd w:id="38"/>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1.《中华人民共和国预算法》；</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2.《项目支出绩效评价管理办法》（财预〔2020〕10号）；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3.《中共中央 国务院关于全面实施预算绩效管理的意见》（中发〔2018〕34号）；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4.《财政部关于印发〈预算绩效评价共性指标体系框架〉的通知》（财预〔2013〕53号）；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5.《关于加快构建现代公共文化服务体系的实施意见》（泉委办发﹝2016﹞19号）；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6.《中华人民共和国公共文化服务保障法》；</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7.《中共福建省委办公厅 福建省人民政府办公厅关于加快构建现代公共文化服务体系的实施意见》（闽委办发〔2015〕58号）；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8.《中共泉州市委办公室 泉州市人民政府办公室关于印发〈泉州市创建国家公共文化服务体系示范区实施方案〉的通知》（泉委办发〔2018〕32号）；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9.《泉州市人民政府办公室关于印发泉州市国家公共文化服务体系示范区建设规划的通知》（泉政办〔2019〕3号）；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10.《泉州市人民政府办公室关于加快推进现代公共文化服务体系共建共享机制建设的实施意见》（泉政办〔2020〕24号）；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11.泉州市丰泽区财政局 泉州市丰泽区文化体育和旅游局关于印发《泉州市丰泽区公共文化服务体系建设专项资金管理办法》的通知（泉丰政财〔2020〕28号）；</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bookmarkStart w:id="39" w:name="_Toc28597"/>
      <w:bookmarkStart w:id="40" w:name="_Toc25846"/>
      <w:bookmarkStart w:id="41" w:name="_Toc19106"/>
      <w:bookmarkStart w:id="42" w:name="_Toc14220"/>
      <w:bookmarkStart w:id="43" w:name="_Toc14034"/>
      <w:bookmarkStart w:id="44" w:name="_Toc25825"/>
      <w:bookmarkStart w:id="45" w:name="_Toc16239"/>
      <w:bookmarkStart w:id="46" w:name="_Toc10977"/>
      <w:bookmarkStart w:id="47" w:name="_Toc4747"/>
      <w:r>
        <w:rPr>
          <w:rFonts w:hint="eastAsia" w:ascii="仿宋_GB2312" w:hAnsi="仿宋_GB2312" w:eastAsia="仿宋_GB2312" w:cs="仿宋_GB2312"/>
          <w:color w:val="auto"/>
          <w:kern w:val="0"/>
          <w:sz w:val="32"/>
          <w:szCs w:val="32"/>
          <w:highlight w:val="none"/>
          <w:lang w:val="en-US" w:eastAsia="zh-CN"/>
        </w:rPr>
        <w:t>12.丰泽区文化体育和旅游局提供的其他资料等等。</w:t>
      </w:r>
      <w:bookmarkEnd w:id="39"/>
      <w:bookmarkEnd w:id="40"/>
      <w:bookmarkEnd w:id="41"/>
      <w:bookmarkEnd w:id="42"/>
      <w:bookmarkEnd w:id="43"/>
      <w:bookmarkEnd w:id="44"/>
      <w:bookmarkEnd w:id="45"/>
      <w:bookmarkEnd w:id="46"/>
      <w:bookmarkEnd w:id="47"/>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28"/>
          <w:szCs w:val="28"/>
          <w:lang w:val="en-US" w:eastAsia="zh-CN"/>
        </w:rPr>
      </w:pPr>
      <w:bookmarkStart w:id="48" w:name="_Toc15154"/>
      <w:bookmarkStart w:id="49" w:name="_Toc4113"/>
      <w:bookmarkStart w:id="50" w:name="_Toc11208"/>
      <w:bookmarkStart w:id="51" w:name="_Toc3596"/>
      <w:r>
        <w:rPr>
          <w:rFonts w:hint="eastAsia" w:ascii="楷体" w:hAnsi="楷体" w:eastAsia="楷体" w:cs="楷体"/>
          <w:b/>
          <w:bCs/>
          <w:color w:val="auto"/>
          <w:sz w:val="32"/>
          <w:szCs w:val="32"/>
          <w:lang w:val="en-US" w:eastAsia="zh-CN"/>
        </w:rPr>
        <w:t>（四）</w:t>
      </w:r>
      <w:bookmarkEnd w:id="48"/>
      <w:bookmarkEnd w:id="49"/>
      <w:bookmarkEnd w:id="50"/>
      <w:r>
        <w:rPr>
          <w:rFonts w:hint="eastAsia" w:ascii="楷体" w:hAnsi="楷体" w:eastAsia="楷体" w:cs="楷体"/>
          <w:b/>
          <w:bCs/>
          <w:color w:val="auto"/>
          <w:sz w:val="32"/>
          <w:szCs w:val="32"/>
          <w:lang w:val="en-US" w:eastAsia="zh-CN"/>
        </w:rPr>
        <w:t>政策评价思路</w:t>
      </w:r>
      <w:bookmarkEnd w:id="51"/>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根据《泉州市丰泽区公共文化服务体系建设专项资金管理办法》（泉丰政财〔2020〕28号），本次政策评价从政策制定、政策实施和政策效益三方面予以重点考察，为政策是否延续或调整提供建议，评价重点关注点如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52" w:name="_Toc13268"/>
      <w:r>
        <w:rPr>
          <w:rFonts w:hint="eastAsia" w:ascii="仿宋_GB2312" w:hAnsi="仿宋_GB2312" w:eastAsia="仿宋_GB2312" w:cs="仿宋_GB2312"/>
          <w:b/>
          <w:bCs/>
          <w:color w:val="auto"/>
          <w:sz w:val="32"/>
          <w:szCs w:val="32"/>
          <w:highlight w:val="none"/>
          <w:lang w:val="en-US" w:eastAsia="zh-CN"/>
        </w:rPr>
        <w:t>1.政策制定</w:t>
      </w:r>
      <w:bookmarkEnd w:id="52"/>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（1）政策目标是否与上级政策目标一致，是否能够加快推进丰泽区公共文化服务体系建设工作；</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（2）政策制定前期区文化体育和旅游局是否进行了充分的调研，了解丰泽区公共文化服务体系现状和存在的问题等；</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（3）该政策是否与国家、泉州市、丰泽区现有政策内容存在重复；</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（4）政策制定程序是否规范合理，符合相关程序和要求，如进行过调整，关注调整过程的规范性，同时关注调整后的政策与之前的政策是否有效衔接；</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（5）政策内容是否完整，目标群体、政策准入标准、补贴标准与方式、相关责任主体、政策有效期等是否明确。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53" w:name="_Toc14740"/>
      <w:r>
        <w:rPr>
          <w:rFonts w:hint="eastAsia" w:ascii="仿宋_GB2312" w:hAnsi="仿宋_GB2312" w:eastAsia="仿宋_GB2312" w:cs="仿宋_GB2312"/>
          <w:b/>
          <w:bCs/>
          <w:color w:val="auto"/>
          <w:sz w:val="32"/>
          <w:szCs w:val="32"/>
          <w:highlight w:val="none"/>
          <w:lang w:val="en-US" w:eastAsia="zh-CN"/>
        </w:rPr>
        <w:t>2.政策实施</w:t>
      </w:r>
      <w:bookmarkEnd w:id="53"/>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（1）区文化体育和旅游局是否建立了完善的业务管理制度、部门协作机制；</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（2）考察资金支出情况、资金使用规范情况，是否存在截留、挪用等情况；</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（3）考察资金申请材料的完整规范情况，审核过程规范情况，监督工作开展实施情况，档案管理情况等；</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（4）考察丰泽区公共文化服务体系建设专项资金政策信息公开情况，是否依据市政府信息公开要求对相关奖补信息进行了公开。</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54" w:name="_Toc11643"/>
      <w:r>
        <w:rPr>
          <w:rFonts w:hint="eastAsia" w:ascii="仿宋_GB2312" w:hAnsi="仿宋_GB2312" w:eastAsia="仿宋_GB2312" w:cs="仿宋_GB2312"/>
          <w:b/>
          <w:bCs/>
          <w:color w:val="auto"/>
          <w:sz w:val="32"/>
          <w:szCs w:val="32"/>
          <w:highlight w:val="none"/>
          <w:lang w:val="en-US" w:eastAsia="zh-CN"/>
        </w:rPr>
        <w:t>3.政策效益</w:t>
      </w:r>
      <w:bookmarkEnd w:id="54"/>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（1）补贴资金是否准确、及时地拨付至各补贴单位；</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（2）公共文化服务体系建设专项资金补贴发放是否准确、及时有依据；</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（3）政策实施是否有助于公共文化设施完善情况与基层文化硬件设施提升；</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（4）应用政策绩效分析对政策范围及标准进行评价，分析政策范围与丰泽区公共文化服务体系建设现状和所需扶持方向是否匹配。</w:t>
      </w:r>
    </w:p>
    <w:p>
      <w:pPr>
        <w:keepNext w:val="0"/>
        <w:pageBreakBefore w:val="0"/>
        <w:kinsoku/>
        <w:topLinePunct w:val="0"/>
        <w:bidi w:val="0"/>
        <w:spacing w:line="240" w:lineRule="auto"/>
        <w:ind w:leftChars="0" w:firstLine="642" w:firstLineChars="200"/>
        <w:outlineLvl w:val="1"/>
        <w:rPr>
          <w:rFonts w:hint="eastAsia" w:ascii="楷体" w:hAnsi="楷体" w:eastAsia="楷体" w:cs="楷体"/>
          <w:b/>
          <w:bCs/>
          <w:color w:val="auto"/>
          <w:sz w:val="32"/>
          <w:szCs w:val="32"/>
          <w:lang w:val="en-US" w:eastAsia="zh-CN"/>
        </w:rPr>
      </w:pPr>
      <w:bookmarkStart w:id="55" w:name="_Toc17149"/>
      <w:r>
        <w:rPr>
          <w:rFonts w:hint="eastAsia" w:ascii="楷体" w:hAnsi="楷体" w:eastAsia="楷体" w:cs="楷体"/>
          <w:b/>
          <w:bCs/>
          <w:color w:val="auto"/>
          <w:sz w:val="32"/>
          <w:szCs w:val="32"/>
          <w:lang w:val="en-US" w:eastAsia="zh-CN"/>
        </w:rPr>
        <w:t>（五）指标体系</w:t>
      </w:r>
      <w:bookmarkEnd w:id="55"/>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评价组依据《泉州市丰泽区公共文化服务体系建设专项资金管理办法》（泉丰政财〔2020〕28号）的要求，按照相关性、重要性、可比性、系统性、经济性、定性和定量相结合的原则，并根据评价思路设计制定了本政策绩效评价指标体系。本次绩效评价指标体系包括一级指标3项、二级指标9项、三级指标23项。指标数据来源于政策相关资料、项目执行流程材料、审批表等。本次绩效评价指标具体内容，包括指标名称、权重、指标解释等，见附件1。</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绩效评价结果采用综合评分定级的方法，绩效评级分为优、良、合格、不合格。</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评价得分高于90分（含90分）的，绩效评级为优；</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得分在75分（含75分）—90分的，绩效评级为良；</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得分在60分（含60分）—75分的，绩效评级为合格；</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得分在60分以下的，绩效评级为不合格。</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260" w:firstLineChars="200"/>
        <w:textAlignment w:val="auto"/>
        <w:outlineLvl w:val="9"/>
        <w:rPr>
          <w:rFonts w:hint="eastAsia" w:ascii="仿宋_GB2312" w:hAnsi="仿宋_GB2312" w:eastAsia="仿宋_GB2312" w:cs="仿宋_GB2312"/>
          <w:color w:val="auto"/>
          <w:kern w:val="0"/>
          <w:sz w:val="13"/>
          <w:szCs w:val="13"/>
          <w:highlight w:val="none"/>
          <w:lang w:val="en-US" w:eastAsia="zh-CN"/>
        </w:rPr>
      </w:pPr>
    </w:p>
    <w:p>
      <w:pPr>
        <w:keepNext w:val="0"/>
        <w:pageBreakBefore w:val="0"/>
        <w:kinsoku/>
        <w:topLinePunct w:val="0"/>
        <w:bidi w:val="0"/>
        <w:spacing w:line="240" w:lineRule="auto"/>
        <w:ind w:leftChars="0" w:firstLine="642" w:firstLineChars="200"/>
        <w:outlineLvl w:val="0"/>
        <w:rPr>
          <w:rFonts w:hint="eastAsia" w:ascii="黑体" w:hAnsi="黑体" w:eastAsia="黑体" w:cs="黑体"/>
          <w:b/>
          <w:bCs/>
          <w:color w:val="auto"/>
          <w:sz w:val="32"/>
          <w:szCs w:val="32"/>
          <w:lang w:val="en-US" w:eastAsia="zh-CN"/>
        </w:rPr>
      </w:pPr>
      <w:bookmarkStart w:id="56" w:name="_Toc27844"/>
      <w:r>
        <w:rPr>
          <w:rFonts w:hint="eastAsia" w:ascii="黑体" w:hAnsi="黑体" w:eastAsia="黑体" w:cs="黑体"/>
          <w:b/>
          <w:bCs/>
          <w:color w:val="auto"/>
          <w:sz w:val="32"/>
          <w:szCs w:val="32"/>
          <w:lang w:val="en-US" w:eastAsia="zh-CN"/>
        </w:rPr>
        <w:t>四、综合评价情况及评价结论</w:t>
      </w:r>
      <w:bookmarkEnd w:id="56"/>
    </w:p>
    <w:p>
      <w:pPr>
        <w:keepNext w:val="0"/>
        <w:pageBreakBefore w:val="0"/>
        <w:kinsoku/>
        <w:topLinePunct w:val="0"/>
        <w:bidi w:val="0"/>
        <w:spacing w:line="240" w:lineRule="auto"/>
        <w:ind w:leftChars="0" w:firstLine="642" w:firstLineChars="200"/>
        <w:outlineLvl w:val="1"/>
        <w:rPr>
          <w:rFonts w:hint="eastAsia" w:ascii="楷体" w:hAnsi="楷体" w:eastAsia="楷体" w:cs="楷体"/>
          <w:b/>
          <w:bCs/>
          <w:color w:val="auto"/>
          <w:sz w:val="32"/>
          <w:szCs w:val="32"/>
          <w:lang w:val="en-US" w:eastAsia="zh-CN"/>
        </w:rPr>
      </w:pPr>
      <w:bookmarkStart w:id="57" w:name="_Toc14012"/>
      <w:r>
        <w:rPr>
          <w:rFonts w:hint="eastAsia" w:ascii="楷体" w:hAnsi="楷体" w:eastAsia="楷体" w:cs="楷体"/>
          <w:b/>
          <w:bCs/>
          <w:color w:val="auto"/>
          <w:sz w:val="32"/>
          <w:szCs w:val="32"/>
          <w:lang w:val="en-US" w:eastAsia="zh-CN"/>
        </w:rPr>
        <w:t>（一）综合评价情况及评价结论</w:t>
      </w:r>
      <w:bookmarkEnd w:id="57"/>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2" w:firstLineChars="200"/>
        <w:textAlignment w:val="auto"/>
        <w:outlineLvl w:val="9"/>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1.评价结论</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运用由评价组设计的评价指标体系及评分标准，通过数据采集、实地调研等方式，对丰泽区公共文化服务体系建设专项资金政策进行客观评价，指标总分为100分，最终评分结果为：总得分91.00分，绩效评级属于“优”。最终评分结果如下表所示。各类指标具体评分情况见附件1。</w:t>
      </w:r>
    </w:p>
    <w:p>
      <w:pPr>
        <w:keepNext w:val="0"/>
        <w:keepLines w:val="0"/>
        <w:pageBreakBefore w:val="0"/>
        <w:widowControl w:val="0"/>
        <w:kinsoku/>
        <w:wordWrap/>
        <w:overflowPunct/>
        <w:topLinePunct w:val="0"/>
        <w:autoSpaceDE/>
        <w:autoSpaceDN/>
        <w:bidi w:val="0"/>
        <w:adjustRightInd/>
        <w:snapToGrid/>
        <w:spacing w:line="240" w:lineRule="auto"/>
        <w:ind w:left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绩效得分汇总</w:t>
      </w:r>
    </w:p>
    <w:tbl>
      <w:tblPr>
        <w:tblStyle w:val="19"/>
        <w:tblW w:w="869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5"/>
        <w:gridCol w:w="1975"/>
        <w:gridCol w:w="1975"/>
        <w:gridCol w:w="27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11" w:hRule="atLeast"/>
          <w:tblHeader/>
        </w:trPr>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一级指标</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lang w:val="en-US" w:eastAsia="zh-CN"/>
              </w:rPr>
            </w:pPr>
            <w:r>
              <w:rPr>
                <w:rFonts w:hint="eastAsia" w:ascii="仿宋_GB2312" w:hAnsi="仿宋_GB2312" w:eastAsia="仿宋_GB2312" w:cs="仿宋_GB2312"/>
                <w:b/>
                <w:bCs/>
                <w:i w:val="0"/>
                <w:iCs w:val="0"/>
                <w:color w:val="auto"/>
                <w:sz w:val="22"/>
                <w:szCs w:val="22"/>
                <w:u w:val="none"/>
                <w:lang w:val="en-US" w:eastAsia="zh-CN"/>
              </w:rPr>
              <w:t>权重</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分值</w:t>
            </w:r>
          </w:p>
        </w:tc>
        <w:tc>
          <w:tcPr>
            <w:tcW w:w="277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得分率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政策制定　</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20.00</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sz w:val="22"/>
                <w:szCs w:val="22"/>
                <w:u w:val="none"/>
                <w:lang w:val="en-US"/>
              </w:rPr>
            </w:pPr>
            <w:r>
              <w:rPr>
                <w:rFonts w:hint="eastAsia" w:ascii="仿宋_GB2312" w:hAnsi="仿宋_GB2312" w:eastAsia="仿宋_GB2312" w:cs="仿宋_GB2312"/>
                <w:i w:val="0"/>
                <w:iCs w:val="0"/>
                <w:color w:val="auto"/>
                <w:kern w:val="0"/>
                <w:sz w:val="22"/>
                <w:szCs w:val="22"/>
                <w:u w:val="none"/>
                <w:lang w:val="en-US" w:eastAsia="zh-CN" w:bidi="ar"/>
              </w:rPr>
              <w:t>19.00</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95.00%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政策实施</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36.00</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sz w:val="22"/>
                <w:szCs w:val="22"/>
                <w:u w:val="none"/>
                <w:lang w:val="en-US"/>
              </w:rPr>
            </w:pPr>
            <w:r>
              <w:rPr>
                <w:rFonts w:hint="eastAsia" w:ascii="仿宋_GB2312" w:hAnsi="仿宋_GB2312" w:eastAsia="仿宋_GB2312" w:cs="仿宋_GB2312"/>
                <w:i w:val="0"/>
                <w:iCs w:val="0"/>
                <w:color w:val="auto"/>
                <w:kern w:val="0"/>
                <w:sz w:val="22"/>
                <w:szCs w:val="22"/>
                <w:u w:val="none"/>
                <w:lang w:val="en-US" w:eastAsia="zh-CN" w:bidi="ar"/>
              </w:rPr>
              <w:t>28.00</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77.78%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政策效益</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44.00</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sz w:val="22"/>
                <w:szCs w:val="22"/>
                <w:u w:val="none"/>
                <w:lang w:val="en-US"/>
              </w:rPr>
            </w:pPr>
            <w:r>
              <w:rPr>
                <w:rFonts w:hint="eastAsia" w:ascii="仿宋_GB2312" w:hAnsi="仿宋_GB2312" w:eastAsia="仿宋_GB2312" w:cs="仿宋_GB2312"/>
                <w:i w:val="0"/>
                <w:iCs w:val="0"/>
                <w:color w:val="auto"/>
                <w:kern w:val="0"/>
                <w:sz w:val="22"/>
                <w:szCs w:val="22"/>
                <w:u w:val="none"/>
                <w:lang w:val="en-US" w:eastAsia="zh-CN" w:bidi="ar"/>
              </w:rPr>
              <w:t>44.00</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合计</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100.00</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sz w:val="22"/>
                <w:szCs w:val="22"/>
                <w:u w:val="none"/>
                <w:lang w:val="en-US"/>
              </w:rPr>
            </w:pPr>
            <w:r>
              <w:rPr>
                <w:rFonts w:hint="eastAsia" w:ascii="仿宋_GB2312" w:hAnsi="仿宋_GB2312" w:eastAsia="仿宋_GB2312" w:cs="仿宋_GB2312"/>
                <w:i w:val="0"/>
                <w:iCs w:val="0"/>
                <w:color w:val="auto"/>
                <w:kern w:val="0"/>
                <w:sz w:val="22"/>
                <w:szCs w:val="22"/>
                <w:u w:val="none"/>
                <w:lang w:val="en-US" w:eastAsia="zh-CN" w:bidi="ar"/>
              </w:rPr>
              <w:t>91.00</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91.00%</w:t>
            </w:r>
          </w:p>
        </w:tc>
      </w:tr>
    </w:tbl>
    <w:p>
      <w:pPr>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FF0000"/>
        </w:rPr>
      </w:pPr>
    </w:p>
    <w:p>
      <w:pPr>
        <w:pStyle w:val="18"/>
        <w:rPr>
          <w:sz w:val="11"/>
          <w:szCs w:val="15"/>
        </w:rPr>
      </w:pPr>
    </w:p>
    <w:p>
      <w:pPr>
        <w:keepNext w:val="0"/>
        <w:pageBreakBefore w:val="0"/>
        <w:kinsoku/>
        <w:topLinePunct w:val="0"/>
        <w:bidi w:val="0"/>
        <w:spacing w:line="240" w:lineRule="auto"/>
        <w:ind w:leftChars="0" w:firstLine="642" w:firstLineChars="200"/>
        <w:outlineLvl w:val="1"/>
        <w:rPr>
          <w:rFonts w:hint="eastAsia" w:ascii="楷体" w:hAnsi="楷体" w:eastAsia="楷体" w:cs="楷体"/>
          <w:b/>
          <w:bCs/>
          <w:color w:val="auto"/>
          <w:sz w:val="32"/>
          <w:szCs w:val="32"/>
          <w:lang w:val="en-US" w:eastAsia="zh-CN"/>
        </w:rPr>
      </w:pPr>
      <w:bookmarkStart w:id="58" w:name="_Toc12382"/>
      <w:r>
        <w:rPr>
          <w:rFonts w:hint="eastAsia" w:ascii="楷体" w:hAnsi="楷体" w:eastAsia="楷体" w:cs="楷体"/>
          <w:b/>
          <w:bCs/>
          <w:color w:val="auto"/>
          <w:sz w:val="32"/>
          <w:szCs w:val="32"/>
          <w:lang w:val="en-US" w:eastAsia="zh-CN"/>
        </w:rPr>
        <w:t>（二）绩效指标分析</w:t>
      </w:r>
      <w:bookmarkEnd w:id="58"/>
    </w:p>
    <w:p>
      <w:pPr>
        <w:pStyle w:val="18"/>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评价组从政策制定、政策实施、政策效益三个维度，对丰泽区公共文化服务体系建设专项资金政策进行绩效分析，具体如下：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59" w:name="_Toc29834"/>
      <w:r>
        <w:rPr>
          <w:rFonts w:hint="eastAsia" w:ascii="仿宋_GB2312" w:hAnsi="仿宋_GB2312" w:eastAsia="仿宋_GB2312" w:cs="仿宋_GB2312"/>
          <w:b/>
          <w:bCs/>
          <w:color w:val="auto"/>
          <w:sz w:val="32"/>
          <w:szCs w:val="32"/>
          <w:highlight w:val="none"/>
          <w:lang w:val="en-US" w:eastAsia="zh-CN"/>
        </w:rPr>
        <w:t>1.政策制定</w:t>
      </w:r>
      <w:bookmarkEnd w:id="59"/>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政策制定主要从政策目标导向、政策前期调研、政策要素完整3个方面进行分析，共6个三级指标，权重共计20分，实际得分19分，得分率为95.00%。各指标的实际得分情况详见下表。</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562" w:firstLineChars="200"/>
        <w:jc w:val="center"/>
        <w:textAlignment w:val="auto"/>
        <w:outlineLvl w:val="9"/>
        <w:rPr>
          <w:rFonts w:hint="eastAsia" w:ascii="楷体_GB2312" w:hAnsi="楷体_GB2312" w:eastAsia="楷体_GB2312" w:cs="楷体_GB2312"/>
          <w:b/>
          <w:bCs/>
          <w:color w:val="auto"/>
          <w:kern w:val="0"/>
          <w:sz w:val="28"/>
          <w:szCs w:val="28"/>
          <w:highlight w:val="none"/>
          <w:lang w:val="en-US" w:eastAsia="zh-CN"/>
        </w:rPr>
      </w:pPr>
      <w:r>
        <w:rPr>
          <w:rFonts w:hint="eastAsia" w:ascii="楷体_GB2312" w:hAnsi="楷体_GB2312" w:eastAsia="楷体_GB2312" w:cs="楷体_GB2312"/>
          <w:b/>
          <w:bCs/>
          <w:color w:val="auto"/>
          <w:kern w:val="0"/>
          <w:sz w:val="28"/>
          <w:szCs w:val="28"/>
          <w:highlight w:val="none"/>
          <w:lang w:val="en-US" w:eastAsia="zh-CN"/>
        </w:rPr>
        <w:t>政策制定类指标得分情况</w:t>
      </w:r>
    </w:p>
    <w:tbl>
      <w:tblPr>
        <w:tblStyle w:val="19"/>
        <w:tblW w:w="7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5"/>
        <w:gridCol w:w="1975"/>
        <w:gridCol w:w="1975"/>
        <w:gridCol w:w="19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11" w:hRule="atLeast"/>
          <w:tblHeader/>
          <w:jc w:val="center"/>
        </w:trPr>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default" w:ascii="仿宋_GB2312" w:hAnsi="仿宋_GB2312" w:eastAsia="仿宋_GB2312" w:cs="仿宋_GB2312"/>
                <w:b/>
                <w:bCs/>
                <w:i w:val="0"/>
                <w:iCs w:val="0"/>
                <w:color w:val="auto"/>
                <w:kern w:val="0"/>
                <w:sz w:val="22"/>
                <w:szCs w:val="22"/>
                <w:u w:val="none"/>
                <w:lang w:val="en-US" w:eastAsia="zh-CN" w:bidi="ar"/>
              </w:rPr>
            </w:pPr>
            <w:r>
              <w:rPr>
                <w:rFonts w:hint="eastAsia" w:ascii="仿宋_GB2312" w:hAnsi="仿宋_GB2312" w:eastAsia="仿宋_GB2312" w:cs="仿宋_GB2312"/>
                <w:b/>
                <w:bCs/>
                <w:i w:val="0"/>
                <w:iCs w:val="0"/>
                <w:color w:val="auto"/>
                <w:kern w:val="0"/>
                <w:sz w:val="22"/>
                <w:szCs w:val="22"/>
                <w:u w:val="none"/>
                <w:lang w:val="en-US" w:eastAsia="zh-CN" w:bidi="ar"/>
              </w:rPr>
              <w:t>二级指标</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三级指标</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lang w:val="en-US" w:eastAsia="zh-CN"/>
              </w:rPr>
            </w:pPr>
            <w:r>
              <w:rPr>
                <w:rFonts w:hint="eastAsia" w:ascii="仿宋_GB2312" w:hAnsi="仿宋_GB2312" w:eastAsia="仿宋_GB2312" w:cs="仿宋_GB2312"/>
                <w:b/>
                <w:bCs/>
                <w:i w:val="0"/>
                <w:iCs w:val="0"/>
                <w:color w:val="auto"/>
                <w:sz w:val="22"/>
                <w:szCs w:val="22"/>
                <w:u w:val="none"/>
                <w:lang w:val="en-US" w:eastAsia="zh-CN"/>
              </w:rPr>
              <w:t>权重</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197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政策目标导向</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政策设立必要性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975"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政策依据充分性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97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政策目标合理性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政策前期调研</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政策设立规范性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政策要素完整</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政策内容完备性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政策内容规范性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3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合计</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20</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19</w:t>
            </w:r>
          </w:p>
        </w:tc>
      </w:tr>
    </w:tbl>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（1）政策目标导向</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①政策设立必要性：该项权重分为3分，实际得3分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近年来，丰泽区深入贯彻落实《中华人民共和国公共文化服务</w:t>
      </w:r>
      <w:bookmarkStart w:id="106" w:name="_GoBack"/>
      <w:bookmarkEnd w:id="106"/>
      <w:r>
        <w:rPr>
          <w:rFonts w:hint="eastAsia" w:ascii="仿宋_GB2312" w:hAnsi="仿宋_GB2312" w:eastAsia="仿宋_GB2312" w:cs="仿宋_GB2312"/>
          <w:color w:val="auto"/>
          <w:kern w:val="0"/>
          <w:sz w:val="32"/>
          <w:szCs w:val="32"/>
          <w:highlight w:val="none"/>
          <w:lang w:val="en-US" w:eastAsia="zh-CN"/>
        </w:rPr>
        <w:t>保障法》和《中华人民共和国公共图书馆法》，持续加大财政投入，加强优质公共文化产品供给，推进基本公共文化服务标准化、均等化建设，初步形成网络比较健全、结构比较合理、发展比较均衡，运行有效的公共文化服务体系。为进一步加快丰泽区构建现代公共文化服务体系，建立健全公共文化服务经费保障机制，经区政府同意后，设立了丰泽区公共文化服务体系建设专项资金，同时，为规范和加强专项资金管理，提高资金使用效益，特制定《泉州市丰泽区公共文化服务体系建设专项资金管理办法》。该政策是对中共泉州市委办公室、泉州市人民政府办公室《关于加快构建现代公共文化服务体系的实施意见》（泉委办发﹝2016﹞19号）的落实，与丰泽区公共文化体系建设发展需要相符，实施该政策，有助于促进丰泽区公共文化事业持续健康发展，加快构建现代公共文化服务体系，满足丰泽区发展的需求。</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②</w:t>
      </w:r>
      <w:r>
        <w:rPr>
          <w:rFonts w:hint="eastAsia" w:ascii="仿宋_GB2312" w:hAnsi="仿宋_GB2312" w:eastAsia="仿宋_GB2312" w:cs="仿宋_GB2312"/>
          <w:color w:val="auto"/>
          <w:kern w:val="0"/>
          <w:sz w:val="32"/>
          <w:szCs w:val="32"/>
          <w:highlight w:val="none"/>
          <w:lang w:val="en-US" w:eastAsia="zh-CN"/>
        </w:rPr>
        <w:t>政策依据充分性：该项权重分为3分，实际得3分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2019年《泉州市丰泽区人民政府办公室关于印发泉州市丰泽区国家公共文化服务体系示范区建设规划的通知》（泉丰政办综〔2019〕59号）指出：“要加强项目资金保障，安排创建公共文化服务体系示范区专项资金，为完成创建国家公共文化服务体系示范区的各项工作任务提供经费保障。支持文化基础设施建设，加强经常性文化活动和文化服务经费的投入，保障基层公共文化服务运行经费”。</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丰泽区坚持以人民为中心，立足建设服务型政府，陆续研究出台《关于加快推进现代公共文化服务体系共建共享机制建设的实施意见》（泉丰政办综〔2020〕28号）《关于做好政府向社会力量购买公共文化服务工作的实施方案》等多份政策性文件，规范和引导社会组织健康发展、推动公共文化服务社会化发展。综上所述，政策依据充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③</w:t>
      </w:r>
      <w:r>
        <w:rPr>
          <w:rFonts w:hint="eastAsia" w:ascii="仿宋_GB2312" w:hAnsi="仿宋_GB2312" w:eastAsia="仿宋_GB2312" w:cs="仿宋_GB2312"/>
          <w:color w:val="auto"/>
          <w:kern w:val="0"/>
          <w:sz w:val="32"/>
          <w:szCs w:val="32"/>
          <w:highlight w:val="none"/>
          <w:lang w:val="en-US" w:eastAsia="zh-CN"/>
        </w:rPr>
        <w:t>政策目标合理性：该项权重分为3分，实际得2分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根据泉州市丰泽区文化体育和旅游局填报的绩效目标申报表，政策的总目标为“开展各部门文化活动、保障区级公共文化场馆正常开放以及文旅宣传推介”。总目标较为科学合理，与丰泽区公共文化服务体系建设目标相匹配，符合实际发展需要。但部分指标设置存在一定的不足，例如：质量指标“资金支出完成率”设置不合理，质量指标应当设置与项目建设结果（完工或验收）情况相呼应；社会效益指标“保障公共文化服务、宣传推介文旅品牌≥85%”，指标内容较为合理，但该指标值的评价数据不好获取，不便于量化进行考核。根据评分标准，该指标得66.67%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（2）政策前期调研</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①政策设立规范性：该项权重分为4分，实际得4分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泉州市丰泽区文化体育和旅游局根据中共泉州市委办公室、泉州市人民政府办公室《关于加快构建现代公共文化服务体系的实施意见》（泉委办发﹝2016﹞19号）等文件精神，结合丰泽区公共文化服务体系建设发展战略目标，经过广泛调研，每年按照实际要求拟定基本公共文化服务项目资金预算，会同区财政局联合发文出台《泉州市丰泽区公共文化服务体系建设专项资金管理办法》（泉丰政财〔2020〕28号），确保资金在项目申报、执行和验收时的规范使用。因此，根据评分细则，该指标得100%的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（3）政策要素完整</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000000"/>
          <w:kern w:val="0"/>
          <w:sz w:val="32"/>
          <w:szCs w:val="32"/>
          <w:shd w:val="clear" w:color="auto" w:fill="FFFFFF"/>
          <w:lang w:val="en-US" w:eastAsia="zh-CN" w:bidi="ar"/>
        </w:rPr>
      </w:pPr>
      <w:r>
        <w:rPr>
          <w:rFonts w:hint="eastAsia" w:ascii="仿宋_GB2312" w:hAnsi="微软雅黑" w:eastAsia="仿宋_GB2312" w:cs="宋体"/>
          <w:color w:val="000000"/>
          <w:kern w:val="0"/>
          <w:sz w:val="32"/>
          <w:szCs w:val="32"/>
          <w:shd w:val="clear" w:color="auto" w:fill="FFFFFF"/>
          <w:lang w:val="en-US" w:eastAsia="zh-CN" w:bidi="ar"/>
        </w:rPr>
        <w:t>①政策内容完备性：该项权重分为3分，实际得3分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微软雅黑" w:eastAsia="仿宋_GB2312" w:cs="宋体"/>
          <w:color w:val="000000"/>
          <w:kern w:val="0"/>
          <w:sz w:val="32"/>
          <w:szCs w:val="32"/>
          <w:shd w:val="clear" w:color="auto" w:fill="FFFFFF"/>
          <w:lang w:val="en-US" w:eastAsia="zh-CN" w:bidi="ar"/>
        </w:rPr>
        <w:t>政策明确有</w:t>
      </w:r>
      <w:r>
        <w:rPr>
          <w:rFonts w:hint="eastAsia" w:ascii="仿宋_GB2312" w:hAnsi="仿宋_GB2312" w:eastAsia="仿宋_GB2312" w:cs="仿宋_GB2312"/>
          <w:color w:val="auto"/>
          <w:kern w:val="0"/>
          <w:sz w:val="32"/>
          <w:szCs w:val="32"/>
          <w:highlight w:val="none"/>
          <w:lang w:val="en-US" w:eastAsia="zh-CN"/>
        </w:rPr>
        <w:t>效期为2年，责任主体主要有丰泽区财政局以及</w:t>
      </w:r>
      <w:r>
        <w:rPr>
          <w:rFonts w:hint="eastAsia" w:ascii="仿宋_GB2312" w:hAnsi="宋体" w:eastAsia="仿宋_GB2312" w:cs="宋体"/>
          <w:color w:val="333333"/>
          <w:kern w:val="0"/>
          <w:sz w:val="32"/>
          <w:szCs w:val="32"/>
          <w:lang w:eastAsia="zh-CN"/>
        </w:rPr>
        <w:t>实施基本</w:t>
      </w:r>
      <w:r>
        <w:rPr>
          <w:rFonts w:hint="eastAsia" w:ascii="仿宋_GB2312" w:hAnsi="微软雅黑" w:eastAsia="仿宋_GB2312" w:cs="宋体"/>
          <w:color w:val="000000"/>
          <w:kern w:val="0"/>
          <w:sz w:val="32"/>
          <w:szCs w:val="32"/>
          <w:shd w:val="clear" w:color="auto" w:fill="FFFFFF"/>
          <w:lang w:val="en-US" w:eastAsia="zh-CN" w:bidi="ar"/>
        </w:rPr>
        <w:t>公共文化服务的文化行政管理部门和单位，明确规定了专项资金各自对应的管理职责。</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中心评价小组对该专项资金政策内容进行了梳理，政策设立依据较为充分，资金来源为包括区本级财政预算安排的资金、上级专项补助资金、其他用于公共文化服务体系创建的资金，目标范围为区文化行政管理部门和所属的文化馆、图书馆等事业单位、各街道和社区等，面向社会大众开展的各项公益性基本公共文化服务，具体包括：完善区级公共文化设施，提升基层文化硬件设施；加强文化遗产保护和合理利用，推动非遗项目申报国家、省非遗目录；实施公共文化数字化建设工程，推动区级文化馆、图书馆建设；加强特色公共文化服务，办好元宵节等贴近生活、参与度高的文化活动，打造“文化有约”、“素馨花”等特色品牌。该政策内容中关于该专项资金的内容明确提出了政策制定的背景、政策制定的主要目标以及政策执行的主体及相关手段，因此，政策要素比较完整。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②</w:t>
      </w:r>
      <w:r>
        <w:rPr>
          <w:rFonts w:hint="eastAsia" w:ascii="仿宋_GB2312" w:hAnsi="仿宋_GB2312" w:eastAsia="仿宋_GB2312" w:cs="仿宋_GB2312"/>
          <w:color w:val="auto"/>
          <w:kern w:val="0"/>
          <w:sz w:val="32"/>
          <w:szCs w:val="32"/>
          <w:highlight w:val="none"/>
          <w:lang w:val="en-US" w:eastAsia="zh-CN"/>
        </w:rPr>
        <w:t>政策内容规范性：该项权重分为4分，实际得分4分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政策扶持范围符合丰泽区公共文化服务体系建设需求，覆盖全区社会大众开展的各项公益性基本公共文化服务，与其他政策相互独立，不存在政策交叉重复扶持现象，未发生因政策漏洞、决策失误而导致的重大发展问题、严重工作纰漏或不符合公共文化服务体系建设发展需要的政策导向。根据评分标准，该指标得100%权重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60" w:name="_Toc11713"/>
      <w:r>
        <w:rPr>
          <w:rFonts w:hint="eastAsia" w:ascii="仿宋_GB2312" w:hAnsi="仿宋_GB2312" w:eastAsia="仿宋_GB2312" w:cs="仿宋_GB2312"/>
          <w:b/>
          <w:bCs/>
          <w:color w:val="auto"/>
          <w:sz w:val="32"/>
          <w:szCs w:val="32"/>
          <w:highlight w:val="none"/>
          <w:lang w:val="en-US" w:eastAsia="zh-CN"/>
        </w:rPr>
        <w:t>2.政策实施</w:t>
      </w:r>
      <w:bookmarkEnd w:id="60"/>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政策实施从政策资金、政策执行、信息公开3个方面进行评价，共8个三级指标，权重共计36分，实际得分为28分，得分率为77.78%。各指标的实际得分情况详见下表。</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562" w:firstLineChars="200"/>
        <w:jc w:val="center"/>
        <w:textAlignment w:val="auto"/>
        <w:outlineLvl w:val="9"/>
        <w:rPr>
          <w:rFonts w:hint="eastAsia" w:ascii="楷体_GB2312" w:hAnsi="楷体_GB2312" w:eastAsia="楷体_GB2312" w:cs="楷体_GB2312"/>
          <w:b/>
          <w:bCs/>
          <w:color w:val="auto"/>
          <w:kern w:val="0"/>
          <w:sz w:val="28"/>
          <w:szCs w:val="28"/>
          <w:highlight w:val="none"/>
          <w:lang w:val="en-US" w:eastAsia="zh-CN"/>
        </w:rPr>
      </w:pPr>
      <w:r>
        <w:rPr>
          <w:rFonts w:hint="eastAsia" w:ascii="楷体_GB2312" w:hAnsi="楷体_GB2312" w:eastAsia="楷体_GB2312" w:cs="楷体_GB2312"/>
          <w:b/>
          <w:bCs/>
          <w:color w:val="auto"/>
          <w:kern w:val="0"/>
          <w:sz w:val="28"/>
          <w:szCs w:val="28"/>
          <w:highlight w:val="none"/>
          <w:lang w:val="en-US" w:eastAsia="zh-CN"/>
        </w:rPr>
        <w:t>政策实施类指标得分情况</w:t>
      </w:r>
    </w:p>
    <w:tbl>
      <w:tblPr>
        <w:tblStyle w:val="19"/>
        <w:tblW w:w="7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5"/>
        <w:gridCol w:w="1975"/>
        <w:gridCol w:w="1975"/>
        <w:gridCol w:w="19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11" w:hRule="atLeast"/>
          <w:tblHeader/>
          <w:jc w:val="center"/>
        </w:trPr>
        <w:tc>
          <w:tcPr>
            <w:tcW w:w="1975"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default" w:ascii="仿宋_GB2312" w:hAnsi="仿宋_GB2312" w:eastAsia="仿宋_GB2312" w:cs="仿宋_GB2312"/>
                <w:b/>
                <w:bCs/>
                <w:i w:val="0"/>
                <w:iCs w:val="0"/>
                <w:color w:val="auto"/>
                <w:kern w:val="0"/>
                <w:sz w:val="22"/>
                <w:szCs w:val="22"/>
                <w:u w:val="none"/>
                <w:lang w:val="en-US" w:eastAsia="zh-CN" w:bidi="ar"/>
              </w:rPr>
            </w:pPr>
            <w:r>
              <w:rPr>
                <w:rFonts w:hint="eastAsia" w:ascii="仿宋_GB2312" w:hAnsi="仿宋_GB2312" w:eastAsia="仿宋_GB2312" w:cs="仿宋_GB2312"/>
                <w:b/>
                <w:bCs/>
                <w:i w:val="0"/>
                <w:iCs w:val="0"/>
                <w:color w:val="auto"/>
                <w:kern w:val="0"/>
                <w:sz w:val="22"/>
                <w:szCs w:val="22"/>
                <w:u w:val="none"/>
                <w:lang w:val="en-US" w:eastAsia="zh-CN" w:bidi="ar"/>
              </w:rPr>
              <w:t>二级指标</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三级指标</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lang w:val="en-US" w:eastAsia="zh-CN"/>
              </w:rPr>
            </w:pPr>
            <w:r>
              <w:rPr>
                <w:rFonts w:hint="eastAsia" w:ascii="仿宋_GB2312" w:hAnsi="仿宋_GB2312" w:eastAsia="仿宋_GB2312" w:cs="仿宋_GB2312"/>
                <w:b/>
                <w:bCs/>
                <w:i w:val="0"/>
                <w:iCs w:val="0"/>
                <w:color w:val="auto"/>
                <w:sz w:val="22"/>
                <w:szCs w:val="22"/>
                <w:u w:val="none"/>
                <w:lang w:val="en-US" w:eastAsia="zh-CN"/>
              </w:rPr>
              <w:t>权重</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1975"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政策资金</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预算编制合理性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975"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预算资金执行率</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975"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资金使用合规性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政策执行</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管理制度健全性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部门协作机制健全性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申报审核规范性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监管执行有效性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信息公开</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信息公开规范性</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395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合计</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36</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28</w:t>
            </w:r>
          </w:p>
        </w:tc>
      </w:tr>
    </w:tbl>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textAlignment w:val="auto"/>
        <w:outlineLvl w:val="9"/>
        <w:rPr>
          <w:rFonts w:hint="eastAsia" w:ascii="仿宋_GB2312" w:hAnsi="仿宋_GB2312" w:eastAsia="仿宋_GB2312" w:cs="仿宋_GB2312"/>
          <w:color w:val="auto"/>
          <w:kern w:val="0"/>
          <w:sz w:val="32"/>
          <w:szCs w:val="32"/>
          <w:highlight w:val="none"/>
          <w:lang w:val="en-US" w:eastAsia="zh-CN"/>
        </w:rPr>
      </w:pP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（1）政策资金</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①预算编制合理性</w:t>
      </w:r>
      <w:r>
        <w:rPr>
          <w:rFonts w:hint="eastAsia" w:ascii="仿宋_GB2312" w:hAnsi="微软雅黑" w:eastAsia="仿宋_GB2312" w:cs="宋体"/>
          <w:color w:val="auto"/>
          <w:kern w:val="0"/>
          <w:sz w:val="32"/>
          <w:szCs w:val="32"/>
          <w:shd w:val="clear" w:color="auto" w:fill="FFFFFF"/>
          <w:lang w:val="en-US" w:eastAsia="zh-CN" w:bidi="ar"/>
        </w:rPr>
        <w:t>：该项权重分为4分，实际得分4分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丰泽区文化体育和旅游局将2020-2023年的公共文化服务体系建设专项资金分别纳入当年度预算管理，在编制下一年度部门预算时，根据事业发展规划和年度工作计划，本着集中财力办大事的原则，按照“零基预算”对专项资金进行归并整合，提出年度专项资金申请及绩效目标，由区财政局进行梳理和审核后编制专项资金预算，最后报区政府备案。通过查阅实施单位提供的预算申请以及相关佐证材料可知，该政策涉及的项目支出预算编制较为规范和完整。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②预算资金执行率</w:t>
      </w:r>
      <w:r>
        <w:rPr>
          <w:rFonts w:hint="eastAsia" w:ascii="仿宋_GB2312" w:hAnsi="微软雅黑" w:eastAsia="仿宋_GB2312" w:cs="宋体"/>
          <w:color w:val="auto"/>
          <w:kern w:val="0"/>
          <w:sz w:val="32"/>
          <w:szCs w:val="32"/>
          <w:shd w:val="clear" w:color="auto" w:fill="FFFFFF"/>
          <w:lang w:val="en-US" w:eastAsia="zh-CN" w:bidi="ar"/>
        </w:rPr>
        <w:t>：该项权重分为4分，实际得0分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通过收集项目相关资料，发现丰泽区文化体育和旅游局2020年公共文化服务体系建设资金按照相关项目实际情况进行申请支付，实际支出金额为283.70万元，预算执行情况较好；2021年预算为200万元，实际支出金额为16.04万元，执行率为8.02%；2022年预算为100万元，实际支出金额为23.94万元，执行率为23.94%；2023年预算为50万元，2023年截至6月实际支出金额为38.78万元，预算执行情况较为良好。2021年与2022年资金执行率非常低，因此，根据评分标准，该指标得不得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③资金使用合规性</w:t>
      </w:r>
      <w:r>
        <w:rPr>
          <w:rFonts w:hint="eastAsia" w:ascii="仿宋_GB2312" w:hAnsi="微软雅黑" w:eastAsia="仿宋_GB2312" w:cs="宋体"/>
          <w:color w:val="auto"/>
          <w:kern w:val="0"/>
          <w:sz w:val="32"/>
          <w:szCs w:val="32"/>
          <w:shd w:val="clear" w:color="auto" w:fill="FFFFFF"/>
          <w:lang w:val="en-US" w:eastAsia="zh-CN" w:bidi="ar"/>
        </w:rPr>
        <w:t>：该项权重分为6分，实际得6分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FF0000"/>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中心评价小组通过查阅文化体育和旅游局涉及该政策的项目相关支出凭证，资金使用符合预算批复规定的用途；资金使用符合相关资金管理办法要求；资金申请、审批、拨付履行了单位规定的完整程序和手续；建立有专项资金发放台账；对资金实行专项管理、分账核算、专款专用；不存在截留、挤占、挪用、虚列支出等情况。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（2）政策执行</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①管理制度健全性</w:t>
      </w:r>
      <w:r>
        <w:rPr>
          <w:rFonts w:hint="eastAsia" w:ascii="仿宋_GB2312" w:hAnsi="微软雅黑" w:eastAsia="仿宋_GB2312" w:cs="宋体"/>
          <w:color w:val="auto"/>
          <w:kern w:val="0"/>
          <w:sz w:val="32"/>
          <w:szCs w:val="32"/>
          <w:shd w:val="clear" w:color="auto" w:fill="FFFFFF"/>
          <w:lang w:val="en-US" w:eastAsia="zh-CN" w:bidi="ar"/>
        </w:rPr>
        <w:t>：该项权重分为4分，实际得4分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通过收集丰泽区公共文化服务体系建设专项资金项目的相关资料以及政策依据可知，泉州市丰泽区文化体育和旅游局根据《中华人民共和国预算法》《泉州市丰泽区人民政府关于印发丰泽区财政专项资金管理暂行规定的通知》（泉丰政综〔2018〕144号）和泉州市丰泽区财政局 泉州市丰泽区文化体育和旅游局制定的《泉州市丰泽区公共文化服务体系建设专项资金管理办法》（泉丰政财〔2020〕28号）等有关制度来规范和加强区级公共文化服务体系建设专项资金的使用和管理，发挥资金的引导和激励作用,提高资金的使用效益。在项目实施过程中，严格执行项目的监督管理机制，对需要进行把关的项目进行相关验收，业务管理制度内容完备齐全。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②部门协作机制健全性</w:t>
      </w:r>
      <w:r>
        <w:rPr>
          <w:rFonts w:hint="eastAsia" w:ascii="仿宋_GB2312" w:hAnsi="微软雅黑" w:eastAsia="仿宋_GB2312" w:cs="宋体"/>
          <w:color w:val="auto"/>
          <w:kern w:val="0"/>
          <w:sz w:val="32"/>
          <w:szCs w:val="32"/>
          <w:shd w:val="clear" w:color="auto" w:fill="FFFFFF"/>
          <w:lang w:val="en-US" w:eastAsia="zh-CN" w:bidi="ar"/>
        </w:rPr>
        <w:t>：该项权重分为4分，实际得4分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丰泽区文化体育和旅游局、区财政局以及实施基本公共文化服务的文化行政管理部门和单位在政策制定、实施、监督各环节建立部门协调沟通机制，并且在政策实施期间开展了沟通协作，明确各自责任范围，未出现因沟通不当影响政策实施的情况。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③申报审核规范性</w:t>
      </w:r>
      <w:r>
        <w:rPr>
          <w:rFonts w:hint="eastAsia" w:ascii="仿宋_GB2312" w:hAnsi="微软雅黑" w:eastAsia="仿宋_GB2312" w:cs="宋体"/>
          <w:color w:val="auto"/>
          <w:kern w:val="0"/>
          <w:sz w:val="32"/>
          <w:szCs w:val="32"/>
          <w:shd w:val="clear" w:color="auto" w:fill="FFFFFF"/>
          <w:lang w:val="en-US" w:eastAsia="zh-CN" w:bidi="ar"/>
        </w:rPr>
        <w:t>：该项权重分为6分，实际得6分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FF0000"/>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根据评价组查阅该政策项目的相关申报材料可知，丰泽区文化体育和旅游局2020年和2021年按要求进行预算编制和报批，执行过程中按相关管理办法规定对专项资金申报项目进行审核，审核结果记录较为完备，结果反馈记录较为完备，最后按照年初预算指标进行专项资金的使用，年底进行报账。2022年开始实行“一事一申请”，按照《泉州市丰泽区公共文化服务体系建设专项资金管理办法》规定需报区级财政部门审批通过后，才可以使用当年度预算资金。年度执行方式虽有进行调整，但项目申报审核严格按照规范执行。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④监管执行有效性</w:t>
      </w:r>
      <w:r>
        <w:rPr>
          <w:rFonts w:hint="eastAsia" w:ascii="仿宋_GB2312" w:hAnsi="微软雅黑" w:eastAsia="仿宋_GB2312" w:cs="宋体"/>
          <w:color w:val="auto"/>
          <w:kern w:val="0"/>
          <w:sz w:val="32"/>
          <w:szCs w:val="32"/>
          <w:shd w:val="clear" w:color="auto" w:fill="FFFFFF"/>
          <w:lang w:val="en-US" w:eastAsia="zh-CN" w:bidi="ar"/>
        </w:rPr>
        <w:t>：该项权重分为4分，实际得4分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2020-2023年，区文化体育和旅游局均对于公共文化服务体系建设专项资金实施全过程绩效管理，建立贯穿预算编制、执行、监督全过程的预算绩效管理体系，按照确定的绩效目标对专项资金进行绩效监控和绩效评价，对偏离绩效目标的项目采取措施进行整改；区财政局会同区文化体育和旅游局加强对项目执行情况和专项资金使用情况的监督检查和绩效评价，开始委托第三方机构进行专项检查和绩效评价，因此，该政策项目的监管执行有效。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（2）信息公开</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①信息公开规范性</w:t>
      </w:r>
      <w:r>
        <w:rPr>
          <w:rFonts w:hint="eastAsia" w:ascii="仿宋_GB2312" w:hAnsi="微软雅黑" w:eastAsia="仿宋_GB2312" w:cs="宋体"/>
          <w:color w:val="auto"/>
          <w:kern w:val="0"/>
          <w:sz w:val="32"/>
          <w:szCs w:val="32"/>
          <w:shd w:val="clear" w:color="auto" w:fill="FFFFFF"/>
          <w:lang w:val="en-US" w:eastAsia="zh-CN" w:bidi="ar"/>
        </w:rPr>
        <w:t>：该项权重分为4分，实际得分0分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政策制定时间为2020年5月11日，根据评价组收集到的项目相关资料和各大平台网站查询结果发现，丰泽区财政局会同区文化体育和旅游局一起制定完《泉州市丰泽区公共文化服务体系建设专项资金管理办法》后，未在相关的部门平台或信息网站按规定公示政策的相关信息，导致政策的知晓率较低。根据评分标准，该指标不得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eastAsia" w:ascii="仿宋_GB2312" w:hAnsi="仿宋_GB2312" w:eastAsia="仿宋_GB2312" w:cs="仿宋_GB2312"/>
          <w:b/>
          <w:bCs/>
          <w:color w:val="auto"/>
          <w:sz w:val="32"/>
          <w:szCs w:val="32"/>
          <w:highlight w:val="none"/>
          <w:lang w:val="en-US" w:eastAsia="zh-CN"/>
        </w:rPr>
      </w:pPr>
      <w:bookmarkStart w:id="61" w:name="_Toc26138"/>
      <w:r>
        <w:rPr>
          <w:rFonts w:hint="eastAsia" w:ascii="仿宋_GB2312" w:hAnsi="仿宋_GB2312" w:eastAsia="仿宋_GB2312" w:cs="仿宋_GB2312"/>
          <w:b/>
          <w:bCs/>
          <w:color w:val="auto"/>
          <w:sz w:val="32"/>
          <w:szCs w:val="32"/>
          <w:highlight w:val="none"/>
          <w:lang w:val="en-US" w:eastAsia="zh-CN"/>
        </w:rPr>
        <w:t>3.政策效益</w:t>
      </w:r>
      <w:bookmarkEnd w:id="61"/>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政策效益从产出、效益、满意度3个方面进行评价，共9个三级指标，权重共计44分，实际得分为44分，得分率为100.00%。各指标的实际得分情况详见下表。</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562" w:firstLineChars="200"/>
        <w:jc w:val="center"/>
        <w:textAlignment w:val="auto"/>
        <w:outlineLvl w:val="9"/>
        <w:rPr>
          <w:rFonts w:hint="eastAsia" w:ascii="楷体_GB2312" w:hAnsi="楷体_GB2312" w:eastAsia="楷体_GB2312" w:cs="楷体_GB2312"/>
          <w:b/>
          <w:bCs/>
          <w:color w:val="auto"/>
          <w:kern w:val="0"/>
          <w:sz w:val="28"/>
          <w:szCs w:val="28"/>
          <w:highlight w:val="none"/>
          <w:lang w:val="en-US" w:eastAsia="zh-CN"/>
        </w:rPr>
      </w:pPr>
      <w:r>
        <w:rPr>
          <w:rFonts w:hint="eastAsia" w:ascii="楷体_GB2312" w:hAnsi="楷体_GB2312" w:eastAsia="楷体_GB2312" w:cs="楷体_GB2312"/>
          <w:b/>
          <w:bCs/>
          <w:color w:val="auto"/>
          <w:kern w:val="0"/>
          <w:sz w:val="28"/>
          <w:szCs w:val="28"/>
          <w:highlight w:val="none"/>
          <w:lang w:val="en-US" w:eastAsia="zh-CN"/>
        </w:rPr>
        <w:t>政策效益类指标得分情况</w:t>
      </w:r>
    </w:p>
    <w:tbl>
      <w:tblPr>
        <w:tblStyle w:val="19"/>
        <w:tblW w:w="7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5"/>
        <w:gridCol w:w="1975"/>
        <w:gridCol w:w="1975"/>
        <w:gridCol w:w="19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11" w:hRule="atLeast"/>
          <w:tblHeader/>
          <w:jc w:val="center"/>
        </w:trPr>
        <w:tc>
          <w:tcPr>
            <w:tcW w:w="1975"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default" w:ascii="仿宋_GB2312" w:hAnsi="仿宋_GB2312" w:eastAsia="仿宋_GB2312" w:cs="仿宋_GB2312"/>
                <w:b/>
                <w:bCs/>
                <w:i w:val="0"/>
                <w:iCs w:val="0"/>
                <w:color w:val="auto"/>
                <w:kern w:val="0"/>
                <w:sz w:val="22"/>
                <w:szCs w:val="22"/>
                <w:u w:val="none"/>
                <w:lang w:val="en-US" w:eastAsia="zh-CN" w:bidi="ar"/>
              </w:rPr>
            </w:pPr>
            <w:r>
              <w:rPr>
                <w:rFonts w:hint="eastAsia" w:ascii="仿宋_GB2312" w:hAnsi="仿宋_GB2312" w:eastAsia="仿宋_GB2312" w:cs="仿宋_GB2312"/>
                <w:b/>
                <w:bCs/>
                <w:i w:val="0"/>
                <w:iCs w:val="0"/>
                <w:color w:val="auto"/>
                <w:kern w:val="0"/>
                <w:sz w:val="22"/>
                <w:szCs w:val="22"/>
                <w:u w:val="none"/>
                <w:lang w:val="en-US" w:eastAsia="zh-CN" w:bidi="ar"/>
              </w:rPr>
              <w:t>二级指标</w:t>
            </w:r>
          </w:p>
        </w:tc>
        <w:tc>
          <w:tcPr>
            <w:tcW w:w="1975"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三级指标</w:t>
            </w:r>
          </w:p>
        </w:tc>
        <w:tc>
          <w:tcPr>
            <w:tcW w:w="1975"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lang w:val="en-US" w:eastAsia="zh-CN"/>
              </w:rPr>
            </w:pPr>
            <w:r>
              <w:rPr>
                <w:rFonts w:hint="eastAsia" w:ascii="仿宋_GB2312" w:hAnsi="仿宋_GB2312" w:eastAsia="仿宋_GB2312" w:cs="仿宋_GB2312"/>
                <w:b/>
                <w:bCs/>
                <w:i w:val="0"/>
                <w:iCs w:val="0"/>
                <w:color w:val="auto"/>
                <w:sz w:val="22"/>
                <w:szCs w:val="22"/>
                <w:u w:val="none"/>
                <w:lang w:val="en-US" w:eastAsia="zh-CN"/>
              </w:rPr>
              <w:t>权重</w:t>
            </w:r>
          </w:p>
        </w:tc>
        <w:tc>
          <w:tcPr>
            <w:tcW w:w="197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suppressLineNumbers w:val="0"/>
              <w:kinsoku/>
              <w:topLinePunct w:val="0"/>
              <w:bidi w:val="0"/>
              <w:spacing w:line="240" w:lineRule="auto"/>
              <w:ind w:leftChars="0"/>
              <w:jc w:val="center"/>
              <w:textAlignment w:val="center"/>
              <w:rPr>
                <w:rFonts w:hint="eastAsia" w:ascii="仿宋_GB2312" w:hAnsi="仿宋_GB2312" w:eastAsia="仿宋_GB2312" w:cs="仿宋_GB2312"/>
                <w:b/>
                <w:bCs/>
                <w:i w:val="0"/>
                <w:iCs w:val="0"/>
                <w:color w:val="auto"/>
                <w:sz w:val="22"/>
                <w:szCs w:val="22"/>
                <w:u w:val="none"/>
              </w:rPr>
            </w:pPr>
            <w:r>
              <w:rPr>
                <w:rFonts w:hint="eastAsia" w:ascii="仿宋_GB2312" w:hAnsi="仿宋_GB2312" w:eastAsia="仿宋_GB2312" w:cs="仿宋_GB2312"/>
                <w:b/>
                <w:bCs/>
                <w:i w:val="0"/>
                <w:iCs w:val="0"/>
                <w:color w:val="auto"/>
                <w:kern w:val="0"/>
                <w:sz w:val="22"/>
                <w:szCs w:val="22"/>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1975"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政策产出</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公共文化服务体系建设资金补贴项目验收率</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8</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975" w:type="dxa"/>
            <w:vMerge w:val="continue"/>
            <w:tcBorders>
              <w:left w:val="single" w:color="auto" w:sz="4" w:space="0"/>
              <w:right w:val="single" w:color="auto" w:sz="4" w:space="0"/>
            </w:tcBorders>
            <w:shd w:val="clear" w:color="auto" w:fill="auto"/>
            <w:vAlign w:val="center"/>
          </w:tcPr>
          <w:p>
            <w:pPr>
              <w:jc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公共文化服务体系建设验收达标率</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975" w:type="dxa"/>
            <w:vMerge w:val="continue"/>
            <w:tcBorders>
              <w:left w:val="single" w:color="auto" w:sz="4" w:space="0"/>
              <w:right w:val="single" w:color="auto" w:sz="4" w:space="0"/>
            </w:tcBorders>
            <w:shd w:val="clear" w:color="auto" w:fill="auto"/>
            <w:vAlign w:val="center"/>
          </w:tcPr>
          <w:p>
            <w:pPr>
              <w:jc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专项资金补贴发放及时率</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auto" w:sz="4" w:space="0"/>
              <w:bottom w:val="single" w:color="auto" w:sz="4" w:space="0"/>
              <w:right w:val="single" w:color="auto" w:sz="4" w:space="0"/>
            </w:tcBorders>
            <w:shd w:val="clear" w:color="auto" w:fill="auto"/>
            <w:vAlign w:val="center"/>
          </w:tcPr>
          <w:p>
            <w:pPr>
              <w:jc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项目补贴标准</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政策效益</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推动创建公共文化服务体系示范区</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auto" w:sz="4" w:space="0"/>
              <w:right w:val="single" w:color="auto" w:sz="4" w:space="0"/>
            </w:tcBorders>
            <w:shd w:val="clear" w:color="auto" w:fill="auto"/>
            <w:vAlign w:val="center"/>
          </w:tcPr>
          <w:p>
            <w:pPr>
              <w:jc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提升基层公共文化服务水平</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auto" w:sz="4" w:space="0"/>
              <w:right w:val="single" w:color="auto" w:sz="4" w:space="0"/>
            </w:tcBorders>
            <w:shd w:val="clear" w:color="auto" w:fill="auto"/>
            <w:vAlign w:val="center"/>
          </w:tcPr>
          <w:p>
            <w:pPr>
              <w:jc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创建多元公共文化服务体系</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vMerge w:val="continue"/>
            <w:tcBorders>
              <w:left w:val="single" w:color="auto" w:sz="4" w:space="0"/>
              <w:bottom w:val="single" w:color="auto" w:sz="4" w:space="0"/>
              <w:right w:val="single" w:color="auto" w:sz="4" w:space="0"/>
            </w:tcBorders>
            <w:shd w:val="clear" w:color="auto" w:fill="auto"/>
            <w:vAlign w:val="center"/>
          </w:tcPr>
          <w:p>
            <w:pPr>
              <w:jc w:val="center"/>
              <w:rPr>
                <w:rFonts w:hint="eastAsia" w:ascii="仿宋_GB2312" w:hAnsi="仿宋_GB2312" w:eastAsia="仿宋_GB2312" w:cs="仿宋_GB2312"/>
                <w:i w:val="0"/>
                <w:iCs w:val="0"/>
                <w:color w:val="auto"/>
                <w:kern w:val="0"/>
                <w:sz w:val="22"/>
                <w:szCs w:val="22"/>
                <w:u w:val="none"/>
                <w:lang w:val="en-US" w:eastAsia="zh-CN" w:bidi="ar"/>
              </w:rPr>
            </w:pP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丰富群众的精神文化生活</w:t>
            </w:r>
          </w:p>
        </w:tc>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c>
          <w:tcPr>
            <w:tcW w:w="1975"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9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满意度</w:t>
            </w:r>
          </w:p>
        </w:tc>
        <w:tc>
          <w:tcPr>
            <w:tcW w:w="1975"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服务对象满意度</w:t>
            </w:r>
          </w:p>
        </w:tc>
        <w:tc>
          <w:tcPr>
            <w:tcW w:w="197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395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合计</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22"/>
                <w:szCs w:val="22"/>
                <w:u w:val="none"/>
                <w:lang w:val="en-US" w:eastAsia="zh-CN" w:bidi="ar"/>
              </w:rPr>
            </w:pPr>
            <w:r>
              <w:rPr>
                <w:rFonts w:hint="eastAsia" w:ascii="仿宋_GB2312" w:hAnsi="仿宋_GB2312" w:eastAsia="仿宋_GB2312" w:cs="仿宋_GB2312"/>
                <w:i w:val="0"/>
                <w:iCs w:val="0"/>
                <w:color w:val="auto"/>
                <w:kern w:val="0"/>
                <w:sz w:val="22"/>
                <w:szCs w:val="22"/>
                <w:u w:val="none"/>
                <w:lang w:val="en-US" w:eastAsia="zh-CN" w:bidi="ar"/>
              </w:rPr>
              <w:t>44</w:t>
            </w:r>
          </w:p>
        </w:tc>
      </w:tr>
    </w:tbl>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（1）政策产出</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微软雅黑" w:eastAsia="仿宋_GB2312" w:cs="宋体"/>
          <w:color w:val="auto"/>
          <w:kern w:val="0"/>
          <w:sz w:val="32"/>
          <w:szCs w:val="32"/>
          <w:shd w:val="clear" w:color="auto" w:fill="FFFFFF"/>
          <w:lang w:val="en-US" w:eastAsia="zh-CN" w:bidi="ar"/>
        </w:rPr>
      </w:pPr>
      <w:r>
        <w:rPr>
          <w:rFonts w:hint="eastAsia" w:ascii="仿宋_GB2312" w:hAnsi="仿宋_GB2312" w:eastAsia="仿宋_GB2312" w:cs="仿宋_GB2312"/>
          <w:color w:val="auto"/>
          <w:kern w:val="0"/>
          <w:sz w:val="32"/>
          <w:szCs w:val="32"/>
          <w:highlight w:val="none"/>
          <w:lang w:val="en-US" w:eastAsia="zh-CN"/>
        </w:rPr>
        <w:t>①公共文化服务体系建设资金补贴项目验收率</w:t>
      </w:r>
      <w:r>
        <w:rPr>
          <w:rFonts w:hint="eastAsia" w:ascii="仿宋_GB2312" w:hAnsi="微软雅黑" w:eastAsia="仿宋_GB2312" w:cs="宋体"/>
          <w:color w:val="auto"/>
          <w:kern w:val="0"/>
          <w:sz w:val="32"/>
          <w:szCs w:val="32"/>
          <w:shd w:val="clear" w:color="auto" w:fill="FFFFFF"/>
          <w:lang w:val="en-US" w:eastAsia="zh-CN" w:bidi="ar"/>
        </w:rPr>
        <w:t>：该项权重分为8分，实际得8分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sectPr>
          <w:headerReference r:id="rId8" w:type="default"/>
          <w:pgSz w:w="11906" w:h="16838"/>
          <w:pgMar w:top="1440" w:right="1519" w:bottom="1440"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color w:val="auto"/>
          <w:kern w:val="0"/>
          <w:sz w:val="32"/>
          <w:szCs w:val="32"/>
          <w:highlight w:val="none"/>
          <w:lang w:val="en-US" w:eastAsia="zh-CN"/>
        </w:rPr>
        <w:t>2020-2023年泉州市丰泽区公共文化服务体系建设专项资金实际支出事项为下表所示，除32万的建设费用（全区街道综合文化站2020年度免费开放专项资金）和157.41万（24小时街区自助图书馆）项目不需要进行验收外，其余项目均按照要求进行验收，验收率100%。根据评分规则，该项指标得8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jc w:val="center"/>
        <w:textAlignment w:val="auto"/>
        <w:outlineLvl w:val="9"/>
        <w:rPr>
          <w:rFonts w:hint="default" w:ascii="仿宋_GB2312" w:hAnsi="仿宋_GB2312" w:eastAsia="仿宋_GB2312" w:cs="仿宋_GB2312"/>
          <w:b/>
          <w:bCs/>
          <w:color w:val="auto"/>
          <w:kern w:val="0"/>
          <w:sz w:val="28"/>
          <w:szCs w:val="28"/>
          <w:highlight w:val="none"/>
          <w:lang w:val="en-US" w:eastAsia="zh-CN"/>
        </w:rPr>
      </w:pPr>
      <w:r>
        <w:rPr>
          <w:rFonts w:hint="eastAsia" w:ascii="仿宋_GB2312" w:hAnsi="仿宋_GB2312" w:eastAsia="仿宋_GB2312" w:cs="仿宋_GB2312"/>
          <w:b/>
          <w:bCs/>
          <w:color w:val="auto"/>
          <w:kern w:val="0"/>
          <w:sz w:val="28"/>
          <w:szCs w:val="28"/>
          <w:highlight w:val="none"/>
          <w:lang w:val="en-US" w:eastAsia="zh-CN"/>
        </w:rPr>
        <w:t>项目验收情况</w:t>
      </w:r>
    </w:p>
    <w:tbl>
      <w:tblPr>
        <w:tblStyle w:val="19"/>
        <w:tblW w:w="1404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4"/>
        <w:gridCol w:w="1637"/>
        <w:gridCol w:w="61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blHeader/>
        </w:trPr>
        <w:tc>
          <w:tcPr>
            <w:tcW w:w="624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事项</w:t>
            </w:r>
          </w:p>
        </w:tc>
        <w:tc>
          <w:tcPr>
            <w:tcW w:w="163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涉及金额</w:t>
            </w:r>
          </w:p>
        </w:tc>
        <w:tc>
          <w:tcPr>
            <w:tcW w:w="616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验收情况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全区街道综合文化站2020年度免费开放专项资金</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320000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不需要进行验收。</w:t>
            </w:r>
          </w:p>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原因：该笔为中央下达地方的任务，当年补助街道5万元，中央补助20%，地方补全剩余80%为4万元，作为建设费用，故未进行验收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公共文化服务体系建设专项资金（20万图书馆图书捐赠执行费（发货、仓储、人员服务等支出）</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200000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公共文化服务体系建设专项资金（图书加工费）（尾款部分）</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8897</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“阅读马拉松”之每天阅读一小时阅读推广活动协议</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7238</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举办“阅读力量”云论坛暨纪念第25个4·23世界读书日主题活动协议</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14800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泉州市壹心文化传媒有限公司2020年区元宵花灯宣传视频摄制</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18500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丰泽区宝雅广告设计中心2020年区元宵花灯红灯笼</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204000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24小时街区自助图书馆</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1574100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不需要进行验收。</w:t>
            </w:r>
          </w:p>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原因：该项目为市级统筹购买服务，文化体育和旅游局付费给市局，非验收主体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泉州市丰泽区平安电子有限公司2020年区元宵花灯氛围夜景亮化</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489420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福州21年文化志愿者培训</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285</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图书馆开馆前业务培训培训师资费</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“我的入党故事”党员专题访谈录制</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24720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“4.23世界读书日”阅读推广服务</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24780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6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泉州市纸间游文化创意发展有限公司图书编目加工费</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70152.5</w:t>
            </w:r>
          </w:p>
        </w:tc>
        <w:tc>
          <w:tcPr>
            <w:tcW w:w="616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 w:hAnsi="仿宋" w:eastAsia="仿宋" w:cs="仿宋"/>
                <w:i w:val="0"/>
                <w:iCs w:val="0"/>
                <w:color w:val="000000"/>
                <w:sz w:val="24"/>
                <w:szCs w:val="24"/>
                <w:u w:val="none"/>
              </w:rPr>
            </w:pP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38420</w:t>
            </w:r>
          </w:p>
        </w:tc>
        <w:tc>
          <w:tcPr>
            <w:tcW w:w="6163" w:type="dxa"/>
            <w:vMerge w:val="continue"/>
            <w:tcBorders>
              <w:left w:val="single" w:color="000000" w:sz="4" w:space="0"/>
              <w:bottom w:val="single" w:color="000000" w:sz="4" w:space="0"/>
              <w:right w:val="single" w:color="000000" w:sz="4" w:space="0"/>
            </w:tcBorders>
            <w:shd w:val="clear" w:color="auto" w:fill="auto"/>
            <w:vAlign w:val="center"/>
          </w:tcPr>
          <w:p>
            <w:pPr>
              <w:jc w:val="left"/>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2021福建旅游交易会展位费</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5400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丰泽区“十四五”文旅产业发展规划课题编制</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15000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丰泽区影视协拍小程序项目资金</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255500</w:t>
            </w:r>
          </w:p>
        </w:tc>
        <w:tc>
          <w:tcPr>
            <w:tcW w:w="61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影视协拍小程序运营服务合同价首付50%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49749</w:t>
            </w:r>
          </w:p>
        </w:tc>
        <w:tc>
          <w:tcPr>
            <w:tcW w:w="6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合同进行中。</w:t>
            </w:r>
          </w:p>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原因：该笔为项目合同约定预付款，故拨付此笔暂无需验收程序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2022年时尚文化微剧场系列文艺活动服务费</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247500</w:t>
            </w:r>
          </w:p>
        </w:tc>
        <w:tc>
          <w:tcPr>
            <w:tcW w:w="6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合同进行中。</w:t>
            </w:r>
          </w:p>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原因：该笔为项目合同约定预付款，故拨付此笔暂无需验收程序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21年书香丰泽读书分享会活动经费</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15024</w:t>
            </w:r>
          </w:p>
        </w:tc>
        <w:tc>
          <w:tcPr>
            <w:tcW w:w="6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22年图书馆元旦春节主题系列活动经费</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27000</w:t>
            </w:r>
          </w:p>
        </w:tc>
        <w:tc>
          <w:tcPr>
            <w:tcW w:w="6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6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非遗进社区主题活动（总三场）活动经费</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12000</w:t>
            </w:r>
          </w:p>
        </w:tc>
        <w:tc>
          <w:tcPr>
            <w:tcW w:w="6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已完工验收</w:t>
            </w:r>
          </w:p>
        </w:tc>
      </w:tr>
    </w:tbl>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textAlignment w:val="auto"/>
        <w:outlineLvl w:val="9"/>
        <w:rPr>
          <w:rFonts w:hint="default" w:ascii="仿宋_GB2312" w:hAnsi="仿宋_GB2312" w:eastAsia="仿宋_GB2312" w:cs="仿宋_GB2312"/>
          <w:color w:val="FF0000"/>
          <w:kern w:val="0"/>
          <w:sz w:val="32"/>
          <w:szCs w:val="32"/>
          <w:highlight w:val="none"/>
          <w:lang w:val="en-US" w:eastAsia="zh-CN"/>
        </w:rPr>
      </w:pP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FF0000"/>
          <w:kern w:val="0"/>
          <w:sz w:val="32"/>
          <w:szCs w:val="32"/>
          <w:highlight w:val="none"/>
          <w:lang w:val="en-US" w:eastAsia="zh-CN"/>
        </w:rPr>
      </w:pP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textAlignment w:val="auto"/>
        <w:outlineLvl w:val="9"/>
        <w:rPr>
          <w:rFonts w:hint="default" w:ascii="仿宋_GB2312" w:hAnsi="仿宋_GB2312" w:eastAsia="仿宋_GB2312" w:cs="仿宋_GB2312"/>
          <w:color w:val="FF0000"/>
          <w:kern w:val="0"/>
          <w:sz w:val="32"/>
          <w:szCs w:val="32"/>
          <w:highlight w:val="none"/>
          <w:lang w:val="en-US" w:eastAsia="zh-CN"/>
        </w:rPr>
        <w:sectPr>
          <w:headerReference r:id="rId9" w:type="default"/>
          <w:pgSz w:w="16838" w:h="11906" w:orient="landscape"/>
          <w:pgMar w:top="1587" w:right="1440" w:bottom="1519"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②公共文化服务体系建设验收达标率：该项权重分为6分，实际得6分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通过查阅区文化体育和旅游局2020-2023年丰泽区公共文化服务体系建设专项资金已验收项目的验收结论可知，已开展验收的项目验收合格率为100%。根据评分标准，该指标得100%权重分。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③专项资金补贴发放及时率：该项权重分为4分，实际得4分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通过查阅区文化体育和旅游局2020-2023年丰泽区公共文化服务体系建设专项资金涉及的相关材料，如项目签订的合同、相关协议、区委会议纪要、区政府会议纪要、资金支付明细和相关资金凭证可知，2020-2023年实施的项目专项资金严格执行拨付手续，专项资金补贴发放及时率为100%。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④项目补贴标准：该项权重分为4分，实际得4分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2020-2023年丰泽区公共文化服务体系建设专项资金共涉及22个小项，由于《泉州市丰泽区公共文化服务体系建设专项资金管理办法》（泉丰政财〔2020〕28号）的内容未明确项目资金补助的标准与上限，而是由实施基本公共文化服务的文化行政管理部门和单位在编制下一年度部门预算时纳入年度预算编制，当年度实施项目时经财政及相关单位审核后，再进行实施与支付。通过材料审核，发现丰泽区文化体育和旅游局严格按流程进行补贴，补贴标准经过审核，故认为合规有效。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（2）政策效益</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①推动创建国家公共文化服务体系示范区：该项权重分为4分，实际得4分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为持续深化国家公共文化服务体系示范区创建工作，丰泽区就进一步深</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化创建工作进行部署，持续完善公共文化设施、丰富公共文化产品，提升文化服务品质，例如配合市级完成街道文化站免费开放项目；做好丰泽区图书馆场馆内部装修，图书、家具采购等工作；保障</w:t>
      </w:r>
      <w:r>
        <w:rPr>
          <w:rFonts w:hint="eastAsia" w:ascii="仿宋_GB2312" w:hAnsi="仿宋_GB2312" w:eastAsia="仿宋_GB2312" w:cs="仿宋_GB2312"/>
          <w:sz w:val="32"/>
          <w:szCs w:val="32"/>
          <w:lang w:val="en-US" w:eastAsia="zh-CN"/>
        </w:rPr>
        <w:t>丰泽区图书馆顺利开馆与运行，2022年共接待读者18.9万人次，接待读者占丰泽区常住居民人口约26.2%；</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对照创建标准，针对辖区8个街道文化站设施建设、设备配置、人员配备管理服务等方面狠抓整改，在原有基础上均进行扩容和改造提升等等，有效提升公共文化服务效能，扎实推</w:t>
      </w:r>
      <w:r>
        <w:rPr>
          <w:rFonts w:hint="eastAsia" w:ascii="仿宋_GB2312" w:hAnsi="仿宋_GB2312" w:eastAsia="仿宋_GB2312" w:cs="仿宋_GB2312"/>
          <w:color w:val="auto"/>
          <w:kern w:val="0"/>
          <w:sz w:val="32"/>
          <w:szCs w:val="32"/>
          <w:highlight w:val="none"/>
          <w:lang w:val="en-US" w:eastAsia="zh-CN"/>
        </w:rPr>
        <w:t>进丰泽区各项创建工作。根据评分标准，该指标得100%权重分。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②提升基层公共文化服务水平：该项权重分为4分，实际得4分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丰泽区通过举办专业业务培训，成立文化服务志愿总队，依托区文化馆，先后开展公益讲堂近28期，受益听众2000余人次，120余场公益培训班，15期“书香丰泽”全民阅读活动。2019年文化馆流动服务演出共计18场，流动服务展览共计15场。逐步提高基层文化队伍知识化、专业化水平，夯实基层文化服务基础，提升区公共文化服务效能。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color w:val="auto"/>
          <w:kern w:val="0"/>
          <w:sz w:val="32"/>
          <w:szCs w:val="32"/>
          <w:highlight w:val="none"/>
          <w:lang w:val="en-US" w:eastAsia="zh-CN"/>
        </w:rPr>
        <w:t>③</w:t>
      </w:r>
      <w:r>
        <w:rPr>
          <w:rFonts w:hint="eastAsia" w:ascii="仿宋_GB2312" w:hAnsi="仿宋_GB2312" w:eastAsia="仿宋_GB2312" w:cs="仿宋_GB2312"/>
          <w:color w:val="auto"/>
          <w:kern w:val="0"/>
          <w:sz w:val="32"/>
          <w:szCs w:val="32"/>
          <w:highlight w:val="none"/>
          <w:lang w:val="en-US" w:eastAsia="zh-CN"/>
        </w:rPr>
        <w:t>创建多元公共文化服务体系：该项权重分为4分，实际得4分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丰泽区文旅局为满足群众日益增长的文化需求，以区级公共文化设施和十个百姓书房为载体，公益讲堂、公益培训、书香丰泽三大特色内容为支撑，开展丰富多彩的公益文化惠民活动，不断优化持续优化“文化有约”、“素馨花”合唱团等特色品牌，开展大型文化惠民活动，打造群众喜闻乐见、参与最广的特色文化品牌。根据评分标准，该指标得100%权重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④丰富群众的精神文化生活：该项权重分为4分，实际得4分</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 w:hAnsi="仿宋" w:eastAsia="仿宋" w:cs="仿宋"/>
          <w:color w:val="FF0000"/>
          <w:sz w:val="13"/>
          <w:szCs w:val="13"/>
          <w:lang w:val="en-US" w:eastAsia="zh-CN"/>
        </w:rPr>
      </w:pPr>
      <w:r>
        <w:rPr>
          <w:rFonts w:hint="eastAsia" w:ascii="仿宋_GB2312" w:hAnsi="仿宋_GB2312" w:eastAsia="仿宋_GB2312" w:cs="仿宋_GB2312"/>
          <w:color w:val="auto"/>
          <w:kern w:val="0"/>
          <w:sz w:val="32"/>
          <w:szCs w:val="32"/>
          <w:highlight w:val="none"/>
          <w:lang w:val="en-US" w:eastAsia="zh-CN"/>
        </w:rPr>
        <w:t>2020年元宵花灯氛围夜景亮化、元宵花灯宣传视频摄制、元宵花灯红灯笼布置，按要求做好元宵节期间氛围布置工作，并在夜景氛围方面做好提升；丰泽区图书馆通过充分利用公共文化服务体系建设专项资金，总分馆制联合各分馆、百姓书房举办“读书传递力量·红色经典阅读”暨4.23世界读书日“阅读马拉松”活动、开展“我的入党故事”党员专题访谈录制、21年“书香丰泽”全民阅读月、22年图书馆元旦春节主题系列活动，做好阅读推广；开展时尚文化微剧场系列文艺活动；开发影视协拍小程序及运营，为影视服务中心运转提升需要，推动各类公共文化活动常态化开展，不断提升群众的文化获得感。等等。根据评分标准，该指标得100%权重分。</w:t>
      </w:r>
    </w:p>
    <w:p>
      <w:pPr>
        <w:keepNext w:val="0"/>
        <w:pageBreakBefore w:val="0"/>
        <w:kinsoku/>
        <w:topLinePunct w:val="0"/>
        <w:bidi w:val="0"/>
        <w:spacing w:line="240" w:lineRule="auto"/>
        <w:ind w:leftChars="0" w:firstLine="642" w:firstLineChars="200"/>
        <w:outlineLvl w:val="0"/>
        <w:rPr>
          <w:rFonts w:hint="eastAsia" w:ascii="黑体" w:hAnsi="黑体" w:eastAsia="黑体" w:cs="黑体"/>
          <w:b/>
          <w:bCs/>
          <w:color w:val="auto"/>
          <w:sz w:val="32"/>
          <w:szCs w:val="32"/>
          <w:lang w:val="en-US" w:eastAsia="zh-CN"/>
        </w:rPr>
      </w:pPr>
      <w:bookmarkStart w:id="62" w:name="_Toc29063"/>
      <w:r>
        <w:rPr>
          <w:rFonts w:hint="eastAsia" w:ascii="黑体" w:hAnsi="黑体" w:eastAsia="黑体" w:cs="黑体"/>
          <w:b/>
          <w:bCs/>
          <w:color w:val="auto"/>
          <w:sz w:val="32"/>
          <w:szCs w:val="32"/>
          <w:lang w:val="en-US" w:eastAsia="zh-CN"/>
        </w:rPr>
        <w:t>五、存在的问题及原因分析</w:t>
      </w:r>
      <w:bookmarkEnd w:id="62"/>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32"/>
          <w:szCs w:val="32"/>
          <w:lang w:val="en-US" w:eastAsia="zh-CN"/>
        </w:rPr>
      </w:pPr>
      <w:bookmarkStart w:id="63" w:name="_Toc269"/>
      <w:bookmarkStart w:id="64" w:name="_Toc13467"/>
      <w:bookmarkStart w:id="65" w:name="_Toc20616"/>
      <w:r>
        <w:rPr>
          <w:rFonts w:hint="eastAsia" w:ascii="楷体" w:hAnsi="楷体" w:eastAsia="楷体" w:cs="楷体"/>
          <w:b/>
          <w:bCs/>
          <w:color w:val="auto"/>
          <w:sz w:val="32"/>
          <w:szCs w:val="32"/>
          <w:lang w:val="en-US" w:eastAsia="zh-CN"/>
        </w:rPr>
        <w:t>（一）</w:t>
      </w:r>
      <w:bookmarkEnd w:id="63"/>
      <w:bookmarkEnd w:id="64"/>
      <w:r>
        <w:rPr>
          <w:rFonts w:hint="eastAsia" w:ascii="楷体" w:hAnsi="楷体" w:eastAsia="楷体" w:cs="楷体"/>
          <w:b/>
          <w:bCs/>
          <w:color w:val="auto"/>
          <w:sz w:val="32"/>
          <w:szCs w:val="32"/>
          <w:lang w:val="en-US" w:eastAsia="zh-CN"/>
        </w:rPr>
        <w:t>政策目标设置不够严谨</w:t>
      </w:r>
      <w:bookmarkEnd w:id="65"/>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部分指标设置存在一定的不足，例如：质量指标“资金支出完成率”设置不合理，质量指标应当与项目建设结果（完工或验收）情况相呼应；社会效益指标“保障公共文化服务、宣传推介文旅品牌≥85%”，指标内容较为合理，但该指标值的评价数据不好获取，不便于进行量化考核。</w:t>
      </w:r>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32"/>
          <w:szCs w:val="32"/>
          <w:lang w:val="en-US" w:eastAsia="zh-CN"/>
        </w:rPr>
      </w:pPr>
      <w:bookmarkStart w:id="66" w:name="_Toc5019"/>
      <w:r>
        <w:rPr>
          <w:rFonts w:hint="eastAsia" w:ascii="楷体" w:hAnsi="楷体" w:eastAsia="楷体" w:cs="楷体"/>
          <w:b/>
          <w:bCs/>
          <w:color w:val="auto"/>
          <w:sz w:val="32"/>
          <w:szCs w:val="32"/>
          <w:lang w:val="en-US" w:eastAsia="zh-CN"/>
        </w:rPr>
        <w:t>（二）个别年度预算执行率较差</w:t>
      </w:r>
      <w:bookmarkEnd w:id="66"/>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丰泽区文化体育和旅游局2020年实际支出金额为283.70万元；2021年预算为200万元，实际支出金额为16.04万元，执行率为8.02%；2022年预算为100万元，实际支出金额为23.94万元，执行率为23.94%；2023年预算为50万元，2023年截至6月实际支出金额为38.78万元，预算执行情况较为良好。2021年与2022年资金执行率非常低。由于丰泽区文化体育和旅游局对2020年的预算情况未提交相关预算材料，故无法对其执行情况进行分析。</w:t>
      </w:r>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32"/>
          <w:szCs w:val="32"/>
          <w:lang w:val="en-US" w:eastAsia="zh-CN"/>
        </w:rPr>
      </w:pPr>
      <w:bookmarkStart w:id="67" w:name="_Toc15950"/>
      <w:r>
        <w:rPr>
          <w:rFonts w:hint="eastAsia" w:ascii="楷体" w:hAnsi="楷体" w:eastAsia="楷体" w:cs="楷体"/>
          <w:b/>
          <w:bCs/>
          <w:color w:val="auto"/>
          <w:sz w:val="32"/>
          <w:szCs w:val="32"/>
          <w:lang w:val="en-US" w:eastAsia="zh-CN"/>
        </w:rPr>
        <w:t>（三）业务管理制度有待完善</w:t>
      </w:r>
      <w:bookmarkEnd w:id="67"/>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泉州市丰泽区文化体育和旅游局根据《预算法》《泉州市丰泽区人民政府关于印发丰泽区财政专项资金管理暂行规定的通知》（泉丰政综〔2018〕144号）和泉州市丰泽区财政局 泉州市丰泽区文化体育和旅游局制定的《泉州市丰泽区公共文化服务体系建设专项资金管理办法》（泉丰政财〔2020〕28号）等有关制度来规范和加强区级公共文化服务体系建设专项资金的使用和管理，发挥资金的引导和激励作用,提高资金的使用效益。但是在项目实施时，没有政策执行过程中、完成后的监督机制，导致部分资金配套项目未进行相关验收，业务管理制度内容存在缺失。政策制定出台后，未在相关的部门平台或信息网站按规定公示政策的相关信息，政策的知晓率较低。</w:t>
      </w:r>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32"/>
          <w:szCs w:val="32"/>
          <w:lang w:val="en-US" w:eastAsia="zh-CN"/>
        </w:rPr>
      </w:pPr>
      <w:bookmarkStart w:id="68" w:name="_Toc26086"/>
      <w:r>
        <w:rPr>
          <w:rFonts w:hint="eastAsia" w:ascii="楷体" w:hAnsi="楷体" w:eastAsia="楷体" w:cs="楷体"/>
          <w:b/>
          <w:bCs/>
          <w:color w:val="auto"/>
          <w:sz w:val="32"/>
          <w:szCs w:val="32"/>
          <w:lang w:val="en-US" w:eastAsia="zh-CN"/>
        </w:rPr>
        <w:t>（四）公共文化服务质量仍需提高</w:t>
      </w:r>
      <w:bookmarkEnd w:id="68"/>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 w:hAnsi="仿宋" w:eastAsia="仿宋" w:cs="仿宋"/>
          <w:color w:val="auto"/>
          <w:sz w:val="10"/>
          <w:szCs w:val="10"/>
          <w:highlight w:val="none"/>
          <w:lang w:val="en-US" w:eastAsia="zh-CN"/>
        </w:rPr>
      </w:pPr>
      <w:r>
        <w:rPr>
          <w:rFonts w:hint="eastAsia" w:ascii="仿宋_GB2312" w:hAnsi="仿宋_GB2312" w:eastAsia="仿宋_GB2312" w:cs="仿宋_GB2312"/>
          <w:color w:val="auto"/>
          <w:kern w:val="0"/>
          <w:sz w:val="32"/>
          <w:szCs w:val="32"/>
          <w:highlight w:val="none"/>
          <w:lang w:val="en-US" w:eastAsia="zh-CN"/>
        </w:rPr>
        <w:t>通过对政策涉及项目的了解，目前为群众提供什么样的公共文化服务,大部分还是由政府部门安排或上级指定,供给模式上供需矛盾比较突出，可能会导致存在结构性短缺问题,一定程度上造成了文化资源和资金投入的浪费。</w:t>
      </w:r>
    </w:p>
    <w:p>
      <w:pPr>
        <w:keepNext w:val="0"/>
        <w:pageBreakBefore w:val="0"/>
        <w:kinsoku/>
        <w:topLinePunct w:val="0"/>
        <w:bidi w:val="0"/>
        <w:spacing w:line="240" w:lineRule="auto"/>
        <w:ind w:leftChars="0" w:firstLine="642" w:firstLineChars="200"/>
        <w:outlineLvl w:val="0"/>
        <w:rPr>
          <w:rFonts w:hint="eastAsia" w:ascii="黑体" w:hAnsi="黑体" w:eastAsia="黑体" w:cs="黑体"/>
          <w:b/>
          <w:bCs/>
          <w:color w:val="auto"/>
          <w:sz w:val="32"/>
          <w:szCs w:val="32"/>
          <w:lang w:val="en-US" w:eastAsia="zh-CN"/>
        </w:rPr>
      </w:pPr>
      <w:bookmarkStart w:id="69" w:name="_Toc11703"/>
      <w:r>
        <w:rPr>
          <w:rFonts w:hint="eastAsia" w:ascii="黑体" w:hAnsi="黑体" w:eastAsia="黑体" w:cs="黑体"/>
          <w:b/>
          <w:bCs/>
          <w:color w:val="auto"/>
          <w:sz w:val="32"/>
          <w:szCs w:val="32"/>
          <w:lang w:val="en-US" w:eastAsia="zh-CN"/>
        </w:rPr>
        <w:t>六、有关建议</w:t>
      </w:r>
      <w:bookmarkEnd w:id="69"/>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32"/>
          <w:szCs w:val="32"/>
          <w:lang w:val="en-US" w:eastAsia="zh-CN"/>
        </w:rPr>
      </w:pPr>
      <w:bookmarkStart w:id="70" w:name="_Toc15566"/>
      <w:bookmarkStart w:id="71" w:name="_Toc14691"/>
      <w:bookmarkStart w:id="72" w:name="_Toc31064"/>
      <w:bookmarkStart w:id="73" w:name="_Toc28680"/>
      <w:r>
        <w:rPr>
          <w:rFonts w:hint="eastAsia" w:ascii="楷体" w:hAnsi="楷体" w:eastAsia="楷体" w:cs="楷体"/>
          <w:b/>
          <w:bCs/>
          <w:color w:val="auto"/>
          <w:sz w:val="32"/>
          <w:szCs w:val="32"/>
          <w:lang w:val="en-US" w:eastAsia="zh-CN"/>
        </w:rPr>
        <w:t>（一）</w:t>
      </w:r>
      <w:bookmarkEnd w:id="70"/>
      <w:r>
        <w:rPr>
          <w:rFonts w:hint="eastAsia" w:ascii="楷体" w:hAnsi="楷体" w:eastAsia="楷体" w:cs="楷体"/>
          <w:b/>
          <w:bCs/>
          <w:color w:val="auto"/>
          <w:sz w:val="32"/>
          <w:szCs w:val="32"/>
          <w:lang w:val="en-US" w:eastAsia="zh-CN"/>
        </w:rPr>
        <w:t>预算绩效目标与单位预算编制同步进行、规范设置绩效目标</w:t>
      </w:r>
      <w:bookmarkEnd w:id="71"/>
    </w:p>
    <w:bookmarkEnd w:id="72"/>
    <w:bookmarkEnd w:id="73"/>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绩效目标是预算安排的基础、预算审核的重点、预算执行的依据。虽然在填报绩效目标时，没办法做到将专项资金涉及的所有小项全面覆盖，但可以适当进行指标归纳与概括，找出直接反映项目产出和效益的绩效指标，进一步提炼挖掘三级指标，突出最能体现项目产出和效益的关键核心指标，符合项目实际，充分发挥绩效目标的引导约束和控制作用。</w:t>
      </w:r>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32"/>
          <w:szCs w:val="32"/>
          <w:lang w:val="en-US" w:eastAsia="zh-CN"/>
        </w:rPr>
      </w:pPr>
      <w:bookmarkStart w:id="74" w:name="_Toc20532"/>
      <w:r>
        <w:rPr>
          <w:rFonts w:hint="eastAsia" w:ascii="楷体" w:hAnsi="楷体" w:eastAsia="楷体" w:cs="楷体"/>
          <w:b/>
          <w:bCs/>
          <w:color w:val="auto"/>
          <w:sz w:val="32"/>
          <w:szCs w:val="32"/>
          <w:lang w:val="en-US" w:eastAsia="zh-CN"/>
        </w:rPr>
        <w:t>（二）资金安排以零为起点，提高预算资金配置效率，提高项目资金执行率</w:t>
      </w:r>
      <w:bookmarkEnd w:id="74"/>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预算执行率是衡量部门预算执行情况的一项重要指标，反映了部门对预算计划的有效掌握和执行能力。在编制当年度专项资金预算时，需要完整提供政策依据、支出内容、资金测算、绩效目标等必要资料，应当完善预算编制机制，强化预算审核，提高项目支出细化率，优化支出结构，突出财政资金保障，深化零基预算改革，健全完善能增能减、有保有压的预算分配机制，合理安排支出预算规模。</w:t>
      </w:r>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default" w:ascii="楷体" w:hAnsi="楷体" w:eastAsia="楷体" w:cs="楷体"/>
          <w:b/>
          <w:bCs/>
          <w:color w:val="auto"/>
          <w:sz w:val="32"/>
          <w:szCs w:val="32"/>
          <w:lang w:val="en-US" w:eastAsia="zh-CN"/>
        </w:rPr>
      </w:pPr>
      <w:bookmarkStart w:id="75" w:name="_Toc29880"/>
      <w:r>
        <w:rPr>
          <w:rFonts w:hint="eastAsia" w:ascii="楷体" w:hAnsi="楷体" w:eastAsia="楷体" w:cs="楷体"/>
          <w:b/>
          <w:bCs/>
          <w:color w:val="auto"/>
          <w:sz w:val="32"/>
          <w:szCs w:val="32"/>
          <w:lang w:val="en-US" w:eastAsia="zh-CN"/>
        </w:rPr>
        <w:t>（三）完善制度保障，规范信息公开</w:t>
      </w:r>
      <w:bookmarkEnd w:id="75"/>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专项资金项目的成功实施不仅依赖于公共政策的合理性，更依赖于项目在实际运作中的制度约束和保障。应当完善政策执行过程中、完成后的监督机制，健全项目实施业务管理制度，按照制定的业务管理制度监督正在进行中的项目，控制好项目进度；对已完工的项目按照规范程序进行验收，确保项目完工质量。建议区文化体育和旅游局及时将相关政策通过官网或官方公众号进行发布，积极主动做好政策宣贯，提高补贴目标群体对本政策的知晓度，推动区公共文化服务体系建设更快发展。</w:t>
      </w:r>
    </w:p>
    <w:p>
      <w:pPr>
        <w:keepNext w:val="0"/>
        <w:pageBreakBefore w:val="0"/>
        <w:widowControl/>
        <w:shd w:val="clear" w:fill="FFFFFF" w:themeFill="background1"/>
        <w:kinsoku/>
        <w:overflowPunct w:val="0"/>
        <w:topLinePunct w:val="0"/>
        <w:autoSpaceDE w:val="0"/>
        <w:autoSpaceDN w:val="0"/>
        <w:bidi w:val="0"/>
        <w:adjustRightInd w:val="0"/>
        <w:snapToGrid/>
        <w:spacing w:line="240" w:lineRule="auto"/>
        <w:ind w:left="0" w:leftChars="0" w:right="0" w:firstLine="642" w:firstLineChars="200"/>
        <w:textAlignment w:val="baseline"/>
        <w:outlineLvl w:val="1"/>
        <w:rPr>
          <w:rFonts w:hint="eastAsia" w:ascii="仿宋_GB2312" w:hAnsi="仿宋_GB2312" w:eastAsia="仿宋_GB2312" w:cs="仿宋_GB2312"/>
          <w:color w:val="auto"/>
          <w:kern w:val="0"/>
          <w:sz w:val="32"/>
          <w:szCs w:val="32"/>
          <w:highlight w:val="none"/>
          <w:lang w:val="en-US" w:eastAsia="zh-CN"/>
        </w:rPr>
      </w:pPr>
      <w:bookmarkStart w:id="76" w:name="_Toc18677"/>
      <w:r>
        <w:rPr>
          <w:rFonts w:hint="eastAsia" w:ascii="楷体" w:hAnsi="楷体" w:eastAsia="楷体" w:cs="楷体"/>
          <w:b/>
          <w:bCs/>
          <w:color w:val="auto"/>
          <w:sz w:val="32"/>
          <w:szCs w:val="32"/>
          <w:lang w:val="en-US" w:eastAsia="zh-CN"/>
        </w:rPr>
        <w:t>（四）丰富文化产品供给，提高基层公共文化服务质量</w:t>
      </w:r>
      <w:bookmarkEnd w:id="76"/>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firstLine="640" w:firstLineChars="200"/>
        <w:textAlignment w:val="auto"/>
        <w:outlineLvl w:val="9"/>
        <w:rPr>
          <w:rFonts w:hint="default" w:ascii="仿宋" w:hAnsi="仿宋" w:eastAsia="仿宋" w:cs="仿宋"/>
          <w:color w:val="auto"/>
          <w:sz w:val="10"/>
          <w:szCs w:val="10"/>
          <w:highlight w:val="none"/>
          <w:lang w:val="en-US" w:eastAsia="zh-CN"/>
        </w:rPr>
      </w:pPr>
      <w:r>
        <w:rPr>
          <w:rFonts w:hint="default" w:ascii="仿宋_GB2312" w:hAnsi="仿宋_GB2312" w:eastAsia="仿宋_GB2312" w:cs="仿宋_GB2312"/>
          <w:color w:val="auto"/>
          <w:kern w:val="0"/>
          <w:sz w:val="32"/>
          <w:szCs w:val="32"/>
          <w:highlight w:val="none"/>
          <w:lang w:val="en-US" w:eastAsia="zh-CN"/>
        </w:rPr>
        <w:t>以群众基本文化需求和意愿为导向,把公共文化服务的选择权和评价权交给群众,针对不同群体,</w:t>
      </w:r>
      <w:r>
        <w:rPr>
          <w:rFonts w:hint="eastAsia" w:ascii="仿宋_GB2312" w:hAnsi="仿宋_GB2312" w:eastAsia="仿宋_GB2312" w:cs="仿宋_GB2312"/>
          <w:color w:val="auto"/>
          <w:kern w:val="0"/>
          <w:sz w:val="32"/>
          <w:szCs w:val="32"/>
          <w:highlight w:val="none"/>
          <w:lang w:val="en-US" w:eastAsia="zh-CN"/>
        </w:rPr>
        <w:t>除了上级单位要求的硬性指标外，通过充分调研，</w:t>
      </w:r>
      <w:r>
        <w:rPr>
          <w:rFonts w:hint="default" w:ascii="仿宋_GB2312" w:hAnsi="仿宋_GB2312" w:eastAsia="仿宋_GB2312" w:cs="仿宋_GB2312"/>
          <w:color w:val="auto"/>
          <w:kern w:val="0"/>
          <w:sz w:val="32"/>
          <w:szCs w:val="32"/>
          <w:highlight w:val="none"/>
          <w:lang w:val="en-US" w:eastAsia="zh-CN"/>
        </w:rPr>
        <w:t>提供有针对性和时效性的服务,不断提高公共文化产品的吸引力,充分发挥公共资源的社会综合服务效益。</w:t>
      </w:r>
    </w:p>
    <w:p>
      <w:pPr>
        <w:keepNext w:val="0"/>
        <w:pageBreakBefore w:val="0"/>
        <w:kinsoku/>
        <w:topLinePunct w:val="0"/>
        <w:bidi w:val="0"/>
        <w:spacing w:line="240" w:lineRule="auto"/>
        <w:ind w:leftChars="0" w:firstLine="642" w:firstLineChars="200"/>
        <w:outlineLvl w:val="0"/>
        <w:rPr>
          <w:rFonts w:hint="eastAsia" w:ascii="黑体" w:hAnsi="黑体" w:eastAsia="黑体" w:cs="黑体"/>
          <w:b/>
          <w:bCs/>
          <w:color w:val="auto"/>
          <w:sz w:val="32"/>
          <w:szCs w:val="32"/>
          <w:lang w:val="en-US" w:eastAsia="zh-CN"/>
        </w:rPr>
      </w:pPr>
      <w:bookmarkStart w:id="77" w:name="_Toc20688"/>
      <w:r>
        <w:rPr>
          <w:rFonts w:hint="eastAsia" w:ascii="黑体" w:hAnsi="黑体" w:eastAsia="黑体" w:cs="黑体"/>
          <w:b/>
          <w:bCs/>
          <w:color w:val="auto"/>
          <w:sz w:val="32"/>
          <w:szCs w:val="32"/>
          <w:lang w:val="en-US" w:eastAsia="zh-CN"/>
        </w:rPr>
        <w:t>七、其他需要说明的问题</w:t>
      </w:r>
      <w:bookmarkEnd w:id="77"/>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1.本绩效评价报告是在泉州市丰泽区财政局、泉州市丰泽区文化体育和旅游局提供的关于丰泽区公共文化服务体系建设专项资金政策绩效评价项目的资料及回收的问卷统计数据基础上形成的。</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2.本绩效评价报告仅供泉州市丰泽区财政局开展2023年财政预算绩效重点评价相关工作使用，不作他用。</w:t>
      </w:r>
    </w:p>
    <w:p>
      <w:pPr>
        <w:pStyle w:val="18"/>
        <w:keepNext w:val="0"/>
        <w:pageBreakBefore w:val="0"/>
        <w:widowControl w:val="0"/>
        <w:kinsoku/>
        <w:wordWrap/>
        <w:overflowPunct/>
        <w:topLinePunct w:val="0"/>
        <w:autoSpaceDE/>
        <w:autoSpaceDN/>
        <w:bidi w:val="0"/>
        <w:adjustRightInd/>
        <w:snapToGrid/>
        <w:spacing w:after="0" w:line="240" w:lineRule="auto"/>
        <w:ind w:left="0" w:leftChars="0" w:right="0" w:firstLine="200" w:firstLineChars="200"/>
        <w:textAlignment w:val="auto"/>
        <w:rPr>
          <w:rFonts w:hint="eastAsia" w:ascii="仿宋" w:hAnsi="仿宋" w:eastAsia="仿宋" w:cs="仿宋"/>
          <w:color w:val="FF0000"/>
          <w:sz w:val="10"/>
          <w:szCs w:val="10"/>
          <w:highlight w:val="none"/>
          <w:lang w:val="en-US" w:eastAsia="zh-CN"/>
        </w:rPr>
      </w:pPr>
    </w:p>
    <w:p>
      <w:pPr>
        <w:keepNext w:val="0"/>
        <w:pageBreakBefore w:val="0"/>
        <w:kinsoku/>
        <w:topLinePunct w:val="0"/>
        <w:bidi w:val="0"/>
        <w:spacing w:line="240" w:lineRule="auto"/>
        <w:ind w:leftChars="0" w:firstLine="642" w:firstLineChars="200"/>
        <w:outlineLvl w:val="0"/>
        <w:rPr>
          <w:rFonts w:hint="eastAsia" w:ascii="黑体" w:hAnsi="黑体" w:eastAsia="黑体" w:cs="黑体"/>
          <w:b/>
          <w:bCs/>
          <w:color w:val="auto"/>
          <w:sz w:val="32"/>
          <w:szCs w:val="32"/>
          <w:lang w:val="en-US" w:eastAsia="zh-CN"/>
        </w:rPr>
      </w:pPr>
      <w:bookmarkStart w:id="78" w:name="_Toc3513"/>
      <w:r>
        <w:rPr>
          <w:rFonts w:hint="eastAsia" w:ascii="黑体" w:hAnsi="黑体" w:eastAsia="黑体" w:cs="黑体"/>
          <w:b/>
          <w:bCs/>
          <w:color w:val="auto"/>
          <w:sz w:val="32"/>
          <w:szCs w:val="32"/>
          <w:lang w:val="en-US" w:eastAsia="zh-CN"/>
        </w:rPr>
        <w:t>八、附件</w:t>
      </w:r>
      <w:bookmarkEnd w:id="78"/>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bookmarkStart w:id="79" w:name="_Toc16365"/>
      <w:bookmarkStart w:id="80" w:name="_Toc20307"/>
      <w:bookmarkStart w:id="81" w:name="_Toc14677"/>
      <w:bookmarkStart w:id="82" w:name="_Toc25142"/>
      <w:bookmarkStart w:id="83" w:name="_Toc22104"/>
      <w:bookmarkStart w:id="84" w:name="_Toc24188"/>
      <w:bookmarkStart w:id="85" w:name="_Toc30246"/>
      <w:r>
        <w:rPr>
          <w:rFonts w:hint="eastAsia" w:ascii="仿宋_GB2312" w:hAnsi="仿宋_GB2312" w:eastAsia="仿宋_GB2312" w:cs="仿宋_GB2312"/>
          <w:color w:val="auto"/>
          <w:kern w:val="0"/>
          <w:sz w:val="32"/>
          <w:szCs w:val="32"/>
          <w:highlight w:val="none"/>
          <w:lang w:val="en-US" w:eastAsia="zh-CN"/>
        </w:rPr>
        <w:t>附件1 政策绩效评价指标体系</w:t>
      </w:r>
      <w:bookmarkEnd w:id="79"/>
      <w:bookmarkEnd w:id="80"/>
      <w:bookmarkEnd w:id="81"/>
      <w:bookmarkEnd w:id="82"/>
      <w:bookmarkEnd w:id="83"/>
      <w:bookmarkEnd w:id="84"/>
      <w:bookmarkEnd w:id="85"/>
      <w:r>
        <w:rPr>
          <w:rFonts w:hint="eastAsia" w:ascii="仿宋_GB2312" w:hAnsi="仿宋_GB2312" w:eastAsia="仿宋_GB2312" w:cs="仿宋_GB2312"/>
          <w:color w:val="auto"/>
          <w:kern w:val="0"/>
          <w:sz w:val="32"/>
          <w:szCs w:val="32"/>
          <w:highlight w:val="none"/>
          <w:lang w:val="en-US" w:eastAsia="zh-CN"/>
        </w:rPr>
        <w:t>表</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bookmarkStart w:id="86" w:name="_Toc27847"/>
      <w:bookmarkStart w:id="87" w:name="_Toc2736"/>
      <w:bookmarkStart w:id="88" w:name="_Toc1800"/>
      <w:bookmarkStart w:id="89" w:name="_Toc16913"/>
      <w:bookmarkStart w:id="90" w:name="_Toc16545"/>
      <w:bookmarkStart w:id="91" w:name="_Toc12268"/>
      <w:bookmarkStart w:id="92" w:name="_Toc825"/>
      <w:r>
        <w:rPr>
          <w:rFonts w:hint="eastAsia" w:ascii="仿宋_GB2312" w:hAnsi="仿宋_GB2312" w:eastAsia="仿宋_GB2312" w:cs="仿宋_GB2312"/>
          <w:color w:val="auto"/>
          <w:kern w:val="0"/>
          <w:sz w:val="32"/>
          <w:szCs w:val="32"/>
          <w:highlight w:val="none"/>
          <w:lang w:val="en-US" w:eastAsia="zh-CN"/>
        </w:rPr>
        <w:t>附件2</w:t>
      </w:r>
      <w:bookmarkEnd w:id="86"/>
      <w:bookmarkEnd w:id="87"/>
      <w:bookmarkEnd w:id="88"/>
      <w:bookmarkEnd w:id="89"/>
      <w:bookmarkEnd w:id="90"/>
      <w:r>
        <w:rPr>
          <w:rFonts w:hint="eastAsia" w:ascii="仿宋_GB2312" w:hAnsi="仿宋_GB2312" w:eastAsia="仿宋_GB2312" w:cs="仿宋_GB2312"/>
          <w:color w:val="auto"/>
          <w:kern w:val="0"/>
          <w:sz w:val="32"/>
          <w:szCs w:val="32"/>
          <w:highlight w:val="none"/>
          <w:lang w:val="en-US" w:eastAsia="zh-CN"/>
        </w:rPr>
        <w:t xml:space="preserve"> 满意度问卷调查</w:t>
      </w:r>
      <w:bookmarkEnd w:id="91"/>
      <w:bookmarkEnd w:id="92"/>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附件3 绩效评价报告编制单位和主评人签章</w:t>
      </w:r>
    </w:p>
    <w:p>
      <w:pPr>
        <w:pStyle w:val="18"/>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after="0" w:line="240" w:lineRule="auto"/>
        <w:ind w:leftChars="0" w:firstLine="640" w:firstLineChars="200"/>
        <w:textAlignment w:val="auto"/>
        <w:outlineLvl w:val="9"/>
        <w:rPr>
          <w:rFonts w:hint="eastAsia" w:ascii="仿宋_GB2312" w:hAnsi="仿宋_GB2312" w:eastAsia="仿宋_GB2312" w:cs="仿宋_GB2312"/>
          <w:color w:val="FF0000"/>
          <w:kern w:val="0"/>
          <w:sz w:val="32"/>
          <w:szCs w:val="32"/>
          <w:highlight w:val="none"/>
          <w:lang w:val="en-US" w:eastAsia="zh-CN"/>
        </w:rPr>
        <w:sectPr>
          <w:headerReference r:id="rId10" w:type="default"/>
          <w:pgSz w:w="11906" w:h="16838"/>
          <w:pgMar w:top="1440" w:right="1519" w:bottom="1440"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color w:val="auto"/>
          <w:kern w:val="0"/>
          <w:sz w:val="32"/>
          <w:szCs w:val="32"/>
          <w:highlight w:val="none"/>
          <w:lang w:val="en-US" w:eastAsia="zh-CN"/>
        </w:rPr>
        <w:t>附件4 泉州市招标咨询中心营业执照章</w:t>
      </w:r>
    </w:p>
    <w:p>
      <w:pPr>
        <w:keepNext w:val="0"/>
        <w:pageBreakBefore w:val="0"/>
        <w:kinsoku/>
        <w:topLinePunct w:val="0"/>
        <w:bidi w:val="0"/>
        <w:spacing w:line="240" w:lineRule="auto"/>
        <w:ind w:leftChars="0"/>
        <w:outlineLvl w:val="9"/>
        <w:rPr>
          <w:rFonts w:hint="eastAsia" w:ascii="仿宋_GB2312" w:hAnsi="仿宋_GB2312" w:eastAsia="仿宋_GB2312" w:cs="仿宋_GB2312"/>
          <w:b/>
          <w:bCs/>
          <w:color w:val="auto"/>
          <w:sz w:val="28"/>
          <w:szCs w:val="28"/>
          <w:lang w:val="en-US" w:eastAsia="zh-CN"/>
        </w:rPr>
      </w:pPr>
      <w:bookmarkStart w:id="93" w:name="_Toc29650"/>
      <w:bookmarkStart w:id="94" w:name="_Toc20978"/>
      <w:bookmarkStart w:id="95" w:name="_Toc22057"/>
      <w:bookmarkStart w:id="96" w:name="_Toc31542"/>
      <w:r>
        <w:rPr>
          <w:rFonts w:hint="eastAsia" w:ascii="仿宋_GB2312" w:hAnsi="仿宋_GB2312" w:eastAsia="仿宋_GB2312" w:cs="仿宋_GB2312"/>
          <w:b/>
          <w:bCs/>
          <w:color w:val="auto"/>
          <w:sz w:val="28"/>
          <w:szCs w:val="28"/>
          <w:lang w:val="en-US" w:eastAsia="zh-CN"/>
        </w:rPr>
        <w:t>附件1政策绩效评价指标体系</w:t>
      </w:r>
      <w:bookmarkEnd w:id="93"/>
      <w:bookmarkEnd w:id="94"/>
      <w:bookmarkEnd w:id="95"/>
      <w:bookmarkEnd w:id="96"/>
      <w:r>
        <w:rPr>
          <w:rFonts w:hint="eastAsia" w:ascii="仿宋_GB2312" w:hAnsi="仿宋_GB2312" w:eastAsia="仿宋_GB2312" w:cs="仿宋_GB2312"/>
          <w:b/>
          <w:bCs/>
          <w:color w:val="auto"/>
          <w:sz w:val="28"/>
          <w:szCs w:val="28"/>
          <w:lang w:val="en-US" w:eastAsia="zh-CN"/>
        </w:rPr>
        <w:t>表</w:t>
      </w:r>
    </w:p>
    <w:tbl>
      <w:tblPr>
        <w:tblStyle w:val="19"/>
        <w:tblW w:w="146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0"/>
        <w:gridCol w:w="815"/>
        <w:gridCol w:w="750"/>
        <w:gridCol w:w="1105"/>
        <w:gridCol w:w="693"/>
        <w:gridCol w:w="4272"/>
        <w:gridCol w:w="5905"/>
        <w:gridCol w:w="6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blHeader/>
          <w:jc w:val="center"/>
        </w:trPr>
        <w:tc>
          <w:tcPr>
            <w:tcW w:w="430"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81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一级指标</w:t>
            </w:r>
          </w:p>
        </w:tc>
        <w:tc>
          <w:tcPr>
            <w:tcW w:w="750"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二级指标</w:t>
            </w:r>
          </w:p>
        </w:tc>
        <w:tc>
          <w:tcPr>
            <w:tcW w:w="110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三级指标</w:t>
            </w:r>
          </w:p>
        </w:tc>
        <w:tc>
          <w:tcPr>
            <w:tcW w:w="69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权重</w:t>
            </w:r>
          </w:p>
        </w:tc>
        <w:tc>
          <w:tcPr>
            <w:tcW w:w="427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指标解释</w:t>
            </w:r>
          </w:p>
        </w:tc>
        <w:tc>
          <w:tcPr>
            <w:tcW w:w="590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评价标准</w:t>
            </w:r>
          </w:p>
        </w:tc>
        <w:tc>
          <w:tcPr>
            <w:tcW w:w="69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5"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政策制定</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政策目标导向</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政策设立必要性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考察政策设立是否满足丰泽区公共文化服务体系建设发展需要，是否符合丰泽区公共文化服务体系建设需求，用以反映政策设立的必要程度。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政策：①与丰泽区经济社会发展需要相符；②有助于丰泽区公共文化服务体系建设，满足丰泽区发展的需求。以上2项各占50%权重分，符合则得对应权重分，不符合则扣除对应权重分。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政策依据充分性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考察政策是否与国家、区经济领域有关战略规划、法律法规、工作计划、相关政策文件要求相符，是否丰泽区文化体育和旅游局的职能职责相符合，用以反映政策设立与国家、区域的战略发展规划的符合程度。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①总体符合中央乡村振兴战略形势；②符合丰泽区公共文化服务体系建设工作的整体需要；③符合丰泽区文化体育和旅游局的职能职责。以上3项各占1/3权重分，符合则得对应权重分，不符合则扣除对应权重分。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政策目标合理性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考察政策目标设定是否合理、可行，是否与实际发展需求匹配，用以反映政策目标的合理程度。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①总目标科学合理，与公共文化服务体系发展目标相匹配，符合实际发展需要；②分解至各年的阶段性子目标科学合理，与各年度实际发展需要相匹配，符合可衡量性、可实现性、相关性和时限性的要求。以上2项各占50%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政策前期调研</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政策设立规范性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考察政策是否按规定程序设立，是否经过充分论证与决策程序，用以反映政策制定程序的规范程度。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①决策程序符合国家及各区级政策规定；②实施开展必要的可行性论证或群体决策，相关材料完整、合规。以上2项各占50%权重分，符合则得对应权重分，不符合则扣除对应权重分。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政策要素完整</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政策内容完备性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考察政策各项关键内容是否完备，是否无明显缺漏，内容是否设计周全。</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政策具有明确的：①目标群体；②政策准入标准；③补贴标准与方式；④相关责任主体；⑤政策有效期。以上①-⑤项各占20%权重分，符合则得对应权重分，不符合则扣除对应权重分。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政策内容规范性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内容制定是否与建立健全丰泽区公共文化服务发展规划相适应，是否结合发展形势要求科学调整资助范围、避免与其他新出台其他相关政策形成低效的重复资助，用以反映政策内容的科学性及符合长期发展需求。</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政策扶持范围符合公共文化服务发展需求，覆盖公共文化服务体系在丰泽区的发展所需，政策内容可依据客观环境进行适时调整；②与其他政策相互独立，不存在政策交叉重复扶持现象；③未发生因政策漏洞、决策失误而导致的重大发展问题、严重工作纰漏或不符合公共文化服务发展需要的政策导向。①与②占40%权重分，③占20%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政策实施</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政策资金</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预算编制合理性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考察政策涉及的项目支出预算编制是否规范、完整，用以反映预算编制的合理程度。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①预算编制完整，金额测算有依据；②预算编制依据合理，即公共文化服务体系建设项目补贴标准测算合理，测算依据明确。以上2项各占50%权重分，符合则得对应权重分，不符合则扣除对应权重分。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预算资金执行率</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考察预算资金的执行情况，用以反映政策资金的使用效率。</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预算执行率为100%，得100%权重分，每降低1%，扣除5%权重分，扣完为止；超出预算部分，每提升1%，扣除5%权重分，扣完为止。</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资金使用合规性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考察政策资金是否按要求用于规定用途，资金拨付流程是否符合规范，是否存在截留、挤占、挪用等情况，用以反映政策资金使用的规范程度。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资金使用符合预算批复规定的用途；②资金使用符合相关资金管理办法要求；③资金申请、审批、拨付履行了完整的程序和手续；④建立有专项资金发放台账；⑤对资金实行专项管理、分账核算、专款专用；⑥不存在截留、挤占、挪用、虚列支出等情况。实地核查每发现一例不符合以上要求，扣20%权重分，扣完为止。</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政策执行</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管理制度健全性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考察政策是否建立健全项目管理制度，制度是否能保障政策规范有序实施，用以反映业务管理保障程度。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①制定有适用于政策支出范围的项目管理制度；②制度内容明确、完善，能够保障政策规范有序实施。①占50%权重分，②占50%权重分，每有1项不符合扣除20%权重分，扣完为止。</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部门协作机制健全性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考察政策各相关部门（单位）的协作机制是否健全，以保障政策有序实施，用以反映部门协作效率。</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政策制定、实施各环节建立部门协调沟通机制；②政策相关部门在政策实施期间开展了沟通协作，明确各自责任范围，未出现因沟通不当影响政策实施的情况。以上2项各占50%权重分，符合则得对应权重分，不符合则扣除对应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申报审核规范性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考察政策主管部门对项目申报材料的审核情况，用以反映审核工作落实情况。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①政策主管部门按相关管理办法规定对申报项目进行审核；②审核结果往来记录完备；③结果反馈记录完备，按要求应用审核结果。项目审核率为100%的得满分，每发现一例项目未审核扣10%，扣完为止。</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监管执行有效性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考察政策实施过程中是否为保障资金的安全、规范运行等而采取了必要的监控、管理措施，用以反映监管执行的有效程度。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主管部门对专项资金的全流程执行了有效的监督管理，涵盖政策补贴受理、审核、发放全过程，相关风险得到有效控制，实地核查每发现一项监督管理错误，扣10%权重分。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信息公开</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信息公开规范性</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考察政策主管部门是否按相关规定公示政策相关信息，公示渠道是否合理，公示信息是否完整，公示时间是否符合规定，用以反映信息公示完成情况。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考察政策主管部门是否按相关规定公示政策相关信息，公示渠道是否合理，公示信息是否完整，公示时间是否符合规定，每发现一项不符合扣1分，扣完为止。</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政策效果</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政策产出</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公共文化服务体系建设资金补贴项目完工率</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考察公共文化服务体系建设专项资金补助项目实际执行完成情况。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项目完工验收达到100%得满分，否则每少一个项目未完成验收，扣1分，扣完为止。</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公共文化服务体系建设验收达标率</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项目完成的质量达标产出数与实际产出数的比率，用以反映和考核项目产出质量目标的实现程度。</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项目验收合格率达到100%得满分，否则每发现一个项目验收不合格扣1分，扣完为止。</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专项资金补贴拨付及时率</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考察专项资金补贴到位及时情况。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资金拨付及时，未影响项目进度得4分；资金发放不及时但未影响项目进度扣2分，资金拨付不及时影响项目进度扣4分。本项共4分。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项目补贴标准</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考察公共文化服务体系建设补贴的成本控制情况。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严格按照专项资金管理办法、过会材料、财政审核进行资金支付，得满分；否则，不得分。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815"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政策效益</w:t>
            </w:r>
          </w:p>
        </w:tc>
        <w:tc>
          <w:tcPr>
            <w:tcW w:w="1105" w:type="dxa"/>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推动创建公共文化服务体系示范区</w:t>
            </w:r>
          </w:p>
        </w:tc>
        <w:tc>
          <w:tcPr>
            <w:tcW w:w="69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考察丰泽区公共文化服务体系建设专项资金补助政策执行对创建公共文化服务体系的推动效果</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通过调研、查阅资料、调查问卷等，按照显著,较显著,一般进行赋分，显著得4分，较显著得2分，一般得1分。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815"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nil"/>
              <w:left w:val="single" w:color="auto" w:sz="4" w:space="0"/>
              <w:bottom w:val="single" w:color="auto"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提升基层公共文化服务水平</w:t>
            </w:r>
          </w:p>
        </w:tc>
        <w:tc>
          <w:tcPr>
            <w:tcW w:w="69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考察公共文化设施免费开放项目带来的社会效益情况。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通过调研、查阅资料、调查问卷等，按照显著,较显著,一般进行赋分，显著得4分，较显著得2分，一般得1分。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815"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single" w:color="auto" w:sz="4" w:space="0"/>
              <w:left w:val="single" w:color="auto"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创建多元公共文化服务体系</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评价覆盖区域文化场所建设情况，提升群众文化多样性的效益情况。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通过调研、查阅资料、调查问卷等，按照显著,较显著,一般进行赋分，显著得4分，较显著得2分，一般得1分。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815"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vMerge w:val="continue"/>
            <w:tcBorders>
              <w:top w:val="nil"/>
              <w:left w:val="single" w:color="auto" w:sz="4" w:space="0"/>
              <w:bottom w:val="nil"/>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丰富群众的精神文化生活</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评价丰富群众精神文化生活的效益</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通过调研、查阅资料、调查问卷等，按照显著,较显著,一般进行赋分，显著得4分，较显著得2分，一般得1分。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满意度</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服务对象满意度</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考察群众对基本公共文化建设服务满意情况。</w:t>
            </w: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通过调查问卷进行打分，满意度≧85%，得6分；85%&gt;满意度≧70%，得3分；70%&gt;满意度≧60%，得1分；满意度&lt;60%，不得分。</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31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合计</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427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 w:hAnsi="仿宋" w:eastAsia="仿宋" w:cs="仿宋"/>
                <w:i w:val="0"/>
                <w:iCs w:val="0"/>
                <w:color w:val="000000"/>
                <w:sz w:val="22"/>
                <w:szCs w:val="22"/>
                <w:u w:val="none"/>
              </w:rPr>
            </w:pPr>
          </w:p>
        </w:tc>
        <w:tc>
          <w:tcPr>
            <w:tcW w:w="59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 w:hAnsi="仿宋" w:eastAsia="仿宋" w:cs="仿宋"/>
                <w:i w:val="0"/>
                <w:iCs w:val="0"/>
                <w:color w:val="000000"/>
                <w:sz w:val="22"/>
                <w:szCs w:val="22"/>
                <w:u w:val="none"/>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91</w:t>
            </w:r>
          </w:p>
        </w:tc>
      </w:tr>
    </w:tbl>
    <w:p>
      <w:pPr>
        <w:pStyle w:val="18"/>
        <w:ind w:left="0" w:leftChars="0" w:firstLine="0" w:firstLineChars="0"/>
        <w:rPr>
          <w:rFonts w:hint="default" w:ascii="仿宋_GB2312" w:hAnsi="仿宋_GB2312" w:eastAsia="仿宋_GB2312" w:cs="仿宋_GB2312"/>
          <w:b/>
          <w:bCs/>
          <w:color w:val="auto"/>
          <w:sz w:val="28"/>
          <w:szCs w:val="28"/>
          <w:lang w:val="en-US" w:eastAsia="zh-CN"/>
        </w:rPr>
        <w:sectPr>
          <w:headerReference r:id="rId11" w:type="default"/>
          <w:pgSz w:w="16838" w:h="11906" w:orient="landscape"/>
          <w:pgMar w:top="1587" w:right="1440" w:bottom="1519"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vanish/>
          <w:color w:val="FF0000"/>
          <w:sz w:val="24"/>
          <w:szCs w:val="24"/>
        </w:rPr>
      </w:pPr>
    </w:p>
    <w:p>
      <w:pPr>
        <w:pStyle w:val="5"/>
        <w:keepNext w:val="0"/>
        <w:keepLines w:val="0"/>
        <w:pageBreakBefore w:val="0"/>
        <w:widowControl w:val="0"/>
        <w:numPr>
          <w:ilvl w:val="0"/>
          <w:numId w:val="0"/>
        </w:numPr>
        <w:kinsoku/>
        <w:wordWrap/>
        <w:overflowPunct/>
        <w:topLinePunct w:val="0"/>
        <w:autoSpaceDE/>
        <w:autoSpaceDN/>
        <w:bidi w:val="0"/>
        <w:adjustRightInd/>
        <w:snapToGrid/>
        <w:ind w:right="0" w:rightChars="0"/>
        <w:jc w:val="left"/>
        <w:textAlignment w:val="auto"/>
        <w:outlineLvl w:val="9"/>
        <w:rPr>
          <w:rFonts w:hint="eastAsia" w:ascii="仿宋" w:hAnsi="仿宋" w:eastAsia="仿宋" w:cs="仿宋"/>
          <w:b/>
          <w:bCs/>
          <w:color w:val="auto"/>
          <w:kern w:val="2"/>
          <w:sz w:val="28"/>
          <w:szCs w:val="28"/>
          <w:lang w:val="en-US" w:eastAsia="zh-CN" w:bidi="ar-SA"/>
        </w:rPr>
      </w:pPr>
      <w:bookmarkStart w:id="97" w:name="_Toc6727"/>
      <w:bookmarkStart w:id="98" w:name="_Toc5348"/>
      <w:bookmarkStart w:id="99" w:name="_Toc6956"/>
      <w:bookmarkStart w:id="100" w:name="_Toc21380"/>
      <w:r>
        <w:rPr>
          <w:rFonts w:hint="eastAsia" w:ascii="仿宋" w:hAnsi="仿宋" w:eastAsia="仿宋" w:cs="仿宋"/>
          <w:b/>
          <w:bCs/>
          <w:color w:val="auto"/>
          <w:kern w:val="2"/>
          <w:sz w:val="28"/>
          <w:szCs w:val="28"/>
          <w:lang w:val="en-US" w:eastAsia="zh-CN" w:bidi="ar-SA"/>
        </w:rPr>
        <w:t>附件2</w:t>
      </w:r>
      <w:r>
        <w:rPr>
          <w:rFonts w:hint="eastAsia" w:ascii="仿宋_GB2312" w:hAnsi="仿宋_GB2312" w:eastAsia="仿宋_GB2312" w:cs="仿宋_GB2312"/>
          <w:b/>
          <w:bCs/>
          <w:color w:val="auto"/>
          <w:kern w:val="2"/>
          <w:sz w:val="32"/>
          <w:szCs w:val="32"/>
          <w:lang w:val="en-US" w:eastAsia="zh-CN" w:bidi="ar-SA"/>
        </w:rPr>
        <w:t xml:space="preserve"> </w:t>
      </w:r>
      <w:r>
        <w:rPr>
          <w:rFonts w:hint="eastAsia" w:ascii="仿宋" w:hAnsi="仿宋" w:eastAsia="仿宋" w:cs="仿宋"/>
          <w:b/>
          <w:bCs/>
          <w:color w:val="auto"/>
          <w:kern w:val="2"/>
          <w:sz w:val="28"/>
          <w:szCs w:val="28"/>
          <w:lang w:val="en-US" w:eastAsia="zh-CN" w:bidi="ar-SA"/>
        </w:rPr>
        <w:t>满意度问卷调查</w:t>
      </w:r>
    </w:p>
    <w:p>
      <w:pPr>
        <w:pStyle w:val="5"/>
        <w:keepNext w:val="0"/>
        <w:keepLines w:val="0"/>
        <w:pageBreakBefore w:val="0"/>
        <w:widowControl w:val="0"/>
        <w:numPr>
          <w:ilvl w:val="0"/>
          <w:numId w:val="0"/>
        </w:numPr>
        <w:kinsoku/>
        <w:wordWrap/>
        <w:overflowPunct/>
        <w:topLinePunct w:val="0"/>
        <w:autoSpaceDE/>
        <w:autoSpaceDN/>
        <w:bidi w:val="0"/>
        <w:adjustRightInd/>
        <w:snapToGrid/>
        <w:ind w:right="0" w:rightChars="0"/>
        <w:jc w:val="left"/>
        <w:textAlignment w:val="auto"/>
        <w:outlineLvl w:val="9"/>
        <w:rPr>
          <w:rFonts w:hint="eastAsia" w:ascii="仿宋" w:hAnsi="仿宋" w:eastAsia="仿宋" w:cs="仿宋"/>
          <w:b/>
          <w:bCs/>
          <w:color w:val="auto"/>
          <w:kern w:val="2"/>
          <w:sz w:val="28"/>
          <w:szCs w:val="28"/>
          <w:lang w:val="en-US" w:eastAsia="zh-CN" w:bidi="ar-SA"/>
        </w:rPr>
      </w:pPr>
    </w:p>
    <w:p>
      <w:pPr>
        <w:keepLines w:val="0"/>
        <w:spacing w:after="400"/>
        <w:ind w:firstLine="160"/>
        <w:jc w:val="center"/>
        <w:rPr>
          <w:b/>
          <w:sz w:val="32"/>
        </w:rPr>
      </w:pPr>
      <w:r>
        <w:rPr>
          <w:b/>
          <w:sz w:val="32"/>
        </w:rPr>
        <w:t>2020-2023年丰泽区公共文化服务体系建设专项资金项目调查问卷</w:t>
      </w:r>
    </w:p>
    <w:p>
      <w:pPr>
        <w:rPr>
          <w:b w:val="0"/>
          <w:color w:val="0066FF"/>
          <w:sz w:val="24"/>
        </w:rPr>
      </w:pPr>
      <w:r>
        <w:rPr>
          <w:b w:val="0"/>
          <w:color w:val="000000"/>
          <w:sz w:val="24"/>
        </w:rPr>
        <w:t xml:space="preserve">第1题   您是否了解丰泽区公共文化服务体系建设专项资金相关政策？      </w:t>
      </w:r>
      <w:r>
        <w:rPr>
          <w:b w:val="0"/>
          <w:color w:val="0066FF"/>
          <w:sz w:val="24"/>
        </w:rPr>
        <w:t>[单选题]</w:t>
      </w:r>
    </w:p>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559"/>
        <w:gridCol w:w="1085"/>
        <w:gridCol w:w="3372"/>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选项</w:t>
            </w:r>
          </w:p>
        </w:tc>
        <w:tc>
          <w:tcPr>
            <w:tcW w:w="1000" w:type="dxa"/>
            <w:shd w:val="clear" w:color="auto" w:fill="F5F5F5"/>
            <w:vAlign w:val="center"/>
          </w:tcPr>
          <w:p>
            <w:pPr>
              <w:jc w:val="center"/>
            </w:pPr>
            <w:r>
              <w:t>小计</w:t>
            </w:r>
          </w:p>
        </w:tc>
        <w:tc>
          <w:tcPr>
            <w:tcW w:w="3106" w:type="dxa"/>
            <w:shd w:val="clear" w:color="auto" w:fill="F5F5F5"/>
            <w:vAlign w:val="center"/>
          </w:tcPr>
          <w:p>
            <w:pPr>
              <w:jc w:val="left"/>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了解</w:t>
            </w:r>
          </w:p>
        </w:tc>
        <w:tc>
          <w:tcPr>
            <w:tcW w:w="1000" w:type="dxa"/>
            <w:shd w:val="clear" w:color="auto" w:fill="FFFFFF"/>
            <w:vAlign w:val="center"/>
          </w:tcPr>
          <w:p>
            <w:pPr>
              <w:jc w:val="center"/>
            </w:pPr>
            <w:r>
              <w:rPr>
                <w:rFonts w:hint="eastAsia" w:eastAsia="宋体"/>
                <w:lang w:val="en-US" w:eastAsia="zh-CN"/>
              </w:rPr>
              <w:t>1</w:t>
            </w:r>
            <w:r>
              <w:t>5</w:t>
            </w:r>
          </w:p>
        </w:tc>
        <w:tc>
          <w:tcPr>
            <w:tcW w:w="3106" w:type="dxa"/>
            <w:shd w:val="clear" w:color="auto" w:fill="FFFFFF"/>
            <w:vAlign w:val="center"/>
          </w:tcPr>
          <w:p>
            <w:pPr>
              <w:jc w:val="left"/>
            </w:pPr>
            <w:r>
              <w:drawing>
                <wp:inline distT="0" distB="0" distL="114300" distR="114300">
                  <wp:extent cx="609600" cy="1143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4"/>
                          <a:stretch>
                            <a:fillRect/>
                          </a:stretch>
                        </pic:blipFill>
                        <pic:spPr>
                          <a:xfrm>
                            <a:off x="0" y="0"/>
                            <a:ext cx="609685" cy="114316"/>
                          </a:xfrm>
                          <a:prstGeom prst="rect">
                            <a:avLst/>
                          </a:prstGeom>
                        </pic:spPr>
                      </pic:pic>
                    </a:graphicData>
                  </a:graphic>
                </wp:inline>
              </w:drawing>
            </w:r>
            <w:r>
              <w:drawing>
                <wp:inline distT="0" distB="0" distL="114300" distR="114300">
                  <wp:extent cx="742950" cy="114300"/>
                  <wp:effectExtent l="0" t="0" r="0" b="0"/>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r:embed="rId15"/>
                          <a:stretch>
                            <a:fillRect/>
                          </a:stretch>
                        </pic:blipFill>
                        <pic:spPr>
                          <a:xfrm>
                            <a:off x="0" y="0"/>
                            <a:ext cx="743054" cy="114316"/>
                          </a:xfrm>
                          <a:prstGeom prst="rect">
                            <a:avLst/>
                          </a:prstGeom>
                        </pic:spPr>
                      </pic:pic>
                    </a:graphicData>
                  </a:graphic>
                </wp:inline>
              </w:drawing>
            </w:r>
            <w:r>
              <w:t>4</w:t>
            </w:r>
            <w:r>
              <w:rPr>
                <w:rFonts w:hint="eastAsia" w:eastAsia="宋体"/>
                <w:lang w:val="en-US" w:eastAsia="zh-CN"/>
              </w:rPr>
              <w:t>1</w:t>
            </w:r>
            <w:r>
              <w:t>.</w:t>
            </w:r>
            <w:r>
              <w:rPr>
                <w:rFonts w:hint="eastAsia" w:eastAsia="宋体"/>
                <w:lang w:val="en-US" w:eastAsia="zh-CN"/>
              </w:rPr>
              <w:t>67</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jc w:val="left"/>
            </w:pPr>
            <w:r>
              <w:t>部分了解</w:t>
            </w:r>
          </w:p>
        </w:tc>
        <w:tc>
          <w:tcPr>
            <w:tcW w:w="1000" w:type="dxa"/>
            <w:shd w:val="clear" w:color="auto" w:fill="FAFAFA"/>
            <w:vAlign w:val="center"/>
          </w:tcPr>
          <w:p>
            <w:pPr>
              <w:jc w:val="center"/>
              <w:rPr>
                <w:rFonts w:hint="default"/>
                <w:lang w:val="en-US"/>
              </w:rPr>
            </w:pPr>
            <w:r>
              <w:rPr>
                <w:rFonts w:hint="eastAsia" w:eastAsia="宋体"/>
                <w:lang w:val="en-US" w:eastAsia="zh-CN"/>
              </w:rPr>
              <w:t>17</w:t>
            </w:r>
          </w:p>
        </w:tc>
        <w:tc>
          <w:tcPr>
            <w:tcW w:w="3106" w:type="dxa"/>
            <w:shd w:val="clear" w:color="auto" w:fill="FAFAFA"/>
            <w:vAlign w:val="center"/>
          </w:tcPr>
          <w:p>
            <w:pPr>
              <w:jc w:val="left"/>
            </w:pPr>
            <w:r>
              <w:drawing>
                <wp:inline distT="0" distB="0" distL="114300" distR="114300">
                  <wp:extent cx="733425" cy="114300"/>
                  <wp:effectExtent l="0" t="0" r="9525"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6"/>
                          <a:stretch>
                            <a:fillRect/>
                          </a:stretch>
                        </pic:blipFill>
                        <pic:spPr>
                          <a:xfrm>
                            <a:off x="0" y="0"/>
                            <a:ext cx="733527" cy="114316"/>
                          </a:xfrm>
                          <a:prstGeom prst="rect">
                            <a:avLst/>
                          </a:prstGeom>
                        </pic:spPr>
                      </pic:pic>
                    </a:graphicData>
                  </a:graphic>
                </wp:inline>
              </w:drawing>
            </w:r>
            <w:r>
              <w:drawing>
                <wp:inline distT="0" distB="0" distL="114300" distR="114300">
                  <wp:extent cx="619125" cy="114300"/>
                  <wp:effectExtent l="0" t="0" r="9525"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7"/>
                          <a:stretch>
                            <a:fillRect/>
                          </a:stretch>
                        </pic:blipFill>
                        <pic:spPr>
                          <a:xfrm>
                            <a:off x="0" y="0"/>
                            <a:ext cx="619211" cy="114316"/>
                          </a:xfrm>
                          <a:prstGeom prst="rect">
                            <a:avLst/>
                          </a:prstGeom>
                        </pic:spPr>
                      </pic:pic>
                    </a:graphicData>
                  </a:graphic>
                </wp:inline>
              </w:drawing>
            </w:r>
            <w:r>
              <w:rPr>
                <w:rFonts w:hint="eastAsia" w:eastAsia="宋体"/>
                <w:lang w:val="en-US" w:eastAsia="zh-CN"/>
              </w:rPr>
              <w:t>47.22</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不了解</w:t>
            </w:r>
          </w:p>
        </w:tc>
        <w:tc>
          <w:tcPr>
            <w:tcW w:w="1000" w:type="dxa"/>
            <w:shd w:val="clear" w:color="auto" w:fill="FFFFFF"/>
            <w:vAlign w:val="center"/>
          </w:tcPr>
          <w:p>
            <w:pPr>
              <w:jc w:val="center"/>
              <w:rPr>
                <w:rFonts w:hint="eastAsia" w:eastAsia="宋体"/>
                <w:lang w:eastAsia="zh-CN"/>
              </w:rPr>
            </w:pPr>
            <w:r>
              <w:rPr>
                <w:rFonts w:hint="eastAsia" w:eastAsia="宋体"/>
                <w:lang w:val="en-US" w:eastAsia="zh-CN"/>
              </w:rPr>
              <w:t>4</w:t>
            </w:r>
          </w:p>
        </w:tc>
        <w:tc>
          <w:tcPr>
            <w:tcW w:w="3106" w:type="dxa"/>
            <w:shd w:val="clear" w:color="auto" w:fill="FFFFFF"/>
            <w:vAlign w:val="center"/>
          </w:tcPr>
          <w:p>
            <w:pPr>
              <w:jc w:val="left"/>
            </w:pPr>
            <w:r>
              <w:drawing>
                <wp:inline distT="0" distB="0" distL="114300" distR="114300">
                  <wp:extent cx="114300" cy="1143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a:stretch>
                            <a:fillRect/>
                          </a:stretch>
                        </pic:blipFill>
                        <pic:spPr>
                          <a:xfrm>
                            <a:off x="0" y="0"/>
                            <a:ext cx="114316" cy="114316"/>
                          </a:xfrm>
                          <a:prstGeom prst="rect">
                            <a:avLst/>
                          </a:prstGeom>
                        </pic:spPr>
                      </pic:pic>
                    </a:graphicData>
                  </a:graphic>
                </wp:inline>
              </w:drawing>
            </w:r>
            <w:r>
              <w:drawing>
                <wp:inline distT="0" distB="0" distL="114300" distR="114300">
                  <wp:extent cx="1238250" cy="1143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a:stretch>
                            <a:fillRect/>
                          </a:stretch>
                        </pic:blipFill>
                        <pic:spPr>
                          <a:xfrm>
                            <a:off x="0" y="0"/>
                            <a:ext cx="1238423" cy="114316"/>
                          </a:xfrm>
                          <a:prstGeom prst="rect">
                            <a:avLst/>
                          </a:prstGeom>
                        </pic:spPr>
                      </pic:pic>
                    </a:graphicData>
                  </a:graphic>
                </wp:inline>
              </w:drawing>
            </w:r>
            <w:r>
              <w:t>9.09%</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本题有效填写人次</w:t>
            </w:r>
          </w:p>
        </w:tc>
        <w:tc>
          <w:tcPr>
            <w:tcW w:w="1000" w:type="dxa"/>
            <w:shd w:val="clear" w:color="auto" w:fill="F5F5F5"/>
            <w:vAlign w:val="center"/>
          </w:tcPr>
          <w:p>
            <w:pPr>
              <w:jc w:val="center"/>
              <w:rPr>
                <w:rFonts w:hint="default" w:eastAsia="宋体"/>
                <w:lang w:val="en-US" w:eastAsia="zh-CN"/>
              </w:rPr>
            </w:pPr>
            <w:r>
              <w:rPr>
                <w:rFonts w:hint="eastAsia" w:eastAsia="宋体"/>
                <w:lang w:val="en-US" w:eastAsia="zh-CN"/>
              </w:rPr>
              <w:t>36</w:t>
            </w:r>
          </w:p>
        </w:tc>
        <w:tc>
          <w:tcPr>
            <w:tcW w:w="3106" w:type="dxa"/>
            <w:shd w:val="clear" w:color="auto" w:fill="F5F5F5"/>
            <w:vAlign w:val="center"/>
          </w:tcPr>
          <w:p>
            <w:pPr>
              <w:jc w:val="left"/>
            </w:pPr>
          </w:p>
        </w:tc>
      </w:tr>
    </w:tbl>
    <w:p/>
    <w:p/>
    <w:p>
      <w:pPr>
        <w:rPr>
          <w:b w:val="0"/>
          <w:color w:val="0066FF"/>
          <w:sz w:val="24"/>
        </w:rPr>
      </w:pPr>
      <w:r>
        <w:rPr>
          <w:b w:val="0"/>
          <w:color w:val="000000"/>
          <w:sz w:val="24"/>
        </w:rPr>
        <w:t xml:space="preserve">第2题   您对丰泽区实行该类政策是否支持？      </w:t>
      </w:r>
      <w:r>
        <w:rPr>
          <w:b w:val="0"/>
          <w:color w:val="0066FF"/>
          <w:sz w:val="24"/>
        </w:rPr>
        <w:t>[单选题]</w:t>
      </w:r>
    </w:p>
    <w:p/>
    <w:tbl>
      <w:tblPr>
        <w:tblStyle w:val="19"/>
        <w:tblW w:w="4968"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558"/>
        <w:gridCol w:w="1085"/>
        <w:gridCol w:w="3315"/>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5F5F5"/>
            <w:vAlign w:val="center"/>
          </w:tcPr>
          <w:p>
            <w:pPr>
              <w:jc w:val="left"/>
            </w:pPr>
            <w:r>
              <w:t>选项</w:t>
            </w:r>
          </w:p>
        </w:tc>
        <w:tc>
          <w:tcPr>
            <w:tcW w:w="1026" w:type="dxa"/>
            <w:shd w:val="clear" w:color="auto" w:fill="F5F5F5"/>
            <w:vAlign w:val="center"/>
          </w:tcPr>
          <w:p>
            <w:pPr>
              <w:jc w:val="center"/>
            </w:pPr>
            <w:r>
              <w:t>小计</w:t>
            </w:r>
          </w:p>
        </w:tc>
        <w:tc>
          <w:tcPr>
            <w:tcW w:w="3133" w:type="dxa"/>
            <w:shd w:val="clear" w:color="auto" w:fill="F5F5F5"/>
            <w:vAlign w:val="center"/>
          </w:tcPr>
          <w:p>
            <w:pPr>
              <w:jc w:val="left"/>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FFFFF"/>
            <w:vAlign w:val="center"/>
          </w:tcPr>
          <w:p>
            <w:pPr>
              <w:jc w:val="left"/>
            </w:pPr>
            <w:r>
              <w:t>支持，丰富和提升了文化活动</w:t>
            </w:r>
          </w:p>
        </w:tc>
        <w:tc>
          <w:tcPr>
            <w:tcW w:w="1026" w:type="dxa"/>
            <w:shd w:val="clear" w:color="auto" w:fill="FFFFFF"/>
            <w:vAlign w:val="center"/>
          </w:tcPr>
          <w:p>
            <w:pPr>
              <w:jc w:val="center"/>
              <w:rPr>
                <w:rFonts w:hint="default" w:eastAsia="宋体"/>
                <w:lang w:val="en-US" w:eastAsia="zh-CN"/>
              </w:rPr>
            </w:pPr>
            <w:r>
              <w:rPr>
                <w:rFonts w:hint="eastAsia" w:eastAsia="宋体"/>
                <w:lang w:val="en-US" w:eastAsia="zh-CN"/>
              </w:rPr>
              <w:t>27</w:t>
            </w:r>
          </w:p>
        </w:tc>
        <w:tc>
          <w:tcPr>
            <w:tcW w:w="3133" w:type="dxa"/>
            <w:shd w:val="clear" w:color="auto" w:fill="FFFFFF"/>
            <w:vAlign w:val="center"/>
          </w:tcPr>
          <w:p>
            <w:pPr>
              <w:jc w:val="left"/>
            </w:pPr>
            <w:r>
              <w:drawing>
                <wp:inline distT="0" distB="0" distL="114300" distR="114300">
                  <wp:extent cx="1007745" cy="114300"/>
                  <wp:effectExtent l="0" t="0" r="1905" b="0"/>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20"/>
                          <a:stretch>
                            <a:fillRect/>
                          </a:stretch>
                        </pic:blipFill>
                        <pic:spPr>
                          <a:xfrm>
                            <a:off x="0" y="0"/>
                            <a:ext cx="1007745" cy="114316"/>
                          </a:xfrm>
                          <a:prstGeom prst="rect">
                            <a:avLst/>
                          </a:prstGeom>
                        </pic:spPr>
                      </pic:pic>
                    </a:graphicData>
                  </a:graphic>
                </wp:inline>
              </w:drawing>
            </w:r>
            <w:r>
              <w:drawing>
                <wp:inline distT="0" distB="0" distL="114300" distR="114300">
                  <wp:extent cx="323850" cy="114300"/>
                  <wp:effectExtent l="0" t="0" r="0"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21"/>
                          <a:stretch>
                            <a:fillRect/>
                          </a:stretch>
                        </pic:blipFill>
                        <pic:spPr>
                          <a:xfrm>
                            <a:off x="0" y="0"/>
                            <a:ext cx="323850" cy="114316"/>
                          </a:xfrm>
                          <a:prstGeom prst="rect">
                            <a:avLst/>
                          </a:prstGeom>
                        </pic:spPr>
                      </pic:pic>
                    </a:graphicData>
                  </a:graphic>
                </wp:inline>
              </w:drawing>
            </w:r>
            <w:r>
              <w:rPr>
                <w:rFonts w:hint="eastAsia" w:eastAsia="宋体"/>
                <w:lang w:val="en-US" w:eastAsia="zh-CN"/>
              </w:rPr>
              <w:t>75.00</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AFAFA"/>
            <w:vAlign w:val="center"/>
          </w:tcPr>
          <w:p>
            <w:pPr>
              <w:jc w:val="left"/>
            </w:pPr>
            <w:r>
              <w:t>不支持，活动影响日常生活</w:t>
            </w:r>
          </w:p>
        </w:tc>
        <w:tc>
          <w:tcPr>
            <w:tcW w:w="1026" w:type="dxa"/>
            <w:shd w:val="clear" w:color="auto" w:fill="FAFAFA"/>
            <w:vAlign w:val="center"/>
          </w:tcPr>
          <w:p>
            <w:pPr>
              <w:jc w:val="center"/>
            </w:pPr>
            <w:r>
              <w:t>0</w:t>
            </w:r>
          </w:p>
        </w:tc>
        <w:tc>
          <w:tcPr>
            <w:tcW w:w="3133" w:type="dxa"/>
            <w:shd w:val="clear" w:color="auto" w:fill="FAFAFA"/>
            <w:vAlign w:val="center"/>
          </w:tcPr>
          <w:p>
            <w:pPr>
              <w:jc w:val="left"/>
            </w:pPr>
            <w:r>
              <w:drawing>
                <wp:inline distT="0" distB="0" distL="114300" distR="114300">
                  <wp:extent cx="1352550" cy="1143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22"/>
                          <a:stretch>
                            <a:fillRect/>
                          </a:stretch>
                        </pic:blipFill>
                        <pic:spPr>
                          <a:xfrm>
                            <a:off x="0" y="0"/>
                            <a:ext cx="1352739" cy="114316"/>
                          </a:xfrm>
                          <a:prstGeom prst="rect">
                            <a:avLst/>
                          </a:prstGeom>
                        </pic:spPr>
                      </pic:pic>
                    </a:graphicData>
                  </a:graphic>
                </wp:inline>
              </w:drawing>
            </w:r>
            <w: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FFFFF"/>
            <w:vAlign w:val="center"/>
          </w:tcPr>
          <w:p>
            <w:pPr>
              <w:jc w:val="left"/>
            </w:pPr>
            <w:r>
              <w:t>不关心</w:t>
            </w:r>
          </w:p>
        </w:tc>
        <w:tc>
          <w:tcPr>
            <w:tcW w:w="1026" w:type="dxa"/>
            <w:shd w:val="clear" w:color="auto" w:fill="FFFFFF"/>
            <w:vAlign w:val="center"/>
          </w:tcPr>
          <w:p>
            <w:pPr>
              <w:jc w:val="center"/>
              <w:rPr>
                <w:rFonts w:hint="eastAsia" w:eastAsia="宋体"/>
                <w:lang w:eastAsia="zh-CN"/>
              </w:rPr>
            </w:pPr>
            <w:r>
              <w:rPr>
                <w:rFonts w:hint="eastAsia" w:eastAsia="宋体"/>
                <w:lang w:val="en-US" w:eastAsia="zh-CN"/>
              </w:rPr>
              <w:t>9</w:t>
            </w:r>
          </w:p>
        </w:tc>
        <w:tc>
          <w:tcPr>
            <w:tcW w:w="3133" w:type="dxa"/>
            <w:shd w:val="clear" w:color="auto" w:fill="FFFFFF"/>
            <w:vAlign w:val="center"/>
          </w:tcPr>
          <w:p>
            <w:pPr>
              <w:jc w:val="left"/>
            </w:pPr>
            <w:r>
              <w:drawing>
                <wp:inline distT="0" distB="0" distL="114300" distR="114300">
                  <wp:extent cx="360045" cy="114300"/>
                  <wp:effectExtent l="0" t="0" r="1905" b="0"/>
                  <wp:docPr id="100009" name="图片 100009"/>
                  <wp:cNvGraphicFramePr/>
                  <a:graphic xmlns:a="http://schemas.openxmlformats.org/drawingml/2006/main">
                    <a:graphicData uri="http://schemas.openxmlformats.org/drawingml/2006/picture">
                      <pic:pic xmlns:pic="http://schemas.openxmlformats.org/drawingml/2006/picture">
                        <pic:nvPicPr>
                          <pic:cNvPr id="100009" name="图片 100009"/>
                          <pic:cNvPicPr/>
                        </pic:nvPicPr>
                        <pic:blipFill>
                          <a:blip r:embed="rId23"/>
                          <a:stretch>
                            <a:fillRect/>
                          </a:stretch>
                        </pic:blipFill>
                        <pic:spPr>
                          <a:xfrm>
                            <a:off x="0" y="0"/>
                            <a:ext cx="360045" cy="114316"/>
                          </a:xfrm>
                          <a:prstGeom prst="rect">
                            <a:avLst/>
                          </a:prstGeom>
                        </pic:spPr>
                      </pic:pic>
                    </a:graphicData>
                  </a:graphic>
                </wp:inline>
              </w:drawing>
            </w:r>
            <w:r>
              <w:drawing>
                <wp:inline distT="0" distB="0" distL="114300" distR="114300">
                  <wp:extent cx="1002030" cy="114300"/>
                  <wp:effectExtent l="0" t="0" r="7620" b="0"/>
                  <wp:docPr id="100010" name="图片 100010"/>
                  <wp:cNvGraphicFramePr/>
                  <a:graphic xmlns:a="http://schemas.openxmlformats.org/drawingml/2006/main">
                    <a:graphicData uri="http://schemas.openxmlformats.org/drawingml/2006/picture">
                      <pic:pic xmlns:pic="http://schemas.openxmlformats.org/drawingml/2006/picture">
                        <pic:nvPicPr>
                          <pic:cNvPr id="100010" name="图片 100010"/>
                          <pic:cNvPicPr/>
                        </pic:nvPicPr>
                        <pic:blipFill>
                          <a:blip r:embed="rId24"/>
                          <a:stretch>
                            <a:fillRect/>
                          </a:stretch>
                        </pic:blipFill>
                        <pic:spPr>
                          <a:xfrm>
                            <a:off x="0" y="0"/>
                            <a:ext cx="1002030" cy="114316"/>
                          </a:xfrm>
                          <a:prstGeom prst="rect">
                            <a:avLst/>
                          </a:prstGeom>
                        </pic:spPr>
                      </pic:pic>
                    </a:graphicData>
                  </a:graphic>
                </wp:inline>
              </w:drawing>
            </w:r>
            <w:r>
              <w:rPr>
                <w:rFonts w:hint="eastAsia" w:eastAsia="宋体"/>
                <w:lang w:val="en-US" w:eastAsia="zh-CN"/>
              </w:rPr>
              <w:t>25.00</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5F5F5"/>
            <w:vAlign w:val="center"/>
          </w:tcPr>
          <w:p>
            <w:pPr>
              <w:jc w:val="left"/>
            </w:pPr>
            <w:r>
              <w:t>本题有效填写人次</w:t>
            </w:r>
          </w:p>
        </w:tc>
        <w:tc>
          <w:tcPr>
            <w:tcW w:w="1026" w:type="dxa"/>
            <w:shd w:val="clear" w:color="auto" w:fill="F5F5F5"/>
            <w:vAlign w:val="center"/>
          </w:tcPr>
          <w:p>
            <w:pPr>
              <w:jc w:val="center"/>
            </w:pPr>
            <w:r>
              <w:rPr>
                <w:rFonts w:hint="eastAsia" w:eastAsia="宋体"/>
                <w:lang w:val="en-US" w:eastAsia="zh-CN"/>
              </w:rPr>
              <w:t>36</w:t>
            </w:r>
          </w:p>
        </w:tc>
        <w:tc>
          <w:tcPr>
            <w:tcW w:w="3133" w:type="dxa"/>
            <w:shd w:val="clear" w:color="auto" w:fill="F5F5F5"/>
            <w:vAlign w:val="center"/>
          </w:tcPr>
          <w:p>
            <w:pPr>
              <w:jc w:val="left"/>
            </w:pPr>
          </w:p>
        </w:tc>
      </w:tr>
    </w:tbl>
    <w:p/>
    <w:p/>
    <w:p>
      <w:pPr>
        <w:rPr>
          <w:b w:val="0"/>
          <w:color w:val="0066FF"/>
          <w:sz w:val="24"/>
        </w:rPr>
      </w:pPr>
      <w:r>
        <w:rPr>
          <w:b w:val="0"/>
          <w:color w:val="000000"/>
          <w:sz w:val="24"/>
        </w:rPr>
        <w:t xml:space="preserve">第3题   您是否获得过公共文化服务体系建设带来的福利？      </w:t>
      </w:r>
      <w:r>
        <w:rPr>
          <w:b w:val="0"/>
          <w:color w:val="0066FF"/>
          <w:sz w:val="24"/>
        </w:rPr>
        <w:t>[单选题]</w:t>
      </w:r>
    </w:p>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559"/>
        <w:gridCol w:w="1085"/>
        <w:gridCol w:w="3372"/>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选项</w:t>
            </w:r>
          </w:p>
        </w:tc>
        <w:tc>
          <w:tcPr>
            <w:tcW w:w="1000" w:type="dxa"/>
            <w:shd w:val="clear" w:color="auto" w:fill="F5F5F5"/>
            <w:vAlign w:val="center"/>
          </w:tcPr>
          <w:p>
            <w:pPr>
              <w:jc w:val="center"/>
            </w:pPr>
            <w:r>
              <w:t>小计</w:t>
            </w:r>
          </w:p>
        </w:tc>
        <w:tc>
          <w:tcPr>
            <w:tcW w:w="3106" w:type="dxa"/>
            <w:shd w:val="clear" w:color="auto" w:fill="F5F5F5"/>
            <w:vAlign w:val="center"/>
          </w:tcPr>
          <w:p>
            <w:pPr>
              <w:jc w:val="left"/>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获得过</w:t>
            </w:r>
          </w:p>
        </w:tc>
        <w:tc>
          <w:tcPr>
            <w:tcW w:w="1000" w:type="dxa"/>
            <w:shd w:val="clear" w:color="auto" w:fill="FFFFFF"/>
            <w:vAlign w:val="center"/>
          </w:tcPr>
          <w:p>
            <w:pPr>
              <w:jc w:val="center"/>
              <w:rPr>
                <w:rFonts w:hint="default" w:eastAsia="宋体"/>
                <w:lang w:val="en-US" w:eastAsia="zh-CN"/>
              </w:rPr>
            </w:pPr>
            <w:r>
              <w:rPr>
                <w:rFonts w:hint="eastAsia" w:eastAsia="宋体"/>
                <w:lang w:val="en-US" w:eastAsia="zh-CN"/>
              </w:rPr>
              <w:t>28</w:t>
            </w:r>
          </w:p>
        </w:tc>
        <w:tc>
          <w:tcPr>
            <w:tcW w:w="3106" w:type="dxa"/>
            <w:shd w:val="clear" w:color="auto" w:fill="FFFFFF"/>
            <w:vAlign w:val="center"/>
          </w:tcPr>
          <w:p>
            <w:pPr>
              <w:jc w:val="left"/>
            </w:pPr>
            <w:r>
              <w:drawing>
                <wp:inline distT="0" distB="0" distL="114300" distR="114300">
                  <wp:extent cx="1007745" cy="114300"/>
                  <wp:effectExtent l="0" t="0" r="1905" b="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0"/>
                          <a:stretch>
                            <a:fillRect/>
                          </a:stretch>
                        </pic:blipFill>
                        <pic:spPr>
                          <a:xfrm>
                            <a:off x="0" y="0"/>
                            <a:ext cx="1007745" cy="114316"/>
                          </a:xfrm>
                          <a:prstGeom prst="rect">
                            <a:avLst/>
                          </a:prstGeom>
                        </pic:spPr>
                      </pic:pic>
                    </a:graphicData>
                  </a:graphic>
                </wp:inline>
              </w:drawing>
            </w:r>
            <w:r>
              <w:drawing>
                <wp:inline distT="0" distB="0" distL="114300" distR="114300">
                  <wp:extent cx="323850" cy="114300"/>
                  <wp:effectExtent l="0" t="0" r="0" b="0"/>
                  <wp:docPr id="12" name="图片 12"/>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21"/>
                          <a:stretch>
                            <a:fillRect/>
                          </a:stretch>
                        </pic:blipFill>
                        <pic:spPr>
                          <a:xfrm>
                            <a:off x="0" y="0"/>
                            <a:ext cx="323850" cy="114316"/>
                          </a:xfrm>
                          <a:prstGeom prst="rect">
                            <a:avLst/>
                          </a:prstGeom>
                        </pic:spPr>
                      </pic:pic>
                    </a:graphicData>
                  </a:graphic>
                </wp:inline>
              </w:drawing>
            </w:r>
            <w:r>
              <w:rPr>
                <w:rFonts w:hint="eastAsia" w:eastAsia="宋体"/>
                <w:lang w:val="en-US" w:eastAsia="zh-CN"/>
              </w:rPr>
              <w:t>77.78</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jc w:val="left"/>
            </w:pPr>
            <w:r>
              <w:t>获得很少部分</w:t>
            </w:r>
          </w:p>
        </w:tc>
        <w:tc>
          <w:tcPr>
            <w:tcW w:w="1000" w:type="dxa"/>
            <w:shd w:val="clear" w:color="auto" w:fill="FAFAFA"/>
            <w:vAlign w:val="center"/>
          </w:tcPr>
          <w:p>
            <w:pPr>
              <w:jc w:val="center"/>
              <w:rPr>
                <w:rFonts w:hint="eastAsia" w:eastAsia="宋体"/>
                <w:lang w:eastAsia="zh-CN"/>
              </w:rPr>
            </w:pPr>
            <w:r>
              <w:rPr>
                <w:rFonts w:hint="eastAsia" w:eastAsia="宋体"/>
                <w:lang w:val="en-US" w:eastAsia="zh-CN"/>
              </w:rPr>
              <w:t>8</w:t>
            </w:r>
          </w:p>
        </w:tc>
        <w:tc>
          <w:tcPr>
            <w:tcW w:w="3106" w:type="dxa"/>
            <w:shd w:val="clear" w:color="auto" w:fill="FAFAFA"/>
            <w:vAlign w:val="center"/>
          </w:tcPr>
          <w:p>
            <w:pPr>
              <w:jc w:val="left"/>
            </w:pPr>
            <w:r>
              <w:drawing>
                <wp:inline distT="0" distB="0" distL="114300" distR="114300">
                  <wp:extent cx="288290" cy="114300"/>
                  <wp:effectExtent l="0" t="0" r="16510" b="0"/>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3"/>
                          <a:stretch>
                            <a:fillRect/>
                          </a:stretch>
                        </pic:blipFill>
                        <pic:spPr>
                          <a:xfrm>
                            <a:off x="0" y="0"/>
                            <a:ext cx="288290" cy="114316"/>
                          </a:xfrm>
                          <a:prstGeom prst="rect">
                            <a:avLst/>
                          </a:prstGeom>
                        </pic:spPr>
                      </pic:pic>
                    </a:graphicData>
                  </a:graphic>
                </wp:inline>
              </w:drawing>
            </w:r>
            <w:r>
              <w:drawing>
                <wp:inline distT="0" distB="0" distL="114300" distR="114300">
                  <wp:extent cx="1043940" cy="114300"/>
                  <wp:effectExtent l="0" t="0" r="3810" b="0"/>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4"/>
                          <a:stretch>
                            <a:fillRect/>
                          </a:stretch>
                        </pic:blipFill>
                        <pic:spPr>
                          <a:xfrm>
                            <a:off x="0" y="0"/>
                            <a:ext cx="1043940" cy="114316"/>
                          </a:xfrm>
                          <a:prstGeom prst="rect">
                            <a:avLst/>
                          </a:prstGeom>
                        </pic:spPr>
                      </pic:pic>
                    </a:graphicData>
                  </a:graphic>
                </wp:inline>
              </w:drawing>
            </w:r>
            <w:r>
              <w:rPr>
                <w:rFonts w:hint="eastAsia" w:eastAsia="宋体"/>
                <w:lang w:val="en-US" w:eastAsia="zh-CN"/>
              </w:rPr>
              <w:t>22.22</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没有过</w:t>
            </w:r>
          </w:p>
        </w:tc>
        <w:tc>
          <w:tcPr>
            <w:tcW w:w="1000" w:type="dxa"/>
            <w:shd w:val="clear" w:color="auto" w:fill="FFFFFF"/>
            <w:vAlign w:val="center"/>
          </w:tcPr>
          <w:p>
            <w:pPr>
              <w:jc w:val="center"/>
              <w:rPr>
                <w:rFonts w:hint="eastAsia" w:eastAsia="宋体"/>
                <w:lang w:eastAsia="zh-CN"/>
              </w:rPr>
            </w:pPr>
            <w:r>
              <w:rPr>
                <w:rFonts w:hint="eastAsia" w:eastAsia="宋体"/>
                <w:lang w:val="en-US" w:eastAsia="zh-CN"/>
              </w:rPr>
              <w:t>0</w:t>
            </w:r>
          </w:p>
        </w:tc>
        <w:tc>
          <w:tcPr>
            <w:tcW w:w="3106" w:type="dxa"/>
            <w:shd w:val="clear" w:color="auto" w:fill="FFFFFF"/>
            <w:vAlign w:val="center"/>
          </w:tcPr>
          <w:p>
            <w:pPr>
              <w:jc w:val="left"/>
            </w:pPr>
            <w:r>
              <w:drawing>
                <wp:inline distT="0" distB="0" distL="114300" distR="114300">
                  <wp:extent cx="1352550" cy="1143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2"/>
                          <a:stretch>
                            <a:fillRect/>
                          </a:stretch>
                        </pic:blipFill>
                        <pic:spPr>
                          <a:xfrm>
                            <a:off x="0" y="0"/>
                            <a:ext cx="1352739" cy="114316"/>
                          </a:xfrm>
                          <a:prstGeom prst="rect">
                            <a:avLst/>
                          </a:prstGeom>
                        </pic:spPr>
                      </pic:pic>
                    </a:graphicData>
                  </a:graphic>
                </wp:inline>
              </w:drawing>
            </w:r>
            <w: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本题有效填写人次</w:t>
            </w:r>
          </w:p>
        </w:tc>
        <w:tc>
          <w:tcPr>
            <w:tcW w:w="1000" w:type="dxa"/>
            <w:shd w:val="clear" w:color="auto" w:fill="F5F5F5"/>
            <w:vAlign w:val="center"/>
          </w:tcPr>
          <w:p>
            <w:pPr>
              <w:jc w:val="center"/>
            </w:pPr>
            <w:r>
              <w:rPr>
                <w:rFonts w:hint="eastAsia" w:eastAsia="宋体"/>
                <w:lang w:val="en-US" w:eastAsia="zh-CN"/>
              </w:rPr>
              <w:t>36</w:t>
            </w:r>
          </w:p>
        </w:tc>
        <w:tc>
          <w:tcPr>
            <w:tcW w:w="3106" w:type="dxa"/>
            <w:shd w:val="clear" w:color="auto" w:fill="F5F5F5"/>
            <w:vAlign w:val="center"/>
          </w:tcPr>
          <w:p>
            <w:pPr>
              <w:jc w:val="left"/>
            </w:pPr>
          </w:p>
        </w:tc>
      </w:tr>
    </w:tbl>
    <w:p/>
    <w:p/>
    <w:p>
      <w:pPr>
        <w:rPr>
          <w:b w:val="0"/>
          <w:color w:val="0066FF"/>
          <w:sz w:val="24"/>
        </w:rPr>
      </w:pPr>
      <w:r>
        <w:rPr>
          <w:b w:val="0"/>
          <w:color w:val="000000"/>
          <w:sz w:val="24"/>
        </w:rPr>
        <w:t xml:space="preserve">第4题   您对丰泽区公共文化服务建设体系满意吗？      </w:t>
      </w:r>
      <w:r>
        <w:rPr>
          <w:b w:val="0"/>
          <w:color w:val="0066FF"/>
          <w:sz w:val="24"/>
        </w:rPr>
        <w:t>[单选题]</w:t>
      </w:r>
    </w:p>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559"/>
        <w:gridCol w:w="1085"/>
        <w:gridCol w:w="3372"/>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选项</w:t>
            </w:r>
          </w:p>
        </w:tc>
        <w:tc>
          <w:tcPr>
            <w:tcW w:w="1000" w:type="dxa"/>
            <w:shd w:val="clear" w:color="auto" w:fill="F5F5F5"/>
            <w:vAlign w:val="center"/>
          </w:tcPr>
          <w:p>
            <w:pPr>
              <w:jc w:val="center"/>
            </w:pPr>
            <w:r>
              <w:t>小计</w:t>
            </w:r>
          </w:p>
        </w:tc>
        <w:tc>
          <w:tcPr>
            <w:tcW w:w="3106" w:type="dxa"/>
            <w:shd w:val="clear" w:color="auto" w:fill="F5F5F5"/>
            <w:vAlign w:val="center"/>
          </w:tcPr>
          <w:p>
            <w:pPr>
              <w:jc w:val="left"/>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非常满意</w:t>
            </w:r>
          </w:p>
        </w:tc>
        <w:tc>
          <w:tcPr>
            <w:tcW w:w="1000" w:type="dxa"/>
            <w:shd w:val="clear" w:color="auto" w:fill="FFFFFF"/>
            <w:vAlign w:val="center"/>
          </w:tcPr>
          <w:p>
            <w:pPr>
              <w:jc w:val="center"/>
              <w:rPr>
                <w:rFonts w:hint="eastAsia" w:eastAsia="宋体"/>
                <w:lang w:eastAsia="zh-CN"/>
              </w:rPr>
            </w:pPr>
            <w:r>
              <w:rPr>
                <w:rFonts w:hint="eastAsia" w:eastAsia="宋体"/>
                <w:lang w:val="en-US" w:eastAsia="zh-CN"/>
              </w:rPr>
              <w:t>2</w:t>
            </w:r>
          </w:p>
        </w:tc>
        <w:tc>
          <w:tcPr>
            <w:tcW w:w="3106" w:type="dxa"/>
            <w:shd w:val="clear" w:color="auto" w:fill="FFFFFF"/>
            <w:vAlign w:val="center"/>
          </w:tcPr>
          <w:p>
            <w:pPr>
              <w:jc w:val="left"/>
            </w:pPr>
            <w:r>
              <w:drawing>
                <wp:inline distT="0" distB="0" distL="114300" distR="114300">
                  <wp:extent cx="71755" cy="114300"/>
                  <wp:effectExtent l="0" t="0" r="4445" b="0"/>
                  <wp:docPr id="100016" name="图片 100016"/>
                  <wp:cNvGraphicFramePr/>
                  <a:graphic xmlns:a="http://schemas.openxmlformats.org/drawingml/2006/main">
                    <a:graphicData uri="http://schemas.openxmlformats.org/drawingml/2006/picture">
                      <pic:pic xmlns:pic="http://schemas.openxmlformats.org/drawingml/2006/picture">
                        <pic:nvPicPr>
                          <pic:cNvPr id="100016" name="图片 100016"/>
                          <pic:cNvPicPr/>
                        </pic:nvPicPr>
                        <pic:blipFill>
                          <a:blip r:embed="rId18"/>
                          <a:stretch>
                            <a:fillRect/>
                          </a:stretch>
                        </pic:blipFill>
                        <pic:spPr>
                          <a:xfrm>
                            <a:off x="0" y="0"/>
                            <a:ext cx="71755" cy="114316"/>
                          </a:xfrm>
                          <a:prstGeom prst="rect">
                            <a:avLst/>
                          </a:prstGeom>
                        </pic:spPr>
                      </pic:pic>
                    </a:graphicData>
                  </a:graphic>
                </wp:inline>
              </w:drawing>
            </w:r>
            <w:r>
              <w:drawing>
                <wp:inline distT="0" distB="0" distL="114300" distR="114300">
                  <wp:extent cx="1296035" cy="114300"/>
                  <wp:effectExtent l="0" t="0" r="18415" b="0"/>
                  <wp:docPr id="100017" name="图片 100017"/>
                  <wp:cNvGraphicFramePr/>
                  <a:graphic xmlns:a="http://schemas.openxmlformats.org/drawingml/2006/main">
                    <a:graphicData uri="http://schemas.openxmlformats.org/drawingml/2006/picture">
                      <pic:pic xmlns:pic="http://schemas.openxmlformats.org/drawingml/2006/picture">
                        <pic:nvPicPr>
                          <pic:cNvPr id="100017" name="图片 100017"/>
                          <pic:cNvPicPr/>
                        </pic:nvPicPr>
                        <pic:blipFill>
                          <a:blip r:embed="rId19"/>
                          <a:stretch>
                            <a:fillRect/>
                          </a:stretch>
                        </pic:blipFill>
                        <pic:spPr>
                          <a:xfrm>
                            <a:off x="0" y="0"/>
                            <a:ext cx="1296035" cy="114316"/>
                          </a:xfrm>
                          <a:prstGeom prst="rect">
                            <a:avLst/>
                          </a:prstGeom>
                        </pic:spPr>
                      </pic:pic>
                    </a:graphicData>
                  </a:graphic>
                </wp:inline>
              </w:drawing>
            </w:r>
            <w:r>
              <w:rPr>
                <w:rFonts w:hint="eastAsia" w:eastAsia="宋体"/>
                <w:lang w:val="en-US" w:eastAsia="zh-CN"/>
              </w:rPr>
              <w:t>5.56</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jc w:val="left"/>
            </w:pPr>
            <w:r>
              <w:t>基本满意</w:t>
            </w:r>
          </w:p>
        </w:tc>
        <w:tc>
          <w:tcPr>
            <w:tcW w:w="1000" w:type="dxa"/>
            <w:shd w:val="clear" w:color="auto" w:fill="FAFAFA"/>
            <w:vAlign w:val="center"/>
          </w:tcPr>
          <w:p>
            <w:pPr>
              <w:jc w:val="center"/>
              <w:rPr>
                <w:rFonts w:hint="default" w:eastAsia="宋体"/>
                <w:lang w:val="en-US" w:eastAsia="zh-CN"/>
              </w:rPr>
            </w:pPr>
            <w:r>
              <w:rPr>
                <w:rFonts w:hint="eastAsia" w:eastAsia="宋体"/>
                <w:lang w:val="en-US" w:eastAsia="zh-CN"/>
              </w:rPr>
              <w:t>34</w:t>
            </w:r>
          </w:p>
        </w:tc>
        <w:tc>
          <w:tcPr>
            <w:tcW w:w="3106" w:type="dxa"/>
            <w:shd w:val="clear" w:color="auto" w:fill="FAFAFA"/>
            <w:vAlign w:val="center"/>
          </w:tcPr>
          <w:p>
            <w:pPr>
              <w:jc w:val="left"/>
            </w:pPr>
            <w:r>
              <w:drawing>
                <wp:inline distT="0" distB="0" distL="114300" distR="114300">
                  <wp:extent cx="1259840" cy="114300"/>
                  <wp:effectExtent l="0" t="0" r="16510" b="0"/>
                  <wp:docPr id="100018" name="图片 100018"/>
                  <wp:cNvGraphicFramePr/>
                  <a:graphic xmlns:a="http://schemas.openxmlformats.org/drawingml/2006/main">
                    <a:graphicData uri="http://schemas.openxmlformats.org/drawingml/2006/picture">
                      <pic:pic xmlns:pic="http://schemas.openxmlformats.org/drawingml/2006/picture">
                        <pic:nvPicPr>
                          <pic:cNvPr id="100018" name="图片 100018"/>
                          <pic:cNvPicPr/>
                        </pic:nvPicPr>
                        <pic:blipFill>
                          <a:blip r:embed="rId25"/>
                          <a:stretch>
                            <a:fillRect/>
                          </a:stretch>
                        </pic:blipFill>
                        <pic:spPr>
                          <a:xfrm>
                            <a:off x="0" y="0"/>
                            <a:ext cx="1259840" cy="114316"/>
                          </a:xfrm>
                          <a:prstGeom prst="rect">
                            <a:avLst/>
                          </a:prstGeom>
                        </pic:spPr>
                      </pic:pic>
                    </a:graphicData>
                  </a:graphic>
                </wp:inline>
              </w:drawing>
            </w:r>
            <w:r>
              <w:drawing>
                <wp:inline distT="0" distB="0" distL="114300" distR="114300">
                  <wp:extent cx="71755" cy="114300"/>
                  <wp:effectExtent l="0" t="0" r="4445" b="0"/>
                  <wp:docPr id="100019" name="图片 100019"/>
                  <wp:cNvGraphicFramePr/>
                  <a:graphic xmlns:a="http://schemas.openxmlformats.org/drawingml/2006/main">
                    <a:graphicData uri="http://schemas.openxmlformats.org/drawingml/2006/picture">
                      <pic:pic xmlns:pic="http://schemas.openxmlformats.org/drawingml/2006/picture">
                        <pic:nvPicPr>
                          <pic:cNvPr id="100019" name="图片 100019"/>
                          <pic:cNvPicPr/>
                        </pic:nvPicPr>
                        <pic:blipFill>
                          <a:blip r:embed="rId26"/>
                          <a:stretch>
                            <a:fillRect/>
                          </a:stretch>
                        </pic:blipFill>
                        <pic:spPr>
                          <a:xfrm>
                            <a:off x="0" y="0"/>
                            <a:ext cx="71755" cy="114316"/>
                          </a:xfrm>
                          <a:prstGeom prst="rect">
                            <a:avLst/>
                          </a:prstGeom>
                        </pic:spPr>
                      </pic:pic>
                    </a:graphicData>
                  </a:graphic>
                </wp:inline>
              </w:drawing>
            </w:r>
            <w:r>
              <w:t>9</w:t>
            </w:r>
            <w:r>
              <w:rPr>
                <w:rFonts w:hint="eastAsia" w:eastAsia="宋体"/>
                <w:lang w:val="en-US" w:eastAsia="zh-CN"/>
              </w:rPr>
              <w:t>4</w:t>
            </w:r>
            <w:r>
              <w:t>.</w:t>
            </w:r>
            <w:r>
              <w:rPr>
                <w:rFonts w:hint="eastAsia" w:eastAsia="宋体"/>
                <w:lang w:val="en-US" w:eastAsia="zh-CN"/>
              </w:rPr>
              <w:t>44</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不满意</w:t>
            </w:r>
          </w:p>
        </w:tc>
        <w:tc>
          <w:tcPr>
            <w:tcW w:w="1000" w:type="dxa"/>
            <w:shd w:val="clear" w:color="auto" w:fill="FFFFFF"/>
            <w:vAlign w:val="center"/>
          </w:tcPr>
          <w:p>
            <w:pPr>
              <w:jc w:val="center"/>
            </w:pPr>
            <w:r>
              <w:t>0</w:t>
            </w:r>
          </w:p>
        </w:tc>
        <w:tc>
          <w:tcPr>
            <w:tcW w:w="3106" w:type="dxa"/>
            <w:shd w:val="clear" w:color="auto" w:fill="FFFFFF"/>
            <w:vAlign w:val="center"/>
          </w:tcPr>
          <w:p>
            <w:pPr>
              <w:jc w:val="left"/>
            </w:pPr>
            <w:r>
              <w:drawing>
                <wp:inline distT="0" distB="0" distL="114300" distR="114300">
                  <wp:extent cx="1352550" cy="1143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2"/>
                          <a:stretch>
                            <a:fillRect/>
                          </a:stretch>
                        </pic:blipFill>
                        <pic:spPr>
                          <a:xfrm>
                            <a:off x="0" y="0"/>
                            <a:ext cx="1352739" cy="114316"/>
                          </a:xfrm>
                          <a:prstGeom prst="rect">
                            <a:avLst/>
                          </a:prstGeom>
                        </pic:spPr>
                      </pic:pic>
                    </a:graphicData>
                  </a:graphic>
                </wp:inline>
              </w:drawing>
            </w:r>
            <w:r>
              <w:t>0%</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本题有效填写人次</w:t>
            </w:r>
          </w:p>
        </w:tc>
        <w:tc>
          <w:tcPr>
            <w:tcW w:w="1000" w:type="dxa"/>
            <w:shd w:val="clear" w:color="auto" w:fill="F5F5F5"/>
            <w:vAlign w:val="center"/>
          </w:tcPr>
          <w:p>
            <w:pPr>
              <w:jc w:val="center"/>
            </w:pPr>
            <w:r>
              <w:rPr>
                <w:rFonts w:hint="eastAsia" w:eastAsia="宋体"/>
                <w:lang w:val="en-US" w:eastAsia="zh-CN"/>
              </w:rPr>
              <w:t>36</w:t>
            </w:r>
          </w:p>
        </w:tc>
        <w:tc>
          <w:tcPr>
            <w:tcW w:w="3106" w:type="dxa"/>
            <w:shd w:val="clear" w:color="auto" w:fill="F5F5F5"/>
            <w:vAlign w:val="center"/>
          </w:tcPr>
          <w:p>
            <w:pPr>
              <w:jc w:val="left"/>
            </w:pPr>
          </w:p>
        </w:tc>
      </w:tr>
    </w:tbl>
    <w:p/>
    <w:p/>
    <w:p>
      <w:pPr>
        <w:rPr>
          <w:b w:val="0"/>
          <w:color w:val="0066FF"/>
          <w:sz w:val="24"/>
        </w:rPr>
      </w:pPr>
      <w:r>
        <w:rPr>
          <w:b w:val="0"/>
          <w:color w:val="000000"/>
          <w:sz w:val="24"/>
        </w:rPr>
        <w:t xml:space="preserve">第5题   您对以下哪几项比较满意？      </w:t>
      </w:r>
      <w:r>
        <w:rPr>
          <w:b w:val="0"/>
          <w:color w:val="0066FF"/>
          <w:sz w:val="24"/>
        </w:rPr>
        <w:t>[多选题]</w:t>
      </w:r>
    </w:p>
    <w:p/>
    <w:tbl>
      <w:tblPr>
        <w:tblStyle w:val="19"/>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559"/>
        <w:gridCol w:w="1085"/>
        <w:gridCol w:w="3372"/>
      </w:tblGrid>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选项</w:t>
            </w:r>
          </w:p>
        </w:tc>
        <w:tc>
          <w:tcPr>
            <w:tcW w:w="1000" w:type="dxa"/>
            <w:shd w:val="clear" w:color="auto" w:fill="F5F5F5"/>
            <w:vAlign w:val="center"/>
          </w:tcPr>
          <w:p>
            <w:pPr>
              <w:jc w:val="center"/>
            </w:pPr>
            <w:r>
              <w:t>小计</w:t>
            </w:r>
          </w:p>
        </w:tc>
        <w:tc>
          <w:tcPr>
            <w:tcW w:w="3106" w:type="dxa"/>
            <w:shd w:val="clear" w:color="auto" w:fill="F5F5F5"/>
            <w:vAlign w:val="center"/>
          </w:tcPr>
          <w:p>
            <w:pPr>
              <w:jc w:val="left"/>
            </w:pPr>
            <w:r>
              <w:t>比例</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图书馆环境</w:t>
            </w:r>
          </w:p>
        </w:tc>
        <w:tc>
          <w:tcPr>
            <w:tcW w:w="1000" w:type="dxa"/>
            <w:shd w:val="clear" w:color="auto" w:fill="FFFFFF"/>
            <w:vAlign w:val="center"/>
          </w:tcPr>
          <w:p>
            <w:pPr>
              <w:jc w:val="center"/>
              <w:rPr>
                <w:rFonts w:hint="default" w:eastAsia="宋体"/>
                <w:lang w:val="en-US" w:eastAsia="zh-CN"/>
              </w:rPr>
            </w:pPr>
            <w:r>
              <w:rPr>
                <w:rFonts w:hint="eastAsia" w:eastAsia="宋体"/>
                <w:lang w:val="en-US" w:eastAsia="zh-CN"/>
              </w:rPr>
              <w:t>28</w:t>
            </w:r>
          </w:p>
        </w:tc>
        <w:tc>
          <w:tcPr>
            <w:tcW w:w="3106" w:type="dxa"/>
            <w:shd w:val="clear" w:color="auto" w:fill="FFFFFF"/>
            <w:vAlign w:val="center"/>
          </w:tcPr>
          <w:p>
            <w:pPr>
              <w:jc w:val="left"/>
            </w:pPr>
            <w:r>
              <w:drawing>
                <wp:inline distT="0" distB="0" distL="114300" distR="114300">
                  <wp:extent cx="1007745" cy="114300"/>
                  <wp:effectExtent l="0" t="0" r="1905" b="0"/>
                  <wp:docPr id="16" name="图片 1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0"/>
                          <a:stretch>
                            <a:fillRect/>
                          </a:stretch>
                        </pic:blipFill>
                        <pic:spPr>
                          <a:xfrm>
                            <a:off x="0" y="0"/>
                            <a:ext cx="1007745" cy="114316"/>
                          </a:xfrm>
                          <a:prstGeom prst="rect">
                            <a:avLst/>
                          </a:prstGeom>
                        </pic:spPr>
                      </pic:pic>
                    </a:graphicData>
                  </a:graphic>
                </wp:inline>
              </w:drawing>
            </w:r>
            <w:r>
              <w:drawing>
                <wp:inline distT="0" distB="0" distL="114300" distR="114300">
                  <wp:extent cx="323850" cy="114300"/>
                  <wp:effectExtent l="0" t="0" r="0" b="0"/>
                  <wp:docPr id="21" name="图片 2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1"/>
                          <a:stretch>
                            <a:fillRect/>
                          </a:stretch>
                        </pic:blipFill>
                        <pic:spPr>
                          <a:xfrm>
                            <a:off x="0" y="0"/>
                            <a:ext cx="323850" cy="114316"/>
                          </a:xfrm>
                          <a:prstGeom prst="rect">
                            <a:avLst/>
                          </a:prstGeom>
                        </pic:spPr>
                      </pic:pic>
                    </a:graphicData>
                  </a:graphic>
                </wp:inline>
              </w:drawing>
            </w:r>
            <w:r>
              <w:rPr>
                <w:rFonts w:hint="eastAsia" w:eastAsia="宋体"/>
                <w:lang w:val="en-US" w:eastAsia="zh-CN"/>
              </w:rPr>
              <w:t>77.78</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jc w:val="left"/>
            </w:pPr>
            <w:r>
              <w:t>公共节日活动氛围</w:t>
            </w:r>
          </w:p>
        </w:tc>
        <w:tc>
          <w:tcPr>
            <w:tcW w:w="1000" w:type="dxa"/>
            <w:shd w:val="clear" w:color="auto" w:fill="FAFAFA"/>
            <w:vAlign w:val="center"/>
          </w:tcPr>
          <w:p>
            <w:pPr>
              <w:jc w:val="center"/>
              <w:rPr>
                <w:rFonts w:hint="default" w:eastAsia="宋体"/>
                <w:lang w:val="en-US" w:eastAsia="zh-CN"/>
              </w:rPr>
            </w:pPr>
            <w:r>
              <w:rPr>
                <w:rFonts w:hint="eastAsia" w:eastAsia="宋体"/>
                <w:lang w:val="en-US" w:eastAsia="zh-CN"/>
              </w:rPr>
              <w:t>19</w:t>
            </w:r>
          </w:p>
        </w:tc>
        <w:tc>
          <w:tcPr>
            <w:tcW w:w="3106" w:type="dxa"/>
            <w:shd w:val="clear" w:color="auto" w:fill="FAFAFA"/>
            <w:vAlign w:val="center"/>
          </w:tcPr>
          <w:p>
            <w:pPr>
              <w:jc w:val="left"/>
            </w:pPr>
            <w:r>
              <w:drawing>
                <wp:inline distT="0" distB="0" distL="114300" distR="114300">
                  <wp:extent cx="756285" cy="114300"/>
                  <wp:effectExtent l="0" t="0" r="5715" b="0"/>
                  <wp:docPr id="22" name="图片 22"/>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16"/>
                          <a:stretch>
                            <a:fillRect/>
                          </a:stretch>
                        </pic:blipFill>
                        <pic:spPr>
                          <a:xfrm>
                            <a:off x="0" y="0"/>
                            <a:ext cx="756285" cy="114316"/>
                          </a:xfrm>
                          <a:prstGeom prst="rect">
                            <a:avLst/>
                          </a:prstGeom>
                        </pic:spPr>
                      </pic:pic>
                    </a:graphicData>
                  </a:graphic>
                </wp:inline>
              </w:drawing>
            </w:r>
            <w:r>
              <w:drawing>
                <wp:inline distT="0" distB="0" distL="114300" distR="114300">
                  <wp:extent cx="575945" cy="99695"/>
                  <wp:effectExtent l="0" t="0" r="14605" b="14605"/>
                  <wp:docPr id="23" name="图片 23"/>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17"/>
                          <a:stretch>
                            <a:fillRect/>
                          </a:stretch>
                        </pic:blipFill>
                        <pic:spPr>
                          <a:xfrm>
                            <a:off x="0" y="0"/>
                            <a:ext cx="575945" cy="99695"/>
                          </a:xfrm>
                          <a:prstGeom prst="rect">
                            <a:avLst/>
                          </a:prstGeom>
                        </pic:spPr>
                      </pic:pic>
                    </a:graphicData>
                  </a:graphic>
                </wp:inline>
              </w:drawing>
            </w:r>
            <w:r>
              <w:rPr>
                <w:rFonts w:hint="eastAsia" w:eastAsia="宋体"/>
                <w:lang w:val="en-US" w:eastAsia="zh-CN"/>
              </w:rPr>
              <w:t>52.78</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图书质量</w:t>
            </w:r>
          </w:p>
        </w:tc>
        <w:tc>
          <w:tcPr>
            <w:tcW w:w="1000" w:type="dxa"/>
            <w:shd w:val="clear" w:color="auto" w:fill="FFFFFF"/>
            <w:vAlign w:val="center"/>
          </w:tcPr>
          <w:p>
            <w:pPr>
              <w:jc w:val="center"/>
              <w:rPr>
                <w:rFonts w:hint="default" w:eastAsia="宋体"/>
                <w:lang w:val="en-US" w:eastAsia="zh-CN"/>
              </w:rPr>
            </w:pPr>
            <w:r>
              <w:rPr>
                <w:rFonts w:hint="eastAsia" w:eastAsia="宋体"/>
                <w:lang w:val="en-US" w:eastAsia="zh-CN"/>
              </w:rPr>
              <w:t>23</w:t>
            </w:r>
          </w:p>
        </w:tc>
        <w:tc>
          <w:tcPr>
            <w:tcW w:w="3106" w:type="dxa"/>
            <w:shd w:val="clear" w:color="auto" w:fill="FFFFFF"/>
            <w:vAlign w:val="center"/>
          </w:tcPr>
          <w:p>
            <w:pPr>
              <w:jc w:val="left"/>
            </w:pPr>
            <w:r>
              <w:drawing>
                <wp:inline distT="0" distB="0" distL="114300" distR="114300">
                  <wp:extent cx="864235" cy="114300"/>
                  <wp:effectExtent l="0" t="0" r="12065" b="0"/>
                  <wp:docPr id="24" name="图片 24"/>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20"/>
                          <a:stretch>
                            <a:fillRect/>
                          </a:stretch>
                        </pic:blipFill>
                        <pic:spPr>
                          <a:xfrm>
                            <a:off x="0" y="0"/>
                            <a:ext cx="864235" cy="114316"/>
                          </a:xfrm>
                          <a:prstGeom prst="rect">
                            <a:avLst/>
                          </a:prstGeom>
                        </pic:spPr>
                      </pic:pic>
                    </a:graphicData>
                  </a:graphic>
                </wp:inline>
              </w:drawing>
            </w:r>
            <w:r>
              <w:drawing>
                <wp:inline distT="0" distB="0" distL="114300" distR="114300">
                  <wp:extent cx="467995" cy="114300"/>
                  <wp:effectExtent l="0" t="0" r="8255" b="0"/>
                  <wp:docPr id="25" name="图片 25"/>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21"/>
                          <a:stretch>
                            <a:fillRect/>
                          </a:stretch>
                        </pic:blipFill>
                        <pic:spPr>
                          <a:xfrm>
                            <a:off x="0" y="0"/>
                            <a:ext cx="467995" cy="114316"/>
                          </a:xfrm>
                          <a:prstGeom prst="rect">
                            <a:avLst/>
                          </a:prstGeom>
                        </pic:spPr>
                      </pic:pic>
                    </a:graphicData>
                  </a:graphic>
                </wp:inline>
              </w:drawing>
            </w:r>
            <w:r>
              <w:rPr>
                <w:rFonts w:hint="eastAsia" w:eastAsia="宋体"/>
                <w:lang w:val="en-US" w:eastAsia="zh-CN"/>
              </w:rPr>
              <w:t>63.89</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pPr>
              <w:jc w:val="left"/>
            </w:pPr>
            <w:r>
              <w:t>活动举办频率</w:t>
            </w:r>
          </w:p>
        </w:tc>
        <w:tc>
          <w:tcPr>
            <w:tcW w:w="1000" w:type="dxa"/>
            <w:shd w:val="clear" w:color="auto" w:fill="FAFAFA"/>
            <w:vAlign w:val="center"/>
          </w:tcPr>
          <w:p>
            <w:pPr>
              <w:jc w:val="center"/>
              <w:rPr>
                <w:rFonts w:hint="default" w:eastAsia="宋体"/>
                <w:lang w:val="en-US" w:eastAsia="zh-CN"/>
              </w:rPr>
            </w:pPr>
            <w:r>
              <w:rPr>
                <w:rFonts w:hint="eastAsia" w:eastAsia="宋体"/>
                <w:lang w:val="en-US" w:eastAsia="zh-CN"/>
              </w:rPr>
              <w:t>13</w:t>
            </w:r>
          </w:p>
        </w:tc>
        <w:tc>
          <w:tcPr>
            <w:tcW w:w="3106" w:type="dxa"/>
            <w:shd w:val="clear" w:color="auto" w:fill="FAFAFA"/>
            <w:vAlign w:val="center"/>
          </w:tcPr>
          <w:p>
            <w:pPr>
              <w:jc w:val="left"/>
            </w:pPr>
            <w:r>
              <w:drawing>
                <wp:inline distT="0" distB="0" distL="114300" distR="114300">
                  <wp:extent cx="504190" cy="114300"/>
                  <wp:effectExtent l="0" t="0" r="10160" b="0"/>
                  <wp:docPr id="26" name="图片 26"/>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14"/>
                          <a:stretch>
                            <a:fillRect/>
                          </a:stretch>
                        </pic:blipFill>
                        <pic:spPr>
                          <a:xfrm>
                            <a:off x="0" y="0"/>
                            <a:ext cx="504190" cy="114316"/>
                          </a:xfrm>
                          <a:prstGeom prst="rect">
                            <a:avLst/>
                          </a:prstGeom>
                        </pic:spPr>
                      </pic:pic>
                    </a:graphicData>
                  </a:graphic>
                </wp:inline>
              </w:drawing>
            </w:r>
            <w:r>
              <w:drawing>
                <wp:inline distT="0" distB="0" distL="114300" distR="114300">
                  <wp:extent cx="828040" cy="114300"/>
                  <wp:effectExtent l="0" t="0" r="10160" b="0"/>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15"/>
                          <a:stretch>
                            <a:fillRect/>
                          </a:stretch>
                        </pic:blipFill>
                        <pic:spPr>
                          <a:xfrm>
                            <a:off x="0" y="0"/>
                            <a:ext cx="828040" cy="114316"/>
                          </a:xfrm>
                          <a:prstGeom prst="rect">
                            <a:avLst/>
                          </a:prstGeom>
                        </pic:spPr>
                      </pic:pic>
                    </a:graphicData>
                  </a:graphic>
                </wp:inline>
              </w:drawing>
            </w:r>
            <w:r>
              <w:rPr>
                <w:rFonts w:hint="eastAsia" w:eastAsia="宋体"/>
                <w:lang w:val="en-US" w:eastAsia="zh-CN"/>
              </w:rPr>
              <w:t>36.11</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pPr>
              <w:jc w:val="left"/>
            </w:pPr>
            <w:r>
              <w:t>图书馆服务水平和质量</w:t>
            </w:r>
          </w:p>
        </w:tc>
        <w:tc>
          <w:tcPr>
            <w:tcW w:w="1000" w:type="dxa"/>
            <w:shd w:val="clear" w:color="auto" w:fill="FFFFFF"/>
            <w:vAlign w:val="center"/>
          </w:tcPr>
          <w:p>
            <w:pPr>
              <w:jc w:val="center"/>
              <w:rPr>
                <w:rFonts w:hint="default" w:eastAsia="宋体"/>
                <w:lang w:val="en-US" w:eastAsia="zh-CN"/>
              </w:rPr>
            </w:pPr>
            <w:r>
              <w:rPr>
                <w:rFonts w:hint="eastAsia" w:eastAsia="宋体"/>
                <w:lang w:val="en-US" w:eastAsia="zh-CN"/>
              </w:rPr>
              <w:t>26</w:t>
            </w:r>
          </w:p>
        </w:tc>
        <w:tc>
          <w:tcPr>
            <w:tcW w:w="3106" w:type="dxa"/>
            <w:shd w:val="clear" w:color="auto" w:fill="FFFFFF"/>
            <w:vAlign w:val="center"/>
          </w:tcPr>
          <w:p>
            <w:pPr>
              <w:jc w:val="left"/>
            </w:pPr>
            <w:r>
              <w:drawing>
                <wp:inline distT="0" distB="0" distL="114300" distR="114300">
                  <wp:extent cx="972185" cy="114300"/>
                  <wp:effectExtent l="0" t="0" r="18415" b="0"/>
                  <wp:docPr id="28" name="图片 28"/>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20"/>
                          <a:stretch>
                            <a:fillRect/>
                          </a:stretch>
                        </pic:blipFill>
                        <pic:spPr>
                          <a:xfrm>
                            <a:off x="0" y="0"/>
                            <a:ext cx="972185" cy="114316"/>
                          </a:xfrm>
                          <a:prstGeom prst="rect">
                            <a:avLst/>
                          </a:prstGeom>
                        </pic:spPr>
                      </pic:pic>
                    </a:graphicData>
                  </a:graphic>
                </wp:inline>
              </w:drawing>
            </w:r>
            <w:r>
              <w:drawing>
                <wp:inline distT="0" distB="0" distL="114300" distR="114300">
                  <wp:extent cx="360045" cy="114300"/>
                  <wp:effectExtent l="0" t="0" r="1905" b="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21"/>
                          <a:stretch>
                            <a:fillRect/>
                          </a:stretch>
                        </pic:blipFill>
                        <pic:spPr>
                          <a:xfrm>
                            <a:off x="0" y="0"/>
                            <a:ext cx="360045" cy="114316"/>
                          </a:xfrm>
                          <a:prstGeom prst="rect">
                            <a:avLst/>
                          </a:prstGeom>
                        </pic:spPr>
                      </pic:pic>
                    </a:graphicData>
                  </a:graphic>
                </wp:inline>
              </w:drawing>
            </w:r>
            <w:r>
              <w:rPr>
                <w:rFonts w:hint="eastAsia" w:eastAsia="宋体"/>
                <w:lang w:val="en-US" w:eastAsia="zh-CN"/>
              </w:rPr>
              <w:t>72.22</w:t>
            </w:r>
            <w:r>
              <w:t>%</w:t>
            </w:r>
          </w:p>
        </w:tc>
      </w:tr>
      <w:tr>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pPr>
              <w:jc w:val="left"/>
            </w:pPr>
            <w:r>
              <w:t>本题有效填写人次</w:t>
            </w:r>
          </w:p>
        </w:tc>
        <w:tc>
          <w:tcPr>
            <w:tcW w:w="1000" w:type="dxa"/>
            <w:shd w:val="clear" w:color="auto" w:fill="F5F5F5"/>
            <w:vAlign w:val="center"/>
          </w:tcPr>
          <w:p>
            <w:pPr>
              <w:jc w:val="center"/>
            </w:pPr>
            <w:r>
              <w:rPr>
                <w:rFonts w:hint="eastAsia" w:eastAsia="宋体"/>
                <w:lang w:val="en-US" w:eastAsia="zh-CN"/>
              </w:rPr>
              <w:t>36</w:t>
            </w:r>
          </w:p>
        </w:tc>
        <w:tc>
          <w:tcPr>
            <w:tcW w:w="3106" w:type="dxa"/>
            <w:shd w:val="clear" w:color="auto" w:fill="F5F5F5"/>
            <w:vAlign w:val="center"/>
          </w:tcPr>
          <w:p>
            <w:pPr>
              <w:jc w:val="left"/>
            </w:pPr>
          </w:p>
        </w:tc>
      </w:tr>
    </w:tbl>
    <w:p>
      <w:pPr>
        <w:pStyle w:val="5"/>
        <w:keepNext w:val="0"/>
        <w:keepLines w:val="0"/>
        <w:pageBreakBefore w:val="0"/>
        <w:widowControl w:val="0"/>
        <w:numPr>
          <w:ilvl w:val="0"/>
          <w:numId w:val="0"/>
        </w:numPr>
        <w:kinsoku/>
        <w:wordWrap/>
        <w:overflowPunct/>
        <w:topLinePunct w:val="0"/>
        <w:autoSpaceDE/>
        <w:autoSpaceDN/>
        <w:bidi w:val="0"/>
        <w:adjustRightInd/>
        <w:snapToGrid/>
        <w:ind w:right="0" w:rightChars="0"/>
        <w:jc w:val="left"/>
        <w:textAlignment w:val="auto"/>
        <w:outlineLvl w:val="9"/>
        <w:rPr>
          <w:rFonts w:hint="default" w:ascii="仿宋" w:hAnsi="仿宋" w:eastAsia="仿宋" w:cs="仿宋"/>
          <w:b/>
          <w:bCs/>
          <w:color w:val="auto"/>
          <w:kern w:val="2"/>
          <w:sz w:val="28"/>
          <w:szCs w:val="28"/>
          <w:lang w:val="en-US" w:eastAsia="zh-CN" w:bidi="ar-SA"/>
        </w:rPr>
        <w:sectPr>
          <w:headerReference r:id="rId12" w:type="default"/>
          <w:pgSz w:w="11906" w:h="16838"/>
          <w:pgMar w:top="1440" w:right="1519" w:bottom="1440"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5"/>
        <w:keepNext w:val="0"/>
        <w:keepLines w:val="0"/>
        <w:pageBreakBefore w:val="0"/>
        <w:widowControl w:val="0"/>
        <w:numPr>
          <w:ilvl w:val="0"/>
          <w:numId w:val="0"/>
        </w:numPr>
        <w:kinsoku/>
        <w:wordWrap/>
        <w:overflowPunct/>
        <w:topLinePunct w:val="0"/>
        <w:autoSpaceDE/>
        <w:autoSpaceDN/>
        <w:bidi w:val="0"/>
        <w:adjustRightInd/>
        <w:snapToGrid/>
        <w:ind w:right="0" w:rightChars="0"/>
        <w:jc w:val="left"/>
        <w:textAlignment w:val="auto"/>
        <w:outlineLvl w:val="9"/>
        <w:rPr>
          <w:rFonts w:hint="eastAsia" w:ascii="仿宋_GB2312" w:hAnsi="仿宋_GB2312" w:eastAsia="仿宋_GB2312" w:cs="仿宋_GB2312"/>
          <w:b/>
          <w:bCs/>
          <w:color w:val="auto"/>
          <w:sz w:val="32"/>
          <w:szCs w:val="32"/>
        </w:rPr>
      </w:pPr>
      <w:r>
        <w:rPr>
          <w:rFonts w:hint="eastAsia" w:ascii="仿宋" w:hAnsi="仿宋" w:eastAsia="仿宋" w:cs="仿宋"/>
          <w:b/>
          <w:bCs/>
          <w:color w:val="auto"/>
          <w:kern w:val="2"/>
          <w:sz w:val="28"/>
          <w:szCs w:val="28"/>
          <w:lang w:val="en-US" w:eastAsia="zh-CN" w:bidi="ar-SA"/>
        </w:rPr>
        <w:t>附件</w:t>
      </w:r>
      <w:bookmarkEnd w:id="97"/>
      <w:bookmarkEnd w:id="98"/>
      <w:r>
        <w:rPr>
          <w:rFonts w:hint="eastAsia" w:ascii="仿宋" w:hAnsi="仿宋" w:eastAsia="仿宋" w:cs="仿宋"/>
          <w:b/>
          <w:bCs/>
          <w:color w:val="auto"/>
          <w:kern w:val="2"/>
          <w:sz w:val="28"/>
          <w:szCs w:val="28"/>
          <w:lang w:val="en-US" w:eastAsia="zh-CN" w:bidi="ar-SA"/>
        </w:rPr>
        <w:t>3</w:t>
      </w:r>
      <w:r>
        <w:rPr>
          <w:rFonts w:hint="eastAsia" w:ascii="仿宋_GB2312" w:hAnsi="仿宋_GB2312" w:eastAsia="仿宋_GB2312" w:cs="仿宋_GB2312"/>
          <w:b/>
          <w:bCs/>
          <w:color w:val="auto"/>
          <w:kern w:val="2"/>
          <w:sz w:val="32"/>
          <w:szCs w:val="32"/>
          <w:lang w:val="en-US" w:eastAsia="zh-CN" w:bidi="ar-SA"/>
        </w:rPr>
        <w:t xml:space="preserve"> </w:t>
      </w:r>
      <w:bookmarkStart w:id="101" w:name="_Toc23659"/>
      <w:bookmarkStart w:id="102" w:name="_Toc27621"/>
      <w:bookmarkStart w:id="103" w:name="_Toc319"/>
      <w:r>
        <w:rPr>
          <w:rFonts w:hint="eastAsia" w:ascii="仿宋_GB2312" w:hAnsi="仿宋_GB2312" w:eastAsia="仿宋_GB2312" w:cs="仿宋_GB2312"/>
          <w:b/>
          <w:bCs/>
          <w:color w:val="auto"/>
          <w:sz w:val="32"/>
          <w:szCs w:val="32"/>
        </w:rPr>
        <w:t>绩效评价报告编制单位和主评人签章</w:t>
      </w:r>
      <w:bookmarkEnd w:id="99"/>
      <w:bookmarkEnd w:id="100"/>
      <w:bookmarkEnd w:id="101"/>
      <w:bookmarkEnd w:id="102"/>
      <w:bookmarkEnd w:id="103"/>
    </w:p>
    <w:p>
      <w:pPr>
        <w:pStyle w:val="18"/>
        <w:spacing w:after="0"/>
        <w:ind w:left="0" w:leftChars="0" w:firstLine="0" w:firstLineChars="0"/>
        <w:jc w:val="center"/>
        <w:outlineLvl w:val="9"/>
        <w:rPr>
          <w:rFonts w:hint="eastAsia" w:ascii="仿宋" w:hAnsi="仿宋" w:eastAsia="仿宋" w:cs="仿宋"/>
          <w:b/>
          <w:bCs/>
          <w:color w:val="auto"/>
          <w:sz w:val="32"/>
          <w:szCs w:val="32"/>
        </w:rPr>
      </w:pPr>
    </w:p>
    <w:p>
      <w:pPr>
        <w:pStyle w:val="18"/>
        <w:spacing w:after="0"/>
        <w:ind w:left="0" w:leftChars="0" w:firstLine="0" w:firstLineChars="0"/>
        <w:jc w:val="center"/>
        <w:rPr>
          <w:rFonts w:ascii="仿宋" w:hAnsi="仿宋" w:eastAsia="仿宋" w:cs="仿宋"/>
          <w:b/>
          <w:bCs/>
          <w:color w:val="auto"/>
          <w:sz w:val="28"/>
          <w:szCs w:val="28"/>
        </w:rPr>
      </w:pPr>
    </w:p>
    <w:p>
      <w:pPr>
        <w:pStyle w:val="18"/>
        <w:pageBreakBefore w:val="0"/>
        <w:kinsoku/>
        <w:topLinePunct w:val="0"/>
        <w:bidi w:val="0"/>
        <w:snapToGrid/>
        <w:spacing w:after="0" w:line="240" w:lineRule="auto"/>
        <w:ind w:left="0" w:leftChars="0" w:right="0" w:firstLine="321" w:firstLineChars="100"/>
        <w:jc w:val="both"/>
        <w:rPr>
          <w:rFonts w:hint="eastAsia" w:ascii="仿宋_GB2312" w:hAnsi="仿宋_GB2312" w:eastAsia="仿宋_GB2312" w:cs="仿宋_GB2312"/>
          <w:bCs/>
          <w:color w:val="auto"/>
          <w:sz w:val="32"/>
          <w:szCs w:val="32"/>
          <w:u w:val="single"/>
        </w:rPr>
      </w:pPr>
      <w:r>
        <w:rPr>
          <w:rFonts w:hint="eastAsia" w:ascii="仿宋_GB2312" w:hAnsi="仿宋_GB2312" w:eastAsia="仿宋_GB2312" w:cs="仿宋_GB2312"/>
          <w:b/>
          <w:color w:val="auto"/>
          <w:sz w:val="32"/>
          <w:szCs w:val="32"/>
        </w:rPr>
        <w:t>项目名称：</w:t>
      </w:r>
      <w:r>
        <w:rPr>
          <w:rFonts w:hint="eastAsia" w:ascii="仿宋_GB2312" w:hAnsi="仿宋_GB2312" w:eastAsia="仿宋_GB2312" w:cs="仿宋_GB2312"/>
          <w:bCs/>
          <w:color w:val="auto"/>
          <w:sz w:val="32"/>
          <w:szCs w:val="32"/>
          <w:u w:val="single"/>
        </w:rPr>
        <w:t>2020-2023年丰泽区公共文化服务体系建设专</w:t>
      </w:r>
    </w:p>
    <w:p>
      <w:pPr>
        <w:pStyle w:val="18"/>
        <w:pageBreakBefore w:val="0"/>
        <w:kinsoku/>
        <w:topLinePunct w:val="0"/>
        <w:bidi w:val="0"/>
        <w:snapToGrid/>
        <w:spacing w:after="0" w:line="240" w:lineRule="auto"/>
        <w:ind w:left="0" w:leftChars="0" w:right="0" w:firstLine="1920" w:firstLineChars="600"/>
        <w:jc w:val="both"/>
        <w:rPr>
          <w:rFonts w:hint="default" w:ascii="仿宋_GB2312" w:hAnsi="仿宋_GB2312" w:eastAsia="仿宋_GB2312" w:cs="仿宋_GB2312"/>
          <w:bCs/>
          <w:color w:val="auto"/>
          <w:sz w:val="32"/>
          <w:szCs w:val="32"/>
          <w:u w:val="single"/>
          <w:lang w:val="en-US" w:eastAsia="zh-CN"/>
        </w:rPr>
      </w:pPr>
      <w:r>
        <w:rPr>
          <w:rFonts w:hint="eastAsia" w:ascii="仿宋_GB2312" w:hAnsi="仿宋_GB2312" w:eastAsia="仿宋_GB2312" w:cs="仿宋_GB2312"/>
          <w:bCs/>
          <w:color w:val="auto"/>
          <w:sz w:val="32"/>
          <w:szCs w:val="32"/>
          <w:u w:val="single"/>
        </w:rPr>
        <w:t>项资金政策</w:t>
      </w:r>
      <w:r>
        <w:rPr>
          <w:rFonts w:hint="eastAsia" w:ascii="仿宋_GB2312" w:hAnsi="仿宋_GB2312" w:eastAsia="仿宋_GB2312" w:cs="仿宋_GB2312"/>
          <w:bCs/>
          <w:color w:val="auto"/>
          <w:sz w:val="32"/>
          <w:szCs w:val="32"/>
          <w:u w:val="single"/>
          <w:lang w:val="en-US" w:eastAsia="zh-CN"/>
        </w:rPr>
        <w:t xml:space="preserve">                             </w:t>
      </w:r>
    </w:p>
    <w:p>
      <w:pPr>
        <w:pStyle w:val="18"/>
        <w:ind w:left="0" w:leftChars="0" w:firstLine="0" w:firstLineChars="0"/>
        <w:jc w:val="left"/>
        <w:rPr>
          <w:rFonts w:hint="eastAsia" w:ascii="仿宋_GB2312" w:hAnsi="仿宋_GB2312" w:eastAsia="仿宋_GB2312" w:cs="仿宋_GB2312"/>
          <w:bCs/>
          <w:color w:val="auto"/>
          <w:sz w:val="32"/>
          <w:szCs w:val="32"/>
          <w:u w:val="single"/>
        </w:rPr>
      </w:pPr>
    </w:p>
    <w:p>
      <w:pPr>
        <w:pStyle w:val="18"/>
        <w:ind w:left="0" w:leftChars="0" w:firstLine="0" w:firstLineChars="0"/>
        <w:jc w:val="left"/>
        <w:rPr>
          <w:rFonts w:hint="eastAsia" w:ascii="仿宋_GB2312" w:hAnsi="仿宋_GB2312" w:eastAsia="仿宋_GB2312" w:cs="仿宋_GB2312"/>
          <w:bCs/>
          <w:color w:val="auto"/>
          <w:sz w:val="32"/>
          <w:szCs w:val="32"/>
          <w:u w:val="single"/>
        </w:rPr>
      </w:pPr>
    </w:p>
    <w:p>
      <w:pPr>
        <w:pStyle w:val="18"/>
        <w:ind w:left="0" w:leftChars="0" w:firstLine="321" w:firstLineChars="100"/>
        <w:jc w:val="left"/>
        <w:rPr>
          <w:rFonts w:hint="eastAsia" w:ascii="仿宋_GB2312" w:hAnsi="仿宋_GB2312" w:eastAsia="仿宋_GB2312" w:cs="仿宋_GB2312"/>
          <w:bCs/>
          <w:color w:val="auto"/>
          <w:sz w:val="32"/>
          <w:szCs w:val="32"/>
          <w:u w:val="single"/>
        </w:rPr>
      </w:pPr>
      <w:r>
        <w:rPr>
          <w:rFonts w:hint="eastAsia" w:ascii="仿宋_GB2312" w:hAnsi="仿宋_GB2312" w:eastAsia="仿宋_GB2312" w:cs="仿宋_GB2312"/>
          <w:b/>
          <w:bCs w:val="0"/>
          <w:color w:val="auto"/>
          <w:sz w:val="32"/>
          <w:szCs w:val="32"/>
        </w:rPr>
        <w:t>编制单位</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u w:val="single"/>
        </w:rPr>
        <w:t xml:space="preserve"> </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u w:val="single"/>
          <w:lang w:val="en-US" w:eastAsia="zh-CN"/>
        </w:rPr>
        <w:t xml:space="preserve"> </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u w:val="single"/>
          <w:lang w:val="en-US" w:eastAsia="zh-CN"/>
        </w:rPr>
        <w:t xml:space="preserve"> </w:t>
      </w:r>
      <w:r>
        <w:rPr>
          <w:rFonts w:hint="eastAsia" w:ascii="仿宋_GB2312" w:hAnsi="仿宋_GB2312" w:eastAsia="仿宋_GB2312" w:cs="仿宋_GB2312"/>
          <w:b/>
          <w:color w:val="auto"/>
          <w:sz w:val="32"/>
          <w:szCs w:val="32"/>
          <w:u w:val="single"/>
        </w:rPr>
        <w:t xml:space="preserve"> </w:t>
      </w:r>
    </w:p>
    <w:p>
      <w:pPr>
        <w:pStyle w:val="18"/>
        <w:ind w:left="0" w:leftChars="0" w:firstLine="0" w:firstLineChars="0"/>
        <w:jc w:val="left"/>
        <w:rPr>
          <w:rFonts w:hint="eastAsia" w:ascii="仿宋_GB2312" w:hAnsi="仿宋_GB2312" w:eastAsia="仿宋_GB2312" w:cs="仿宋_GB2312"/>
          <w:bCs/>
          <w:color w:val="auto"/>
          <w:sz w:val="36"/>
          <w:szCs w:val="36"/>
        </w:rPr>
      </w:pPr>
    </w:p>
    <w:p>
      <w:pPr>
        <w:pStyle w:val="18"/>
        <w:ind w:left="0" w:leftChars="0" w:firstLine="0" w:firstLineChars="0"/>
        <w:jc w:val="left"/>
        <w:rPr>
          <w:rFonts w:hint="eastAsia" w:ascii="仿宋_GB2312" w:hAnsi="仿宋_GB2312" w:eastAsia="仿宋_GB2312" w:cs="仿宋_GB2312"/>
          <w:bCs/>
          <w:color w:val="auto"/>
          <w:sz w:val="36"/>
          <w:szCs w:val="36"/>
        </w:rPr>
      </w:pPr>
    </w:p>
    <w:p>
      <w:pPr>
        <w:pStyle w:val="18"/>
        <w:ind w:left="0" w:leftChars="0" w:firstLine="321" w:firstLineChars="100"/>
        <w:jc w:val="left"/>
        <w:rPr>
          <w:rFonts w:hint="eastAsia" w:ascii="仿宋_GB2312" w:hAnsi="仿宋_GB2312" w:eastAsia="仿宋_GB2312" w:cs="仿宋_GB2312"/>
          <w:b/>
          <w:color w:val="auto"/>
          <w:sz w:val="32"/>
          <w:szCs w:val="32"/>
          <w:u w:val="single"/>
        </w:rPr>
      </w:pPr>
      <w:r>
        <w:rPr>
          <w:rFonts w:hint="eastAsia" w:ascii="仿宋_GB2312" w:hAnsi="仿宋_GB2312" w:eastAsia="仿宋_GB2312" w:cs="仿宋_GB2312"/>
          <w:b/>
          <w:color w:val="auto"/>
          <w:sz w:val="32"/>
          <w:szCs w:val="32"/>
        </w:rPr>
        <w:t>主 评 人：</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
          <w:color w:val="auto"/>
          <w:sz w:val="32"/>
          <w:szCs w:val="32"/>
          <w:u w:val="single"/>
          <w:lang w:val="en-US" w:eastAsia="zh-CN"/>
        </w:rPr>
        <w:t xml:space="preserve"> </w:t>
      </w:r>
      <w:r>
        <w:rPr>
          <w:rFonts w:hint="eastAsia" w:ascii="仿宋_GB2312" w:hAnsi="仿宋_GB2312" w:eastAsia="仿宋_GB2312" w:cs="仿宋_GB2312"/>
          <w:b/>
          <w:color w:val="auto"/>
          <w:sz w:val="32"/>
          <w:szCs w:val="32"/>
          <w:u w:val="single"/>
        </w:rPr>
        <w:t xml:space="preserve">      </w:t>
      </w:r>
    </w:p>
    <w:p>
      <w:pPr>
        <w:pStyle w:val="18"/>
        <w:ind w:left="0" w:leftChars="0" w:firstLine="0" w:firstLineChars="0"/>
        <w:jc w:val="left"/>
        <w:rPr>
          <w:rFonts w:hint="eastAsia" w:ascii="仿宋_GB2312" w:hAnsi="仿宋_GB2312" w:eastAsia="仿宋_GB2312" w:cs="仿宋_GB2312"/>
          <w:b/>
          <w:color w:val="auto"/>
          <w:sz w:val="36"/>
          <w:szCs w:val="36"/>
        </w:rPr>
      </w:pPr>
    </w:p>
    <w:p>
      <w:pPr>
        <w:pStyle w:val="18"/>
        <w:ind w:left="0" w:leftChars="0" w:firstLine="0" w:firstLineChars="0"/>
        <w:jc w:val="left"/>
        <w:rPr>
          <w:rFonts w:hint="eastAsia" w:ascii="仿宋_GB2312" w:hAnsi="仿宋_GB2312" w:eastAsia="仿宋_GB2312" w:cs="仿宋_GB2312"/>
          <w:b/>
          <w:color w:val="auto"/>
          <w:sz w:val="36"/>
          <w:szCs w:val="36"/>
        </w:rPr>
      </w:pPr>
    </w:p>
    <w:p>
      <w:pPr>
        <w:pStyle w:val="18"/>
        <w:ind w:left="0" w:leftChars="0" w:firstLine="321" w:firstLineChars="100"/>
        <w:jc w:val="left"/>
        <w:rPr>
          <w:rFonts w:hint="eastAsia" w:ascii="仿宋_GB2312" w:hAnsi="仿宋_GB2312" w:eastAsia="仿宋_GB2312" w:cs="仿宋_GB2312"/>
          <w:bCs/>
          <w:color w:val="auto"/>
          <w:sz w:val="32"/>
          <w:szCs w:val="32"/>
          <w:u w:val="single"/>
        </w:rPr>
      </w:pPr>
      <w:r>
        <w:rPr>
          <w:rFonts w:hint="eastAsia" w:ascii="仿宋_GB2312" w:hAnsi="仿宋_GB2312" w:eastAsia="仿宋_GB2312" w:cs="仿宋_GB2312"/>
          <w:b/>
          <w:color w:val="auto"/>
          <w:sz w:val="32"/>
          <w:szCs w:val="32"/>
        </w:rPr>
        <w:t>日    期：</w:t>
      </w:r>
      <w:r>
        <w:rPr>
          <w:rFonts w:hint="eastAsia" w:ascii="仿宋_GB2312" w:hAnsi="仿宋_GB2312" w:eastAsia="仿宋_GB2312" w:cs="仿宋_GB2312"/>
          <w:b/>
          <w:color w:val="auto"/>
          <w:sz w:val="32"/>
          <w:szCs w:val="32"/>
          <w:u w:val="single"/>
        </w:rPr>
        <w:t xml:space="preserve">        </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u w:val="single"/>
          <w:lang w:val="en-US" w:eastAsia="zh-CN"/>
        </w:rPr>
        <w:t xml:space="preserve"> </w:t>
      </w:r>
      <w:r>
        <w:rPr>
          <w:rFonts w:hint="eastAsia" w:ascii="仿宋_GB2312" w:hAnsi="仿宋_GB2312" w:eastAsia="仿宋_GB2312" w:cs="仿宋_GB2312"/>
          <w:bCs/>
          <w:color w:val="auto"/>
          <w:sz w:val="32"/>
          <w:szCs w:val="32"/>
          <w:u w:val="single"/>
        </w:rPr>
        <w:t xml:space="preserve">   202</w:t>
      </w:r>
      <w:r>
        <w:rPr>
          <w:rFonts w:hint="eastAsia" w:ascii="仿宋_GB2312" w:hAnsi="仿宋_GB2312" w:eastAsia="仿宋_GB2312" w:cs="仿宋_GB2312"/>
          <w:bCs/>
          <w:color w:val="auto"/>
          <w:sz w:val="32"/>
          <w:szCs w:val="32"/>
          <w:u w:val="single"/>
          <w:lang w:val="en-US" w:eastAsia="zh-CN"/>
        </w:rPr>
        <w:t>3</w:t>
      </w:r>
      <w:r>
        <w:rPr>
          <w:rFonts w:hint="eastAsia" w:ascii="仿宋_GB2312" w:hAnsi="仿宋_GB2312" w:eastAsia="仿宋_GB2312" w:cs="仿宋_GB2312"/>
          <w:bCs/>
          <w:color w:val="auto"/>
          <w:sz w:val="32"/>
          <w:szCs w:val="32"/>
          <w:u w:val="single"/>
        </w:rPr>
        <w:t>年</w:t>
      </w:r>
      <w:r>
        <w:rPr>
          <w:rFonts w:hint="eastAsia" w:ascii="仿宋_GB2312" w:hAnsi="仿宋_GB2312" w:eastAsia="仿宋_GB2312" w:cs="仿宋_GB2312"/>
          <w:bCs/>
          <w:color w:val="auto"/>
          <w:sz w:val="32"/>
          <w:szCs w:val="32"/>
          <w:u w:val="single"/>
          <w:lang w:val="en-US" w:eastAsia="zh-CN"/>
        </w:rPr>
        <w:t>11</w:t>
      </w:r>
      <w:r>
        <w:rPr>
          <w:rFonts w:hint="eastAsia" w:ascii="仿宋_GB2312" w:hAnsi="仿宋_GB2312" w:eastAsia="仿宋_GB2312" w:cs="仿宋_GB2312"/>
          <w:bCs/>
          <w:color w:val="auto"/>
          <w:sz w:val="32"/>
          <w:szCs w:val="32"/>
          <w:u w:val="single"/>
        </w:rPr>
        <w:t xml:space="preserve">月            </w:t>
      </w:r>
      <w:r>
        <w:rPr>
          <w:rFonts w:hint="eastAsia" w:ascii="仿宋_GB2312" w:hAnsi="仿宋_GB2312" w:eastAsia="仿宋_GB2312" w:cs="仿宋_GB2312"/>
          <w:bCs/>
          <w:color w:val="auto"/>
          <w:sz w:val="32"/>
          <w:szCs w:val="32"/>
          <w:u w:val="single"/>
          <w:lang w:val="en-US" w:eastAsia="zh-CN"/>
        </w:rPr>
        <w:t xml:space="preserve"> </w:t>
      </w:r>
      <w:r>
        <w:rPr>
          <w:rFonts w:hint="eastAsia" w:ascii="仿宋_GB2312" w:hAnsi="仿宋_GB2312" w:eastAsia="仿宋_GB2312" w:cs="仿宋_GB2312"/>
          <w:bCs/>
          <w:color w:val="auto"/>
          <w:sz w:val="32"/>
          <w:szCs w:val="32"/>
          <w:u w:val="single"/>
        </w:rPr>
        <w:t xml:space="preserve"> </w:t>
      </w:r>
    </w:p>
    <w:p>
      <w:pPr>
        <w:pStyle w:val="18"/>
        <w:spacing w:after="0"/>
        <w:ind w:left="0" w:leftChars="0" w:firstLine="0" w:firstLineChars="0"/>
        <w:jc w:val="center"/>
        <w:rPr>
          <w:rFonts w:ascii="仿宋" w:hAnsi="仿宋" w:eastAsia="仿宋" w:cs="仿宋"/>
          <w:b/>
          <w:bCs/>
          <w:color w:val="FF0000"/>
          <w:sz w:val="28"/>
          <w:szCs w:val="28"/>
        </w:rPr>
      </w:pPr>
    </w:p>
    <w:p>
      <w:pPr>
        <w:pStyle w:val="18"/>
        <w:spacing w:after="0"/>
        <w:ind w:left="0" w:leftChars="0" w:firstLine="0" w:firstLineChars="0"/>
        <w:jc w:val="center"/>
        <w:rPr>
          <w:rFonts w:ascii="仿宋" w:hAnsi="仿宋" w:eastAsia="仿宋" w:cs="仿宋"/>
          <w:b/>
          <w:bCs/>
          <w:color w:val="FF0000"/>
          <w:sz w:val="28"/>
          <w:szCs w:val="28"/>
        </w:rPr>
        <w:sectPr>
          <w:pgSz w:w="11906" w:h="16838"/>
          <w:pgMar w:top="1440" w:right="1519" w:bottom="1440"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jc w:val="both"/>
        <w:outlineLvl w:val="9"/>
        <w:rPr>
          <w:rFonts w:hint="eastAsia" w:ascii="仿宋" w:hAnsi="仿宋" w:eastAsia="仿宋" w:cs="仿宋"/>
          <w:b/>
          <w:bCs/>
          <w:color w:val="auto"/>
          <w:sz w:val="36"/>
          <w:szCs w:val="36"/>
          <w:lang w:val="en-US" w:eastAsia="zh-CN"/>
        </w:rPr>
      </w:pPr>
      <w:bookmarkStart w:id="104" w:name="_Toc25076"/>
      <w:bookmarkStart w:id="105" w:name="_Toc26010"/>
      <w:r>
        <w:rPr>
          <w:rFonts w:hint="eastAsia" w:ascii="仿宋" w:hAnsi="仿宋" w:eastAsia="仿宋" w:cs="仿宋"/>
          <w:b/>
          <w:bCs/>
          <w:color w:val="auto"/>
          <w:kern w:val="2"/>
          <w:sz w:val="28"/>
          <w:szCs w:val="28"/>
          <w:lang w:val="en-US" w:eastAsia="zh-CN" w:bidi="ar-SA"/>
        </w:rPr>
        <w:t>附件4</w:t>
      </w:r>
      <w:r>
        <w:rPr>
          <w:rFonts w:hint="eastAsia" w:ascii="仿宋" w:hAnsi="仿宋" w:eastAsia="仿宋" w:cs="仿宋"/>
          <w:b/>
          <w:bCs/>
          <w:color w:val="auto"/>
          <w:sz w:val="36"/>
          <w:szCs w:val="36"/>
          <w:lang w:val="en-US" w:eastAsia="zh-CN"/>
        </w:rPr>
        <w:t xml:space="preserve"> 泉州市招标咨询中心营业执照</w:t>
      </w:r>
      <w:bookmarkEnd w:id="104"/>
      <w:bookmarkEnd w:id="105"/>
    </w:p>
    <w:p>
      <w:pPr>
        <w:rPr>
          <w:rFonts w:hint="eastAsia" w:ascii="仿宋" w:hAnsi="仿宋" w:eastAsia="仿宋" w:cs="仿宋"/>
          <w:color w:val="FF0000"/>
          <w:sz w:val="22"/>
          <w:szCs w:val="28"/>
          <w:lang w:val="en-US" w:eastAsia="zh-CN"/>
        </w:rPr>
      </w:pPr>
      <w:r>
        <w:rPr>
          <w:rFonts w:hint="eastAsia" w:eastAsia="黑体"/>
          <w:lang w:eastAsia="zh-CN"/>
        </w:rPr>
        <w:drawing>
          <wp:anchor distT="0" distB="0" distL="114300" distR="114300" simplePos="0" relativeHeight="251663360" behindDoc="0" locked="0" layoutInCell="1" allowOverlap="1">
            <wp:simplePos x="0" y="0"/>
            <wp:positionH relativeFrom="column">
              <wp:posOffset>-1075690</wp:posOffset>
            </wp:positionH>
            <wp:positionV relativeFrom="paragraph">
              <wp:posOffset>1247775</wp:posOffset>
            </wp:positionV>
            <wp:extent cx="7505065" cy="5309870"/>
            <wp:effectExtent l="0" t="0" r="5080" b="635"/>
            <wp:wrapSquare wrapText="bothSides"/>
            <wp:docPr id="20" name="图片 20" descr="2b3d139fc160ef5342389a9ad11ef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b3d139fc160ef5342389a9ad11ef27"/>
                    <pic:cNvPicPr>
                      <a:picLocks noChangeAspect="1"/>
                    </pic:cNvPicPr>
                  </pic:nvPicPr>
                  <pic:blipFill>
                    <a:blip r:embed="rId27"/>
                    <a:stretch>
                      <a:fillRect/>
                    </a:stretch>
                  </pic:blipFill>
                  <pic:spPr>
                    <a:xfrm rot="16200000">
                      <a:off x="0" y="0"/>
                      <a:ext cx="7505065" cy="5309870"/>
                    </a:xfrm>
                    <a:prstGeom prst="rect">
                      <a:avLst/>
                    </a:prstGeom>
                  </pic:spPr>
                </pic:pic>
              </a:graphicData>
            </a:graphic>
          </wp:anchor>
        </w:drawing>
      </w:r>
    </w:p>
    <w:sectPr>
      <w:pgSz w:w="11906" w:h="16838"/>
      <w:pgMar w:top="1440" w:right="1519" w:bottom="1440"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Book Antiqua">
    <w:panose1 w:val="02040602050305030304"/>
    <w:charset w:val="00"/>
    <w:family w:val="auto"/>
    <w:pitch w:val="default"/>
    <w:sig w:usb0="00000287" w:usb1="00000000" w:usb2="00000000" w:usb3="00000000" w:csb0="2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BYAAABkcnMvUEsBAhQAFAAAAAgAh07iQLNJWO7QAAAABQEAAA8AAAAAAAAAAQAgAAAAOAAAAGRy&#10;cy9kb3ducmV2LnhtbFBLAQIUABQAAAAIAIdO4kAPFeUNMAIAAGMEAAAOAAAAAAAAAAEAIAAAADUB&#10;AABkcnMvZTJvRG9jLnhtbFBLBQYAAAAABgAGAFkBAADXBQAAAAA=&#10;">
              <v:fill on="f" focussize="0,0"/>
              <v:stroke on="f" weight="0.5pt"/>
              <v:imagedata o:title=""/>
              <o:lock v:ext="edit" aspectratio="f"/>
              <v:textbox inset="0mm,0mm,0mm,0mm" style="mso-fit-shape-to-text:t;">
                <w:txbxContent>
                  <w:p>
                    <w:pPr>
                      <w:pStyle w:val="13"/>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VmZ+Mg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5WZn4yAgAAYw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W0FrMgIAAGMEAAAOAAAAZHJz&#10;L2Uyb0RvYy54bWytVM2O0zAQviPxDpbvNGkRq1I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mKYRsVPP76ffj6cfn0jOINAjQszxN07RMb2nW0RPJwHHCbebeV1+oIRgR/y&#10;Hi/yijYSni5NJ9NpDheHb9gAP3u87nyI74XVJBkF9ahfJys7bELsQ4eQlM3YtVSqq6EypCno1es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9bQWsyAgAAYw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none" w:color="auto" w:sz="0" w:space="1"/>
        <w:left w:val="none" w:color="auto" w:sz="0" w:space="4"/>
        <w:bottom w:val="none" w:color="auto" w:sz="0" w:space="1"/>
        <w:right w:val="none" w:color="auto" w:sz="0" w:space="4"/>
        <w:between w:val="none" w:color="auto" w:sz="0" w:space="0"/>
      </w:pBdr>
      <w:jc w:val="right"/>
    </w:pPr>
    <w:r>
      <w:rPr>
        <w:rFonts w:hint="eastAsia"/>
        <w:b/>
        <w:bCs/>
        <w:sz w:val="18"/>
        <w:szCs w:val="18"/>
      </w:rPr>
      <w:drawing>
        <wp:anchor distT="0" distB="0" distL="114300" distR="114300" simplePos="0" relativeHeight="251660288" behindDoc="0" locked="0" layoutInCell="1" allowOverlap="1">
          <wp:simplePos x="0" y="0"/>
          <wp:positionH relativeFrom="column">
            <wp:posOffset>5824220</wp:posOffset>
          </wp:positionH>
          <wp:positionV relativeFrom="paragraph">
            <wp:posOffset>-97155</wp:posOffset>
          </wp:positionV>
          <wp:extent cx="314325" cy="306705"/>
          <wp:effectExtent l="0" t="0" r="9525" b="17145"/>
          <wp:wrapSquare wrapText="bothSides"/>
          <wp:docPr id="5" name="图片 5" descr="C:\Users\ASUS\AppData\Local\Temp\WeChat Files\f186046fc3a4df704901618a4b76e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SUS\AppData\Local\Temp\WeChat Files\f186046fc3a4df704901618a4b76ec6.png"/>
                  <pic:cNvPicPr>
                    <a:picLocks noChangeAspect="1" noChangeArrowheads="1"/>
                  </pic:cNvPicPr>
                </pic:nvPicPr>
                <pic:blipFill>
                  <a:blip r:embed="rId1"/>
                  <a:srcRect/>
                  <a:stretch>
                    <a:fillRect/>
                  </a:stretch>
                </pic:blipFill>
                <pic:spPr>
                  <a:xfrm>
                    <a:off x="0" y="0"/>
                    <a:ext cx="314325" cy="306705"/>
                  </a:xfrm>
                  <a:prstGeom prst="rect">
                    <a:avLst/>
                  </a:prstGeom>
                  <a:noFill/>
                  <a:ln w="9525" cmpd="sng">
                    <a:noFill/>
                    <a:miter lim="800000"/>
                    <a:headEnd/>
                    <a:tailEnd/>
                  </a:ln>
                  <a:effectLst/>
                </pic:spPr>
              </pic:pic>
            </a:graphicData>
          </a:graphic>
        </wp:anchor>
      </w:drawing>
    </w:r>
    <w:r>
      <w:rPr>
        <w:rFonts w:hint="eastAsia"/>
      </w:rPr>
      <w:t>泉州市招标咨询中心地方财政绩效评价所</w:t>
    </w:r>
  </w:p>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r>
      <w:rPr>
        <w:rFonts w:hint="eastAsia"/>
        <w:b/>
        <w:bCs/>
        <w:sz w:val="18"/>
        <w:szCs w:val="18"/>
      </w:rPr>
      <w:drawing>
        <wp:anchor distT="0" distB="0" distL="114300" distR="114300" simplePos="0" relativeHeight="251664384" behindDoc="0" locked="0" layoutInCell="1" allowOverlap="1">
          <wp:simplePos x="0" y="0"/>
          <wp:positionH relativeFrom="column">
            <wp:posOffset>5619115</wp:posOffset>
          </wp:positionH>
          <wp:positionV relativeFrom="paragraph">
            <wp:posOffset>-125730</wp:posOffset>
          </wp:positionV>
          <wp:extent cx="314325" cy="306705"/>
          <wp:effectExtent l="0" t="0" r="9525" b="17145"/>
          <wp:wrapSquare wrapText="bothSides"/>
          <wp:docPr id="18" name="图片 18" descr="C:\Users\ASUS\AppData\Local\Temp\WeChat Files\f186046fc3a4df704901618a4b76e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SUS\AppData\Local\Temp\WeChat Files\f186046fc3a4df704901618a4b76ec6.png"/>
                  <pic:cNvPicPr>
                    <a:picLocks noChangeAspect="1" noChangeArrowheads="1"/>
                  </pic:cNvPicPr>
                </pic:nvPicPr>
                <pic:blipFill>
                  <a:blip r:embed="rId1"/>
                  <a:srcRect/>
                  <a:stretch>
                    <a:fillRect/>
                  </a:stretch>
                </pic:blipFill>
                <pic:spPr>
                  <a:xfrm>
                    <a:off x="0" y="0"/>
                    <a:ext cx="314325" cy="306705"/>
                  </a:xfrm>
                  <a:prstGeom prst="rect">
                    <a:avLst/>
                  </a:prstGeom>
                  <a:noFill/>
                  <a:ln w="9525" cmpd="sng">
                    <a:noFill/>
                    <a:miter lim="800000"/>
                    <a:headEnd/>
                    <a:tailEnd/>
                  </a:ln>
                  <a:effectLst/>
                </pic:spPr>
              </pic:pic>
            </a:graphicData>
          </a:graphic>
        </wp:anchor>
      </w:drawing>
    </w:r>
    <w:r>
      <w:rPr>
        <w:rFonts w:hint="eastAsia"/>
      </w:rPr>
      <w:t>泉州市招标咨询中心地方财政绩效评价所</w:t>
    </w:r>
  </w:p>
  <w:p>
    <w:pPr>
      <w:pStyle w:val="1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r>
      <w:rPr>
        <w:rFonts w:hint="eastAsia"/>
        <w:b/>
        <w:bCs/>
        <w:sz w:val="18"/>
        <w:szCs w:val="18"/>
      </w:rPr>
      <w:drawing>
        <wp:anchor distT="0" distB="0" distL="114300" distR="114300" simplePos="0" relativeHeight="251666432" behindDoc="0" locked="0" layoutInCell="1" allowOverlap="1">
          <wp:simplePos x="0" y="0"/>
          <wp:positionH relativeFrom="column">
            <wp:posOffset>8952865</wp:posOffset>
          </wp:positionH>
          <wp:positionV relativeFrom="paragraph">
            <wp:posOffset>-233045</wp:posOffset>
          </wp:positionV>
          <wp:extent cx="314325" cy="306705"/>
          <wp:effectExtent l="0" t="0" r="9525" b="17145"/>
          <wp:wrapSquare wrapText="bothSides"/>
          <wp:docPr id="2" name="图片 2" descr="C:\Users\ASUS\AppData\Local\Temp\WeChat Files\f186046fc3a4df704901618a4b76e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SUS\AppData\Local\Temp\WeChat Files\f186046fc3a4df704901618a4b76ec6.png"/>
                  <pic:cNvPicPr>
                    <a:picLocks noChangeAspect="1" noChangeArrowheads="1"/>
                  </pic:cNvPicPr>
                </pic:nvPicPr>
                <pic:blipFill>
                  <a:blip r:embed="rId1"/>
                  <a:srcRect/>
                  <a:stretch>
                    <a:fillRect/>
                  </a:stretch>
                </pic:blipFill>
                <pic:spPr>
                  <a:xfrm>
                    <a:off x="0" y="0"/>
                    <a:ext cx="314325" cy="306705"/>
                  </a:xfrm>
                  <a:prstGeom prst="rect">
                    <a:avLst/>
                  </a:prstGeom>
                  <a:noFill/>
                  <a:ln w="9525" cmpd="sng">
                    <a:noFill/>
                    <a:miter lim="800000"/>
                    <a:headEnd/>
                    <a:tailEnd/>
                  </a:ln>
                  <a:effectLst/>
                </pic:spPr>
              </pic:pic>
            </a:graphicData>
          </a:graphic>
        </wp:anchor>
      </w:drawing>
    </w:r>
    <w:r>
      <w:rPr>
        <w:rFonts w:hint="eastAsia"/>
      </w:rPr>
      <w:t>泉州市招标咨询中心地方财政绩效评价所</w:t>
    </w:r>
  </w:p>
  <w:p>
    <w:pPr>
      <w:pStyle w:val="1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r>
      <w:rPr>
        <w:rFonts w:hint="eastAsia"/>
        <w:b/>
        <w:bCs/>
        <w:sz w:val="18"/>
        <w:szCs w:val="18"/>
      </w:rPr>
      <w:drawing>
        <wp:anchor distT="0" distB="0" distL="114300" distR="114300" simplePos="0" relativeHeight="251667456" behindDoc="0" locked="0" layoutInCell="1" allowOverlap="1">
          <wp:simplePos x="0" y="0"/>
          <wp:positionH relativeFrom="column">
            <wp:posOffset>5619115</wp:posOffset>
          </wp:positionH>
          <wp:positionV relativeFrom="paragraph">
            <wp:posOffset>-125730</wp:posOffset>
          </wp:positionV>
          <wp:extent cx="314325" cy="306705"/>
          <wp:effectExtent l="0" t="0" r="9525" b="17145"/>
          <wp:wrapSquare wrapText="bothSides"/>
          <wp:docPr id="3" name="图片 3" descr="C:\Users\ASUS\AppData\Local\Temp\WeChat Files\f186046fc3a4df704901618a4b76e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SUS\AppData\Local\Temp\WeChat Files\f186046fc3a4df704901618a4b76ec6.png"/>
                  <pic:cNvPicPr>
                    <a:picLocks noChangeAspect="1" noChangeArrowheads="1"/>
                  </pic:cNvPicPr>
                </pic:nvPicPr>
                <pic:blipFill>
                  <a:blip r:embed="rId1"/>
                  <a:srcRect/>
                  <a:stretch>
                    <a:fillRect/>
                  </a:stretch>
                </pic:blipFill>
                <pic:spPr>
                  <a:xfrm>
                    <a:off x="0" y="0"/>
                    <a:ext cx="314325" cy="306705"/>
                  </a:xfrm>
                  <a:prstGeom prst="rect">
                    <a:avLst/>
                  </a:prstGeom>
                  <a:noFill/>
                  <a:ln w="9525" cmpd="sng">
                    <a:noFill/>
                    <a:miter lim="800000"/>
                    <a:headEnd/>
                    <a:tailEnd/>
                  </a:ln>
                  <a:effectLst/>
                </pic:spPr>
              </pic:pic>
            </a:graphicData>
          </a:graphic>
        </wp:anchor>
      </w:drawing>
    </w:r>
    <w:r>
      <w:rPr>
        <w:rFonts w:hint="eastAsia"/>
      </w:rPr>
      <w:t>泉州市招标咨询中心地方财政绩效评价所</w:t>
    </w:r>
  </w:p>
  <w:p>
    <w:pPr>
      <w:pStyle w:val="14"/>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right"/>
    </w:pPr>
    <w:r>
      <w:rPr>
        <w:rFonts w:hint="eastAsia"/>
        <w:b/>
        <w:bCs/>
        <w:sz w:val="18"/>
        <w:szCs w:val="18"/>
      </w:rPr>
      <w:drawing>
        <wp:anchor distT="0" distB="0" distL="114300" distR="114300" simplePos="0" relativeHeight="251661312" behindDoc="0" locked="0" layoutInCell="1" allowOverlap="1">
          <wp:simplePos x="0" y="0"/>
          <wp:positionH relativeFrom="column">
            <wp:posOffset>8889365</wp:posOffset>
          </wp:positionH>
          <wp:positionV relativeFrom="paragraph">
            <wp:posOffset>-80645</wp:posOffset>
          </wp:positionV>
          <wp:extent cx="314325" cy="306705"/>
          <wp:effectExtent l="0" t="0" r="9525" b="17145"/>
          <wp:wrapSquare wrapText="bothSides"/>
          <wp:docPr id="1" name="图片 1" descr="C:\Users\ASUS\AppData\Local\Temp\WeChat Files\f186046fc3a4df704901618a4b76e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SUS\AppData\Local\Temp\WeChat Files\f186046fc3a4df704901618a4b76ec6.png"/>
                  <pic:cNvPicPr>
                    <a:picLocks noChangeAspect="1" noChangeArrowheads="1"/>
                  </pic:cNvPicPr>
                </pic:nvPicPr>
                <pic:blipFill>
                  <a:blip r:embed="rId1"/>
                  <a:srcRect/>
                  <a:stretch>
                    <a:fillRect/>
                  </a:stretch>
                </pic:blipFill>
                <pic:spPr>
                  <a:xfrm>
                    <a:off x="0" y="0"/>
                    <a:ext cx="314325" cy="306705"/>
                  </a:xfrm>
                  <a:prstGeom prst="rect">
                    <a:avLst/>
                  </a:prstGeom>
                  <a:noFill/>
                  <a:ln w="9525" cmpd="sng">
                    <a:noFill/>
                    <a:miter lim="800000"/>
                    <a:headEnd/>
                    <a:tailEnd/>
                  </a:ln>
                  <a:effectLst/>
                </pic:spPr>
              </pic:pic>
            </a:graphicData>
          </a:graphic>
        </wp:anchor>
      </w:drawing>
    </w:r>
    <w:r>
      <w:rPr>
        <w:rFonts w:hint="eastAsia"/>
      </w:rPr>
      <w:t>泉州市招标咨询中心地方财政绩效评价所</w:t>
    </w:r>
  </w:p>
  <w:p>
    <w:pPr>
      <w:pStyle w:val="14"/>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jc w:val="right"/>
    </w:pPr>
    <w:r>
      <w:rPr>
        <w:rFonts w:hint="eastAsia"/>
        <w:b/>
        <w:bCs/>
        <w:sz w:val="18"/>
        <w:szCs w:val="18"/>
      </w:rPr>
      <w:drawing>
        <wp:anchor distT="0" distB="0" distL="114300" distR="114300" simplePos="0" relativeHeight="251665408" behindDoc="0" locked="0" layoutInCell="1" allowOverlap="1">
          <wp:simplePos x="0" y="0"/>
          <wp:positionH relativeFrom="column">
            <wp:posOffset>5582285</wp:posOffset>
          </wp:positionH>
          <wp:positionV relativeFrom="paragraph">
            <wp:posOffset>-86995</wp:posOffset>
          </wp:positionV>
          <wp:extent cx="314325" cy="306705"/>
          <wp:effectExtent l="0" t="0" r="9525" b="17145"/>
          <wp:wrapSquare wrapText="bothSides"/>
          <wp:docPr id="8" name="图片 8" descr="C:\Users\ASUS\AppData\Local\Temp\WeChat Files\f186046fc3a4df704901618a4b76e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SUS\AppData\Local\Temp\WeChat Files\f186046fc3a4df704901618a4b76ec6.png"/>
                  <pic:cNvPicPr>
                    <a:picLocks noChangeAspect="1" noChangeArrowheads="1"/>
                  </pic:cNvPicPr>
                </pic:nvPicPr>
                <pic:blipFill>
                  <a:blip r:embed="rId1"/>
                  <a:srcRect/>
                  <a:stretch>
                    <a:fillRect/>
                  </a:stretch>
                </pic:blipFill>
                <pic:spPr>
                  <a:xfrm>
                    <a:off x="0" y="0"/>
                    <a:ext cx="314325" cy="306705"/>
                  </a:xfrm>
                  <a:prstGeom prst="rect">
                    <a:avLst/>
                  </a:prstGeom>
                  <a:noFill/>
                  <a:ln w="9525" cmpd="sng">
                    <a:noFill/>
                    <a:miter lim="800000"/>
                    <a:headEnd/>
                    <a:tailEnd/>
                  </a:ln>
                  <a:effectLst/>
                </pic:spPr>
              </pic:pic>
            </a:graphicData>
          </a:graphic>
        </wp:anchor>
      </w:drawing>
    </w:r>
    <w:r>
      <w:rPr>
        <w:rFonts w:hint="eastAsia"/>
      </w:rPr>
      <w:t>泉州市招标咨询中心地方财政绩效评价所</w:t>
    </w:r>
  </w:p>
  <w:p>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kYmFmYjU0NzIyNDBkZmE0NTJkNDRiOTcxZjNkNDMifQ=="/>
  </w:docVars>
  <w:rsids>
    <w:rsidRoot w:val="4FD10315"/>
    <w:rsid w:val="009D77E5"/>
    <w:rsid w:val="01057174"/>
    <w:rsid w:val="0132515B"/>
    <w:rsid w:val="0338158B"/>
    <w:rsid w:val="04486311"/>
    <w:rsid w:val="044C6C30"/>
    <w:rsid w:val="04F23B05"/>
    <w:rsid w:val="05285640"/>
    <w:rsid w:val="052B4CCF"/>
    <w:rsid w:val="05507890"/>
    <w:rsid w:val="055F2A5D"/>
    <w:rsid w:val="056A57F8"/>
    <w:rsid w:val="05B95582"/>
    <w:rsid w:val="06023C82"/>
    <w:rsid w:val="07287439"/>
    <w:rsid w:val="07B858A8"/>
    <w:rsid w:val="080E3991"/>
    <w:rsid w:val="09B26471"/>
    <w:rsid w:val="09EB0F23"/>
    <w:rsid w:val="09F20618"/>
    <w:rsid w:val="0AA25AD7"/>
    <w:rsid w:val="0B7010C0"/>
    <w:rsid w:val="0B7F0380"/>
    <w:rsid w:val="0BAD401F"/>
    <w:rsid w:val="0C867C43"/>
    <w:rsid w:val="0DBD5563"/>
    <w:rsid w:val="0DEA1CD8"/>
    <w:rsid w:val="0EE852F5"/>
    <w:rsid w:val="0FDA5C70"/>
    <w:rsid w:val="100B1CEC"/>
    <w:rsid w:val="10AA73F0"/>
    <w:rsid w:val="11E86E62"/>
    <w:rsid w:val="12994E9C"/>
    <w:rsid w:val="12E9234C"/>
    <w:rsid w:val="13203999"/>
    <w:rsid w:val="137A2740"/>
    <w:rsid w:val="13E06D0B"/>
    <w:rsid w:val="13E4302F"/>
    <w:rsid w:val="13F73920"/>
    <w:rsid w:val="163C514D"/>
    <w:rsid w:val="180E1B32"/>
    <w:rsid w:val="181B7DFE"/>
    <w:rsid w:val="181E2472"/>
    <w:rsid w:val="19012A84"/>
    <w:rsid w:val="198E422F"/>
    <w:rsid w:val="1AA610E2"/>
    <w:rsid w:val="1BB03ACD"/>
    <w:rsid w:val="1BB37E83"/>
    <w:rsid w:val="1C877AAC"/>
    <w:rsid w:val="1D050057"/>
    <w:rsid w:val="1DAD5B24"/>
    <w:rsid w:val="1DFA1FD6"/>
    <w:rsid w:val="1F297C0F"/>
    <w:rsid w:val="1F795C09"/>
    <w:rsid w:val="1FA42E41"/>
    <w:rsid w:val="20617537"/>
    <w:rsid w:val="220054B6"/>
    <w:rsid w:val="221B348A"/>
    <w:rsid w:val="2263692C"/>
    <w:rsid w:val="23CE70D3"/>
    <w:rsid w:val="23CE7A74"/>
    <w:rsid w:val="24407FA6"/>
    <w:rsid w:val="24C6708A"/>
    <w:rsid w:val="24EE7018"/>
    <w:rsid w:val="25565A8F"/>
    <w:rsid w:val="25576D0A"/>
    <w:rsid w:val="25850A3A"/>
    <w:rsid w:val="26310EB8"/>
    <w:rsid w:val="26E2376D"/>
    <w:rsid w:val="26F67477"/>
    <w:rsid w:val="27D56FF1"/>
    <w:rsid w:val="29572AD2"/>
    <w:rsid w:val="2964775A"/>
    <w:rsid w:val="29F11AD6"/>
    <w:rsid w:val="2A4D58F3"/>
    <w:rsid w:val="2A6B5769"/>
    <w:rsid w:val="2B3338BE"/>
    <w:rsid w:val="2B406E77"/>
    <w:rsid w:val="2BDE4905"/>
    <w:rsid w:val="2C106849"/>
    <w:rsid w:val="2C372028"/>
    <w:rsid w:val="2D8A110F"/>
    <w:rsid w:val="2F21503F"/>
    <w:rsid w:val="2F420206"/>
    <w:rsid w:val="2FD342FA"/>
    <w:rsid w:val="2FD93317"/>
    <w:rsid w:val="307F1FF4"/>
    <w:rsid w:val="3086532C"/>
    <w:rsid w:val="30DA5678"/>
    <w:rsid w:val="326F3678"/>
    <w:rsid w:val="33A934D0"/>
    <w:rsid w:val="344D1E0E"/>
    <w:rsid w:val="35513500"/>
    <w:rsid w:val="35A02ED8"/>
    <w:rsid w:val="36E208B7"/>
    <w:rsid w:val="37125937"/>
    <w:rsid w:val="37395C99"/>
    <w:rsid w:val="377941F6"/>
    <w:rsid w:val="37EAEA71"/>
    <w:rsid w:val="3813028F"/>
    <w:rsid w:val="38542B7A"/>
    <w:rsid w:val="38673C95"/>
    <w:rsid w:val="39003A88"/>
    <w:rsid w:val="39C32C20"/>
    <w:rsid w:val="3A237145"/>
    <w:rsid w:val="3A59463F"/>
    <w:rsid w:val="3A844811"/>
    <w:rsid w:val="3A8A3DD2"/>
    <w:rsid w:val="3AB805CF"/>
    <w:rsid w:val="3B5A6CA6"/>
    <w:rsid w:val="3D554293"/>
    <w:rsid w:val="3D5A4AAE"/>
    <w:rsid w:val="3DA26D0E"/>
    <w:rsid w:val="3E546A69"/>
    <w:rsid w:val="3EA26760"/>
    <w:rsid w:val="3F35674D"/>
    <w:rsid w:val="3F8D59AE"/>
    <w:rsid w:val="3FAF53D5"/>
    <w:rsid w:val="3FB66140"/>
    <w:rsid w:val="400973E0"/>
    <w:rsid w:val="41693261"/>
    <w:rsid w:val="424B3CDF"/>
    <w:rsid w:val="427D2AC3"/>
    <w:rsid w:val="42AD2CAF"/>
    <w:rsid w:val="4348021F"/>
    <w:rsid w:val="43664E65"/>
    <w:rsid w:val="4557671D"/>
    <w:rsid w:val="45AE544C"/>
    <w:rsid w:val="463F78A5"/>
    <w:rsid w:val="46736E18"/>
    <w:rsid w:val="46DB6B62"/>
    <w:rsid w:val="46EF7D35"/>
    <w:rsid w:val="488F1B48"/>
    <w:rsid w:val="49627B61"/>
    <w:rsid w:val="49B32266"/>
    <w:rsid w:val="4A730277"/>
    <w:rsid w:val="4C3C7EE9"/>
    <w:rsid w:val="4D93733C"/>
    <w:rsid w:val="4EC95495"/>
    <w:rsid w:val="4EFC0F41"/>
    <w:rsid w:val="4F3D0E54"/>
    <w:rsid w:val="4F485CAB"/>
    <w:rsid w:val="4FD10315"/>
    <w:rsid w:val="500B583E"/>
    <w:rsid w:val="50671D18"/>
    <w:rsid w:val="51416479"/>
    <w:rsid w:val="51DA239D"/>
    <w:rsid w:val="52C70DB8"/>
    <w:rsid w:val="52C95E49"/>
    <w:rsid w:val="53CD229B"/>
    <w:rsid w:val="53F45CA5"/>
    <w:rsid w:val="540C0D6C"/>
    <w:rsid w:val="55207586"/>
    <w:rsid w:val="57502FE2"/>
    <w:rsid w:val="580A7D41"/>
    <w:rsid w:val="58A4109F"/>
    <w:rsid w:val="58E50168"/>
    <w:rsid w:val="58F534D6"/>
    <w:rsid w:val="59751851"/>
    <w:rsid w:val="59BE7EEA"/>
    <w:rsid w:val="5A166E71"/>
    <w:rsid w:val="5B6D31BC"/>
    <w:rsid w:val="5B881F4E"/>
    <w:rsid w:val="5C451348"/>
    <w:rsid w:val="5C553A5A"/>
    <w:rsid w:val="5D2B0975"/>
    <w:rsid w:val="5D317FB0"/>
    <w:rsid w:val="5DC0337C"/>
    <w:rsid w:val="5DDD2180"/>
    <w:rsid w:val="5E323B4E"/>
    <w:rsid w:val="5E9A2673"/>
    <w:rsid w:val="5F9F2F31"/>
    <w:rsid w:val="5FA97E40"/>
    <w:rsid w:val="5FF9181C"/>
    <w:rsid w:val="5FFE018B"/>
    <w:rsid w:val="6005625C"/>
    <w:rsid w:val="61BA4B05"/>
    <w:rsid w:val="624D5641"/>
    <w:rsid w:val="63035079"/>
    <w:rsid w:val="630F26B0"/>
    <w:rsid w:val="63512DFC"/>
    <w:rsid w:val="63807820"/>
    <w:rsid w:val="64591E34"/>
    <w:rsid w:val="65457844"/>
    <w:rsid w:val="65E8457C"/>
    <w:rsid w:val="65EC4D7E"/>
    <w:rsid w:val="66574756"/>
    <w:rsid w:val="665758C5"/>
    <w:rsid w:val="669D7DCB"/>
    <w:rsid w:val="66A17AC3"/>
    <w:rsid w:val="677D7015"/>
    <w:rsid w:val="67870603"/>
    <w:rsid w:val="69305799"/>
    <w:rsid w:val="693370F8"/>
    <w:rsid w:val="6A627CB8"/>
    <w:rsid w:val="6A7A2B04"/>
    <w:rsid w:val="6B217424"/>
    <w:rsid w:val="6B5450D3"/>
    <w:rsid w:val="6C543A21"/>
    <w:rsid w:val="6C5C0714"/>
    <w:rsid w:val="6CD6595B"/>
    <w:rsid w:val="6DD3346B"/>
    <w:rsid w:val="702D396E"/>
    <w:rsid w:val="708F1107"/>
    <w:rsid w:val="70A90548"/>
    <w:rsid w:val="71154FDD"/>
    <w:rsid w:val="71F87130"/>
    <w:rsid w:val="72654907"/>
    <w:rsid w:val="727D5888"/>
    <w:rsid w:val="72A76E1C"/>
    <w:rsid w:val="730000EB"/>
    <w:rsid w:val="73075EF9"/>
    <w:rsid w:val="73A562A5"/>
    <w:rsid w:val="73C60D18"/>
    <w:rsid w:val="73EA1CCA"/>
    <w:rsid w:val="75530B22"/>
    <w:rsid w:val="75B67D2B"/>
    <w:rsid w:val="76423F7F"/>
    <w:rsid w:val="76C26ADA"/>
    <w:rsid w:val="77D17158"/>
    <w:rsid w:val="78195645"/>
    <w:rsid w:val="791D2F76"/>
    <w:rsid w:val="797535A9"/>
    <w:rsid w:val="79810F09"/>
    <w:rsid w:val="79A518BE"/>
    <w:rsid w:val="7A8721A0"/>
    <w:rsid w:val="7A992B33"/>
    <w:rsid w:val="7B093DF7"/>
    <w:rsid w:val="7C527F74"/>
    <w:rsid w:val="7D67205D"/>
    <w:rsid w:val="7D815A75"/>
    <w:rsid w:val="7DA86D6B"/>
    <w:rsid w:val="7DB27308"/>
    <w:rsid w:val="7E2C5344"/>
    <w:rsid w:val="7EC00FD6"/>
    <w:rsid w:val="7F847C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7"/>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38"/>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next w:val="5"/>
    <w:unhideWhenUsed/>
    <w:qFormat/>
    <w:uiPriority w:val="0"/>
    <w:pPr>
      <w:keepLines/>
      <w:spacing w:beforeLines="20" w:afterLines="20" w:line="360" w:lineRule="auto"/>
      <w:outlineLvl w:val="2"/>
    </w:pPr>
    <w:rPr>
      <w:rFonts w:ascii="Calibri" w:hAnsi="Calibri" w:eastAsia="宋体" w:cs="Times New Roman"/>
      <w:b/>
      <w:sz w:val="32"/>
      <w:lang w:val="en-US" w:eastAsia="zh-CN" w:bidi="ar-SA"/>
    </w:rPr>
  </w:style>
  <w:style w:type="paragraph" w:styleId="6">
    <w:name w:val="heading 4"/>
    <w:next w:val="1"/>
    <w:link w:val="36"/>
    <w:unhideWhenUsed/>
    <w:qFormat/>
    <w:uiPriority w:val="0"/>
    <w:pPr>
      <w:keepLines/>
      <w:spacing w:beforeLines="20" w:afterLines="20" w:line="360" w:lineRule="auto"/>
      <w:outlineLvl w:val="3"/>
    </w:pPr>
    <w:rPr>
      <w:rFonts w:ascii="Arial" w:hAnsi="Arial" w:eastAsia="黑体" w:cs="Times New Roman"/>
      <w:b/>
      <w:sz w:val="28"/>
      <w:lang w:val="en-US" w:eastAsia="zh-CN" w:bidi="ar-SA"/>
    </w:rPr>
  </w:style>
  <w:style w:type="paragraph" w:styleId="7">
    <w:name w:val="heading 5"/>
    <w:basedOn w:val="1"/>
    <w:next w:val="1"/>
    <w:link w:val="35"/>
    <w:semiHidden/>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Block Text"/>
    <w:basedOn w:val="1"/>
    <w:qFormat/>
    <w:uiPriority w:val="0"/>
    <w:pPr>
      <w:ind w:left="1440" w:leftChars="700" w:right="700" w:rightChars="700"/>
    </w:pPr>
  </w:style>
  <w:style w:type="paragraph" w:styleId="8">
    <w:name w:val="annotation text"/>
    <w:basedOn w:val="1"/>
    <w:qFormat/>
    <w:uiPriority w:val="0"/>
    <w:pPr>
      <w:jc w:val="left"/>
    </w:pPr>
  </w:style>
  <w:style w:type="paragraph" w:styleId="9">
    <w:name w:val="Body Text"/>
    <w:basedOn w:val="1"/>
    <w:next w:val="1"/>
    <w:semiHidden/>
    <w:unhideWhenUsed/>
    <w:qFormat/>
    <w:uiPriority w:val="99"/>
    <w:rPr>
      <w:rFonts w:ascii="宋体" w:hAnsi="宋体" w:eastAsia="宋体" w:cs="宋体"/>
      <w:sz w:val="32"/>
      <w:szCs w:val="32"/>
      <w:lang w:val="zh-CN" w:bidi="zh-CN"/>
    </w:rPr>
  </w:style>
  <w:style w:type="paragraph" w:styleId="10">
    <w:name w:val="Body Text Indent"/>
    <w:basedOn w:val="1"/>
    <w:next w:val="1"/>
    <w:qFormat/>
    <w:uiPriority w:val="0"/>
    <w:pPr>
      <w:spacing w:line="500" w:lineRule="exact"/>
      <w:ind w:left="1588" w:leftChars="832" w:firstLine="433" w:firstLineChars="196"/>
    </w:pPr>
    <w:rPr>
      <w:sz w:val="24"/>
    </w:rPr>
  </w:style>
  <w:style w:type="paragraph" w:styleId="11">
    <w:name w:val="toc 3"/>
    <w:basedOn w:val="1"/>
    <w:next w:val="1"/>
    <w:qFormat/>
    <w:uiPriority w:val="0"/>
    <w:pPr>
      <w:ind w:left="840" w:leftChars="400"/>
    </w:pPr>
  </w:style>
  <w:style w:type="paragraph" w:styleId="12">
    <w:name w:val="Plain Text"/>
    <w:basedOn w:val="1"/>
    <w:qFormat/>
    <w:uiPriority w:val="0"/>
    <w:rPr>
      <w:rFonts w:ascii="宋体" w:hAnsi="Courier New" w:cs="Courier New"/>
      <w:szCs w:val="21"/>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paragraph" w:styleId="1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8">
    <w:name w:val="Body Text First Indent 2"/>
    <w:basedOn w:val="10"/>
    <w:qFormat/>
    <w:uiPriority w:val="0"/>
    <w:pPr>
      <w:spacing w:after="120" w:line="240" w:lineRule="auto"/>
      <w:ind w:left="420" w:leftChars="200" w:firstLine="420" w:firstLineChars="200"/>
    </w:pPr>
    <w:rPr>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bCs/>
    </w:rPr>
  </w:style>
  <w:style w:type="character" w:styleId="23">
    <w:name w:val="Hyperlink"/>
    <w:basedOn w:val="21"/>
    <w:qFormat/>
    <w:uiPriority w:val="0"/>
    <w:rPr>
      <w:color w:val="0000FF"/>
      <w:u w:val="single"/>
    </w:rPr>
  </w:style>
  <w:style w:type="paragraph" w:customStyle="1" w:styleId="24">
    <w:name w:val="p0"/>
    <w:basedOn w:val="1"/>
    <w:qFormat/>
    <w:uiPriority w:val="0"/>
    <w:rPr>
      <w:rFonts w:ascii="Calibri" w:hAnsi="Calibri"/>
    </w:rPr>
  </w:style>
  <w:style w:type="paragraph" w:customStyle="1" w:styleId="25">
    <w:name w:val="msonormalcxspmiddle"/>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26">
    <w:name w:val="List Paragraph"/>
    <w:basedOn w:val="1"/>
    <w:qFormat/>
    <w:uiPriority w:val="34"/>
    <w:pPr>
      <w:ind w:firstLine="420" w:firstLineChars="200"/>
    </w:pPr>
    <w:rPr>
      <w:rFonts w:ascii="Calibri" w:hAnsi="Calibri" w:eastAsia="宋体" w:cs="Times New Roman"/>
    </w:rPr>
  </w:style>
  <w:style w:type="character" w:customStyle="1" w:styleId="27">
    <w:name w:val="font01"/>
    <w:basedOn w:val="21"/>
    <w:qFormat/>
    <w:uiPriority w:val="0"/>
    <w:rPr>
      <w:rFonts w:hint="eastAsia" w:ascii="宋体" w:hAnsi="宋体" w:eastAsia="宋体" w:cs="宋体"/>
      <w:color w:val="000000"/>
      <w:sz w:val="22"/>
      <w:szCs w:val="22"/>
      <w:u w:val="none"/>
    </w:r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 w:type="character" w:customStyle="1" w:styleId="31">
    <w:name w:val="font31"/>
    <w:basedOn w:val="21"/>
    <w:qFormat/>
    <w:uiPriority w:val="0"/>
    <w:rPr>
      <w:rFonts w:hint="eastAsia" w:ascii="宋体" w:hAnsi="宋体" w:eastAsia="宋体" w:cs="宋体"/>
      <w:color w:val="000000"/>
      <w:sz w:val="20"/>
      <w:szCs w:val="20"/>
      <w:u w:val="none"/>
    </w:rPr>
  </w:style>
  <w:style w:type="character" w:customStyle="1" w:styleId="32">
    <w:name w:val="font51"/>
    <w:basedOn w:val="21"/>
    <w:qFormat/>
    <w:uiPriority w:val="0"/>
    <w:rPr>
      <w:rFonts w:hint="eastAsia" w:ascii="宋体" w:hAnsi="宋体" w:eastAsia="宋体" w:cs="宋体"/>
      <w:color w:val="000000"/>
      <w:sz w:val="20"/>
      <w:szCs w:val="20"/>
      <w:u w:val="none"/>
    </w:rPr>
  </w:style>
  <w:style w:type="character" w:customStyle="1" w:styleId="33">
    <w:name w:val="font11"/>
    <w:basedOn w:val="21"/>
    <w:qFormat/>
    <w:uiPriority w:val="0"/>
    <w:rPr>
      <w:rFonts w:hint="default" w:ascii="Times New Roman" w:hAnsi="Times New Roman" w:cs="Times New Roman"/>
      <w:color w:val="000000"/>
      <w:sz w:val="20"/>
      <w:szCs w:val="20"/>
      <w:u w:val="none"/>
    </w:rPr>
  </w:style>
  <w:style w:type="character" w:customStyle="1" w:styleId="34">
    <w:name w:val="font21"/>
    <w:basedOn w:val="21"/>
    <w:qFormat/>
    <w:uiPriority w:val="0"/>
    <w:rPr>
      <w:rFonts w:hint="default" w:ascii="Times New Roman" w:hAnsi="Times New Roman" w:cs="Times New Roman"/>
      <w:color w:val="000000"/>
      <w:sz w:val="20"/>
      <w:szCs w:val="20"/>
      <w:u w:val="none"/>
    </w:rPr>
  </w:style>
  <w:style w:type="character" w:customStyle="1" w:styleId="35">
    <w:name w:val="标题 5 Char"/>
    <w:link w:val="7"/>
    <w:qFormat/>
    <w:uiPriority w:val="0"/>
    <w:rPr>
      <w:b/>
      <w:sz w:val="28"/>
    </w:rPr>
  </w:style>
  <w:style w:type="character" w:customStyle="1" w:styleId="36">
    <w:name w:val="标题 4 Char"/>
    <w:link w:val="6"/>
    <w:qFormat/>
    <w:uiPriority w:val="0"/>
    <w:rPr>
      <w:rFonts w:ascii="Arial" w:hAnsi="Arial" w:eastAsia="黑体" w:cs="Times New Roman"/>
      <w:b/>
      <w:sz w:val="28"/>
      <w:lang w:val="en-US" w:eastAsia="zh-CN" w:bidi="ar-SA"/>
    </w:rPr>
  </w:style>
  <w:style w:type="character" w:customStyle="1" w:styleId="37">
    <w:name w:val="标题 1 Char"/>
    <w:link w:val="2"/>
    <w:qFormat/>
    <w:uiPriority w:val="0"/>
    <w:rPr>
      <w:b/>
      <w:kern w:val="44"/>
      <w:sz w:val="44"/>
    </w:rPr>
  </w:style>
  <w:style w:type="character" w:customStyle="1" w:styleId="38">
    <w:name w:val="标题 2 Char"/>
    <w:link w:val="3"/>
    <w:qFormat/>
    <w:uiPriority w:val="0"/>
    <w:rPr>
      <w:rFonts w:ascii="Arial" w:hAnsi="Arial" w:eastAsia="黑体"/>
      <w:b/>
      <w:sz w:val="32"/>
    </w:rPr>
  </w:style>
  <w:style w:type="character" w:customStyle="1" w:styleId="39">
    <w:name w:val="font61"/>
    <w:basedOn w:val="21"/>
    <w:qFormat/>
    <w:uiPriority w:val="0"/>
    <w:rPr>
      <w:rFonts w:hint="eastAsia" w:ascii="宋体" w:hAnsi="宋体" w:eastAsia="宋体" w:cs="宋体"/>
      <w:b/>
      <w:bCs/>
      <w:color w:val="000000"/>
      <w:sz w:val="22"/>
      <w:szCs w:val="22"/>
      <w:u w:val="none"/>
    </w:rPr>
  </w:style>
  <w:style w:type="character" w:customStyle="1" w:styleId="40">
    <w:name w:val="font71"/>
    <w:basedOn w:val="21"/>
    <w:qFormat/>
    <w:uiPriority w:val="0"/>
    <w:rPr>
      <w:rFonts w:hint="eastAsia" w:ascii="仿宋" w:hAnsi="仿宋" w:eastAsia="仿宋" w:cs="仿宋"/>
      <w:color w:val="FF0000"/>
      <w:sz w:val="22"/>
      <w:szCs w:val="22"/>
      <w:u w:val="none"/>
    </w:rPr>
  </w:style>
  <w:style w:type="character" w:customStyle="1" w:styleId="41">
    <w:name w:val="font41"/>
    <w:basedOn w:val="21"/>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18409</Words>
  <Characters>19570</Characters>
  <Lines>0</Lines>
  <Paragraphs>0</Paragraphs>
  <TotalTime>21</TotalTime>
  <ScaleCrop>false</ScaleCrop>
  <LinksUpToDate>false</LinksUpToDate>
  <CharactersWithSpaces>19989</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2022-08-15T22:30:00Z</dcterms:created>
  <dc:creator>三月的柳絮不飞</dc:creator>
  <cp:lastModifiedBy>user</cp:lastModifiedBy>
  <cp:lastPrinted>2024-01-05T09:30:00Z</cp:lastPrinted>
  <dcterms:modified xsi:type="dcterms:W3CDTF">2026-08-21T10:57:18Z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03E0C1F4BB694FC6BF8199027E77C8B3_13</vt:lpwstr>
  </property>
</Properties>
</file>