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w:t>
      </w:r>
    </w:p>
    <w:p>
      <w:pPr>
        <w:spacing w:line="560" w:lineRule="exact"/>
        <w:rPr>
          <w:rFonts w:ascii="Times New Roman" w:hAnsi="Times New Roman" w:eastAsia="仿宋_GB2312" w:cs="Times New Roman"/>
          <w:kern w:val="0"/>
          <w:sz w:val="32"/>
          <w:szCs w:val="32"/>
        </w:rPr>
      </w:pPr>
    </w:p>
    <w:p>
      <w:pPr>
        <w:spacing w:line="560" w:lineRule="exact"/>
        <w:rPr>
          <w:rFonts w:ascii="Times New Roman" w:hAnsi="Times New Roman" w:eastAsia="仿宋_GB2312" w:cs="Times New Roman"/>
          <w:kern w:val="0"/>
          <w:sz w:val="32"/>
          <w:szCs w:val="32"/>
        </w:rPr>
      </w:pPr>
    </w:p>
    <w:p>
      <w:pPr>
        <w:spacing w:line="560" w:lineRule="exact"/>
        <w:rPr>
          <w:rFonts w:ascii="Times New Roman" w:hAnsi="Times New Roman" w:eastAsia="仿宋_GB2312" w:cs="Times New Roman"/>
          <w:kern w:val="0"/>
          <w:sz w:val="32"/>
          <w:szCs w:val="32"/>
        </w:rPr>
      </w:pPr>
    </w:p>
    <w:p>
      <w:pPr>
        <w:spacing w:line="560" w:lineRule="exact"/>
        <w:rPr>
          <w:rFonts w:ascii="Times New Roman" w:hAnsi="Times New Roman" w:eastAsia="仿宋_GB2312" w:cs="Times New Roman"/>
          <w:kern w:val="0"/>
          <w:sz w:val="32"/>
          <w:szCs w:val="32"/>
        </w:rPr>
      </w:pPr>
    </w:p>
    <w:p>
      <w:pPr>
        <w:spacing w:line="560" w:lineRule="exact"/>
        <w:rPr>
          <w:rFonts w:ascii="Times New Roman" w:hAnsi="Times New Roman" w:eastAsia="仿宋_GB2312" w:cs="Times New Roman"/>
          <w:kern w:val="0"/>
          <w:sz w:val="32"/>
          <w:szCs w:val="32"/>
        </w:rPr>
      </w:pPr>
    </w:p>
    <w:p>
      <w:pPr>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w:t>
      </w:r>
      <w:r>
        <w:rPr>
          <w:rFonts w:ascii="Times New Roman" w:hAnsi="Times New Roman" w:eastAsia="仿宋_GB2312" w:cs="Times New Roman"/>
          <w:sz w:val="32"/>
          <w:szCs w:val="32"/>
        </w:rPr>
        <w:t>泉丰金〔2022〕1号</w:t>
      </w: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泉州市丰泽区金融工作局</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关于印发《泉州市丰泽区金融工作局</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2021年政府信息公开年度报告》的通知</w:t>
      </w:r>
    </w:p>
    <w:p>
      <w:pPr>
        <w:spacing w:line="580" w:lineRule="exact"/>
        <w:rPr>
          <w:rFonts w:ascii="Times New Roman" w:hAnsi="Times New Roman" w:eastAsia="仿宋_GB2312" w:cs="Times New Roman"/>
          <w:sz w:val="32"/>
          <w:szCs w:val="32"/>
        </w:rPr>
      </w:pPr>
    </w:p>
    <w:p>
      <w:pPr>
        <w:spacing w:line="579"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局机关各股室、直属单位：</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现将《泉州市丰泽区金融工作局2021年政府信息公开年度报告》印发给你们，请针对报告中指出的问题认真进行整改落实。</w:t>
      </w:r>
    </w:p>
    <w:p>
      <w:pPr>
        <w:spacing w:line="579" w:lineRule="exact"/>
        <w:rPr>
          <w:rFonts w:ascii="Times New Roman" w:hAnsi="Times New Roman" w:eastAsia="仿宋_GB2312" w:cs="Times New Roman"/>
          <w:sz w:val="32"/>
          <w:szCs w:val="32"/>
        </w:rPr>
      </w:pPr>
    </w:p>
    <w:p>
      <w:pPr>
        <w:spacing w:line="579" w:lineRule="exact"/>
        <w:rPr>
          <w:rFonts w:ascii="Times New Roman" w:hAnsi="Times New Roman" w:eastAsia="仿宋_GB2312" w:cs="Times New Roman"/>
          <w:sz w:val="32"/>
          <w:szCs w:val="32"/>
        </w:rPr>
      </w:pPr>
    </w:p>
    <w:p>
      <w:pPr>
        <w:spacing w:line="579" w:lineRule="exact"/>
        <w:ind w:firstLine="4320" w:firstLineChars="1350"/>
        <w:rPr>
          <w:rFonts w:ascii="Times New Roman" w:hAnsi="Times New Roman" w:eastAsia="仿宋_GB2312" w:cs="Times New Roman"/>
          <w:sz w:val="32"/>
          <w:szCs w:val="32"/>
        </w:rPr>
      </w:pPr>
    </w:p>
    <w:p>
      <w:pPr>
        <w:spacing w:line="579" w:lineRule="exact"/>
        <w:ind w:firstLine="4320" w:firstLineChars="1350"/>
        <w:rPr>
          <w:rFonts w:ascii="Times New Roman" w:hAnsi="Times New Roman" w:eastAsia="仿宋_GB2312" w:cs="Times New Roman"/>
          <w:sz w:val="32"/>
          <w:szCs w:val="32"/>
        </w:rPr>
      </w:pPr>
      <w:r>
        <w:rPr>
          <w:rFonts w:ascii="Times New Roman" w:hAnsi="Times New Roman" w:eastAsia="仿宋_GB2312" w:cs="Times New Roman"/>
          <w:sz w:val="32"/>
          <w:szCs w:val="32"/>
        </w:rPr>
        <w:t>泉州市丰泽区金融工作局</w:t>
      </w:r>
    </w:p>
    <w:p>
      <w:pPr>
        <w:spacing w:line="579"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2022年1月5日</w:t>
      </w:r>
    </w:p>
    <w:p>
      <w:pPr>
        <w:spacing w:line="579" w:lineRule="exact"/>
        <w:rPr>
          <w:rFonts w:ascii="Times New Roman" w:hAnsi="Times New Roman" w:eastAsia="仿宋_GB2312" w:cs="Times New Roman"/>
          <w:kern w:val="0"/>
          <w:sz w:val="32"/>
          <w:szCs w:val="32"/>
        </w:rPr>
      </w:pPr>
    </w:p>
    <w:p>
      <w:pPr>
        <w:spacing w:line="579" w:lineRule="exact"/>
        <w:rPr>
          <w:rFonts w:ascii="Times New Roman" w:hAnsi="Times New Roman" w:eastAsia="仿宋_GB2312" w:cs="Times New Roman"/>
          <w:kern w:val="0"/>
          <w:sz w:val="32"/>
          <w:szCs w:val="32"/>
        </w:rPr>
      </w:pPr>
    </w:p>
    <w:p>
      <w:pPr>
        <w:spacing w:line="579"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泉州市丰泽区金融工作局</w:t>
      </w:r>
    </w:p>
    <w:p>
      <w:pPr>
        <w:spacing w:line="579"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2021年政府信息公开年度报告</w:t>
      </w:r>
    </w:p>
    <w:p>
      <w:pPr>
        <w:spacing w:line="579" w:lineRule="exact"/>
        <w:ind w:firstLine="640" w:firstLineChars="200"/>
        <w:rPr>
          <w:rFonts w:ascii="Times New Roman" w:hAnsi="Times New Roman" w:eastAsia="黑体" w:cs="Times New Roman"/>
          <w:sz w:val="32"/>
          <w:szCs w:val="32"/>
        </w:rPr>
      </w:pPr>
    </w:p>
    <w:p>
      <w:pPr>
        <w:spacing w:line="579"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年报根据《中华人民共和国政府信息公开条例》（以下简称《条例》）、《福建省政府信息公开办法》（以下简称《办法》）、国务院办公厅《国务院办公厅政府信息与政务公开办公室关于政府信息公开工作年度报告有关事项的通知》（国办公开办函〔2019〕60号）、福建省人民政府办公厅、泉州市人民政府办公室、丰泽区人民政府办公室相关文件要求进行编制。本年报由总体情况，主动公开政府信息情况，收到和处理政府信息公开申请情况，政府信息公开行政复议、行政诉讼情况，存在的主要问题及改进情况，其他需要报告的事项等六部分组成。本年报中所列数据的统计时限自2021年1月1日起至2021年12月31日止。本年度报告的电子版可从“丰泽区人民政府”门户网站（http://www.qzfz.gov.cn）下载。如对本年报有疑问，请与丰泽区金融局办公室联系（地址：泉州市丰泽区丰泽街道妙云街160号树脂大楼801，邮编：362000，电话：0595-22505003）。</w:t>
      </w:r>
    </w:p>
    <w:p>
      <w:pPr>
        <w:pStyle w:val="5"/>
        <w:spacing w:before="0" w:beforeAutospacing="0" w:after="0" w:afterAutospacing="0" w:line="579" w:lineRule="exact"/>
        <w:ind w:firstLine="640" w:firstLineChars="200"/>
        <w:jc w:val="both"/>
        <w:rPr>
          <w:rFonts w:ascii="Times New Roman" w:hAnsi="Times New Roman" w:eastAsia="黑体" w:cs="Times New Roman"/>
          <w:bCs/>
          <w:color w:val="000000"/>
          <w:sz w:val="32"/>
          <w:szCs w:val="28"/>
        </w:rPr>
      </w:pPr>
      <w:r>
        <w:rPr>
          <w:rFonts w:ascii="Times New Roman" w:hAnsi="Times New Roman" w:eastAsia="黑体" w:cs="Times New Roman"/>
          <w:bCs/>
          <w:color w:val="000000"/>
          <w:sz w:val="32"/>
          <w:szCs w:val="28"/>
        </w:rPr>
        <w:t>一、总体情况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2021年，我局严格按照有关政府信息公开工作的部署要求，结合我局工作职责，不断加强组织领导，强化制度建设，探索公开载体，拓宽公开领域，全面推动政府信息主动公开。</w:t>
      </w:r>
    </w:p>
    <w:p>
      <w:pPr>
        <w:spacing w:line="579"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（一）主动公开政府信息的情况</w:t>
      </w:r>
    </w:p>
    <w:p>
      <w:pPr>
        <w:spacing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2021年，我局主动公开政府信息12条，全文电子化率100%。</w:t>
      </w:r>
      <w:r>
        <w:rPr>
          <w:rFonts w:ascii="Times New Roman" w:hAnsi="Times New Roman" w:eastAsia="仿宋_GB2312" w:cs="Times New Roman"/>
          <w:sz w:val="32"/>
          <w:szCs w:val="32"/>
        </w:rPr>
        <w:t>公开的形式主要是丰泽政府网以及丰泽区档案馆政府信息公共查阅中心公开。</w:t>
      </w:r>
    </w:p>
    <w:p>
      <w:pPr>
        <w:spacing w:line="579"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（二）依申请公开政府信息情况</w:t>
      </w:r>
    </w:p>
    <w:p>
      <w:pPr>
        <w:spacing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2021年我局受理政府信息公开申请1件，当面申请0件。</w:t>
      </w:r>
    </w:p>
    <w:p>
      <w:pPr>
        <w:spacing w:line="579"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（三）政府信息公开行政复议、行政诉讼情况</w:t>
      </w:r>
    </w:p>
    <w:p>
      <w:pPr>
        <w:spacing w:line="579"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2021年我局未发生针对政府信息公开工作提起的行政复议案件、行政诉讼案件和申诉。</w:t>
      </w:r>
    </w:p>
    <w:p>
      <w:pPr>
        <w:spacing w:line="579" w:lineRule="exact"/>
        <w:ind w:firstLine="643" w:firstLineChars="200"/>
        <w:rPr>
          <w:rFonts w:ascii="Times New Roman" w:hAnsi="Times New Roman" w:eastAsia="楷体" w:cs="Times New Roman"/>
          <w:b/>
          <w:bCs/>
          <w:sz w:val="32"/>
          <w:szCs w:val="32"/>
        </w:rPr>
      </w:pPr>
      <w:r>
        <w:rPr>
          <w:rFonts w:ascii="Times New Roman" w:hAnsi="Times New Roman" w:eastAsia="楷体_GB2312" w:cs="Times New Roman"/>
          <w:b/>
          <w:bCs/>
          <w:sz w:val="32"/>
          <w:szCs w:val="32"/>
        </w:rPr>
        <w:t>（四）</w:t>
      </w:r>
      <w:r>
        <w:rPr>
          <w:rFonts w:ascii="Times New Roman" w:hAnsi="Times New Roman" w:eastAsia="楷体" w:cs="Times New Roman"/>
          <w:b/>
          <w:bCs/>
          <w:sz w:val="32"/>
          <w:szCs w:val="32"/>
        </w:rPr>
        <w:t>政府信息管理情况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 w:cs="Times New Roman"/>
          <w:sz w:val="32"/>
          <w:szCs w:val="32"/>
        </w:rPr>
        <w:t>第一，建立健全政府信息发布协调制度，认真学习《中华人民共和国政府信息公开条例》，完善主动公开目录，深入推进“五公开”；第二，加强政府信息公开保密审查力度，做好公文类信息公开审核工作，既保证应当公开的政府信息能够公开，又确保不应公开的政府信息不被公开；第三，推进政府信息公开动态调整制度，根据上级政务公开工作要点及时制定发布政务公开工作要点，并结合本部门中心工作，保证各栏目信息动态更新；第四，完善依申请公开制度，畅通申请渠道，简化网上申请填报手续，规范答复函格式和答复用语，提升信息公开水平。</w:t>
      </w:r>
    </w:p>
    <w:p>
      <w:pPr>
        <w:spacing w:line="579"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（五）平台建设情况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严格按照有关政府信息公开工作的部署要求，完善“丰泽政府网”中区金融工作局信息公开栏目，公开本单位《政府信息公开指南》，按时公开信息公开目录及法定主动公开内容，不断提高政府信息公开实效，努力满足公众对政府信息的需求。</w:t>
      </w:r>
    </w:p>
    <w:p>
      <w:pPr>
        <w:widowControl/>
        <w:spacing w:line="579"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（五）监督保障情况</w:t>
      </w:r>
    </w:p>
    <w:p>
      <w:pPr>
        <w:widowControl/>
        <w:spacing w:line="579"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切实加强组织领导。调整了由局长任组长、机关各股室负责人为成员的政府信息公开工作领导小组，指定办公室为具体工作机构，按照职能职责的要求把好审核和审签关，确保信息公开的准确性、权威性、完整性和时效性。同时，建立长效机制，应公开的信息全部公开，落实责任到人，指定专人负责答复政务信息公开申请、信息公开统计及分析。</w:t>
      </w:r>
    </w:p>
    <w:p>
      <w:pPr>
        <w:pStyle w:val="5"/>
        <w:spacing w:before="0" w:beforeAutospacing="0" w:after="0" w:afterAutospacing="0" w:line="579" w:lineRule="exact"/>
        <w:ind w:firstLine="640" w:firstLineChars="200"/>
        <w:jc w:val="both"/>
        <w:rPr>
          <w:rFonts w:ascii="Times New Roman" w:hAnsi="Times New Roman" w:eastAsia="黑体" w:cs="Times New Roman"/>
          <w:bCs/>
          <w:color w:val="000000"/>
          <w:sz w:val="32"/>
          <w:szCs w:val="28"/>
        </w:rPr>
      </w:pPr>
      <w:r>
        <w:rPr>
          <w:rFonts w:ascii="Times New Roman" w:hAnsi="Times New Roman" w:eastAsia="黑体" w:cs="Times New Roman"/>
          <w:bCs/>
          <w:color w:val="000000"/>
          <w:sz w:val="32"/>
          <w:szCs w:val="28"/>
        </w:rPr>
        <w:t>二、主动公开政府信息情况</w:t>
      </w:r>
    </w:p>
    <w:tbl>
      <w:tblPr>
        <w:tblStyle w:val="6"/>
        <w:tblW w:w="5000" w:type="pct"/>
        <w:jc w:val="center"/>
        <w:tblLayout w:type="autofit"/>
        <w:tblCellMar>
          <w:top w:w="0" w:type="dxa"/>
          <w:left w:w="0" w:type="dxa"/>
          <w:bottom w:w="0" w:type="dxa"/>
          <w:right w:w="0" w:type="dxa"/>
        </w:tblCellMar>
      </w:tblPr>
      <w:tblGrid>
        <w:gridCol w:w="2239"/>
        <w:gridCol w:w="2239"/>
        <w:gridCol w:w="2240"/>
        <w:gridCol w:w="2240"/>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信息内容</w:t>
            </w:r>
          </w:p>
        </w:tc>
        <w:tc>
          <w:tcPr>
            <w:tcW w:w="1250" w:type="pct"/>
            <w:tcBorders>
              <w:top w:val="single" w:color="auto" w:sz="8" w:space="0"/>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本年</w:t>
            </w:r>
            <w:r>
              <w:rPr>
                <w:rFonts w:ascii="Times New Roman" w:hAnsi="Times New Roman" w:cs="Times New Roman"/>
                <w:kern w:val="0"/>
                <w:sz w:val="20"/>
                <w:szCs w:val="20"/>
              </w:rPr>
              <w:t>制发件数</w:t>
            </w:r>
          </w:p>
        </w:tc>
        <w:tc>
          <w:tcPr>
            <w:tcW w:w="1250" w:type="pct"/>
            <w:tcBorders>
              <w:top w:val="single" w:color="auto" w:sz="8" w:space="0"/>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本年废止件数</w:t>
            </w:r>
          </w:p>
        </w:tc>
        <w:tc>
          <w:tcPr>
            <w:tcW w:w="1250" w:type="pct"/>
            <w:tcBorders>
              <w:top w:val="single" w:color="auto" w:sz="8" w:space="0"/>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现行有效件</w:t>
            </w:r>
            <w:r>
              <w:rPr>
                <w:rFonts w:ascii="Times New Roman" w:hAnsi="Times New Roman" w:cs="Times New Roman"/>
                <w:kern w:val="0"/>
                <w:sz w:val="20"/>
                <w:szCs w:val="20"/>
              </w:rPr>
              <w:t>数</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color w:val="000000"/>
                <w:kern w:val="0"/>
                <w:sz w:val="20"/>
                <w:szCs w:val="20"/>
              </w:rPr>
              <w:t>规章</w:t>
            </w:r>
          </w:p>
        </w:tc>
        <w:tc>
          <w:tcPr>
            <w:tcW w:w="1250" w:type="pct"/>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0</w:t>
            </w:r>
          </w:p>
        </w:tc>
        <w:tc>
          <w:tcPr>
            <w:tcW w:w="1250" w:type="pct"/>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0</w:t>
            </w:r>
          </w:p>
        </w:tc>
        <w:tc>
          <w:tcPr>
            <w:tcW w:w="1250" w:type="pct"/>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Cs w:val="21"/>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color w:val="000000"/>
                <w:kern w:val="0"/>
                <w:sz w:val="20"/>
                <w:szCs w:val="20"/>
              </w:rPr>
              <w:t>行政规范性文件</w:t>
            </w:r>
          </w:p>
        </w:tc>
        <w:tc>
          <w:tcPr>
            <w:tcW w:w="1250" w:type="pct"/>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0</w:t>
            </w:r>
          </w:p>
        </w:tc>
        <w:tc>
          <w:tcPr>
            <w:tcW w:w="1250" w:type="pct"/>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0</w:t>
            </w:r>
          </w:p>
        </w:tc>
        <w:tc>
          <w:tcPr>
            <w:tcW w:w="1250" w:type="pct"/>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Cs w:val="21"/>
              </w:rPr>
              <w:t>2</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信息内容</w:t>
            </w:r>
          </w:p>
        </w:tc>
        <w:tc>
          <w:tcPr>
            <w:tcW w:w="3750" w:type="pct"/>
            <w:gridSpan w:val="3"/>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color w:val="000000"/>
                <w:kern w:val="0"/>
                <w:sz w:val="20"/>
                <w:szCs w:val="20"/>
              </w:rPr>
              <w:t>行政许可</w:t>
            </w:r>
          </w:p>
        </w:tc>
        <w:tc>
          <w:tcPr>
            <w:tcW w:w="3750" w:type="pct"/>
            <w:gridSpan w:val="3"/>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Cs w:val="21"/>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信息内容</w:t>
            </w:r>
          </w:p>
        </w:tc>
        <w:tc>
          <w:tcPr>
            <w:tcW w:w="3750" w:type="pct"/>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color w:val="000000"/>
                <w:kern w:val="0"/>
                <w:sz w:val="20"/>
                <w:szCs w:val="20"/>
              </w:rPr>
              <w:t>行政处罚</w:t>
            </w:r>
          </w:p>
        </w:tc>
        <w:tc>
          <w:tcPr>
            <w:tcW w:w="3750" w:type="pct"/>
            <w:gridSpan w:val="3"/>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color w:val="000000"/>
                <w:kern w:val="0"/>
                <w:sz w:val="20"/>
                <w:szCs w:val="20"/>
              </w:rPr>
              <w:t>行政强制</w:t>
            </w:r>
          </w:p>
        </w:tc>
        <w:tc>
          <w:tcPr>
            <w:tcW w:w="3750" w:type="pct"/>
            <w:gridSpan w:val="3"/>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信息内容</w:t>
            </w:r>
          </w:p>
        </w:tc>
        <w:tc>
          <w:tcPr>
            <w:tcW w:w="3750" w:type="pct"/>
            <w:gridSpan w:val="3"/>
            <w:tcBorders>
              <w:top w:val="nil"/>
              <w:left w:val="nil"/>
              <w:bottom w:val="single" w:color="auto" w:sz="8" w:space="0"/>
              <w:right w:val="single" w:color="000000"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color w:val="000000"/>
                <w:kern w:val="0"/>
                <w:sz w:val="20"/>
                <w:szCs w:val="20"/>
              </w:rPr>
              <w:t>行政事业性收费</w:t>
            </w:r>
          </w:p>
        </w:tc>
        <w:tc>
          <w:tcPr>
            <w:tcW w:w="3750" w:type="pct"/>
            <w:gridSpan w:val="3"/>
            <w:tcBorders>
              <w:top w:val="nil"/>
              <w:left w:val="nil"/>
              <w:bottom w:val="single" w:color="auto" w:sz="8" w:space="0"/>
              <w:right w:val="single" w:color="000000" w:sz="8" w:space="0"/>
            </w:tcBorders>
            <w:tcMar>
              <w:left w:w="57" w:type="dxa"/>
              <w:right w:w="57" w:type="dxa"/>
            </w:tcMar>
            <w:vAlign w:val="center"/>
          </w:tcPr>
          <w:p>
            <w:pPr>
              <w:spacing w:line="579" w:lineRule="exact"/>
              <w:jc w:val="center"/>
              <w:rPr>
                <w:rFonts w:ascii="Times New Roman" w:hAnsi="Times New Roman" w:cs="Times New Roman"/>
                <w:sz w:val="24"/>
              </w:rPr>
            </w:pPr>
            <w:r>
              <w:rPr>
                <w:rFonts w:ascii="Times New Roman" w:hAnsi="Times New Roman" w:cs="Times New Roman"/>
                <w:sz w:val="24"/>
              </w:rPr>
              <w:t>0</w:t>
            </w:r>
          </w:p>
        </w:tc>
      </w:tr>
    </w:tbl>
    <w:p>
      <w:pPr>
        <w:pStyle w:val="5"/>
        <w:spacing w:before="0" w:beforeAutospacing="0" w:after="0" w:afterAutospacing="0" w:line="579" w:lineRule="exact"/>
        <w:ind w:firstLine="640" w:firstLineChars="200"/>
        <w:jc w:val="both"/>
        <w:rPr>
          <w:rFonts w:ascii="Times New Roman" w:hAnsi="Times New Roman" w:eastAsia="黑体" w:cs="Times New Roman"/>
          <w:bCs/>
          <w:color w:val="000000"/>
          <w:sz w:val="32"/>
          <w:szCs w:val="28"/>
        </w:rPr>
      </w:pPr>
      <w:r>
        <w:rPr>
          <w:rFonts w:ascii="Times New Roman" w:hAnsi="Times New Roman" w:eastAsia="黑体" w:cs="Times New Roman"/>
          <w:bCs/>
          <w:color w:val="000000"/>
          <w:sz w:val="32"/>
          <w:szCs w:val="28"/>
        </w:rPr>
        <w:t>三、收到和处理政府信息公开申请情况</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28"/>
        <w:gridCol w:w="1007"/>
        <w:gridCol w:w="2990"/>
        <w:gridCol w:w="461"/>
        <w:gridCol w:w="489"/>
        <w:gridCol w:w="489"/>
        <w:gridCol w:w="783"/>
        <w:gridCol w:w="783"/>
        <w:gridCol w:w="489"/>
        <w:gridCol w:w="4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spacing w:line="579" w:lineRule="exact"/>
              <w:jc w:val="left"/>
              <w:rPr>
                <w:rFonts w:ascii="Times New Roman" w:hAnsi="Times New Roman" w:cs="Times New Roman"/>
              </w:rPr>
            </w:pPr>
            <w:r>
              <w:rPr>
                <w:rFonts w:ascii="Times New Roman" w:hAnsi="Times New Roman" w:eastAsia="楷体" w:cs="Times New Roman"/>
                <w:kern w:val="0"/>
                <w:sz w:val="20"/>
                <w:szCs w:val="20"/>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p>
        </w:tc>
        <w:tc>
          <w:tcPr>
            <w:tcW w:w="0" w:type="auto"/>
            <w:vMerge w:val="restart"/>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自然人</w:t>
            </w:r>
          </w:p>
        </w:tc>
        <w:tc>
          <w:tcPr>
            <w:tcW w:w="0" w:type="auto"/>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法人或其他组织</w:t>
            </w:r>
          </w:p>
        </w:tc>
        <w:tc>
          <w:tcPr>
            <w:tcW w:w="0" w:type="auto"/>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single"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商业</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企业</w:t>
            </w:r>
          </w:p>
        </w:tc>
        <w:tc>
          <w:tcPr>
            <w:tcW w:w="0" w:type="auto"/>
            <w:tcBorders>
              <w:top w:val="nil"/>
              <w:left w:val="nil"/>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科研</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机构</w:t>
            </w:r>
          </w:p>
        </w:tc>
        <w:tc>
          <w:tcPr>
            <w:tcW w:w="0" w:type="auto"/>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社会公益组织</w:t>
            </w:r>
          </w:p>
        </w:tc>
        <w:tc>
          <w:tcPr>
            <w:tcW w:w="0" w:type="auto"/>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法律服务机构</w:t>
            </w:r>
          </w:p>
        </w:tc>
        <w:tc>
          <w:tcPr>
            <w:tcW w:w="0" w:type="auto"/>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其他</w:t>
            </w:r>
          </w:p>
        </w:tc>
        <w:tc>
          <w:tcPr>
            <w:tcW w:w="0" w:type="auto"/>
            <w:vMerge w:val="continue"/>
            <w:tcBorders>
              <w:top w:val="single" w:color="auto" w:sz="8" w:space="0"/>
              <w:left w:val="nil"/>
              <w:bottom w:val="outset"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一、本年新收政府信息公开申请数量</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1</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二、上年结转政府信息公开申请数量</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三、本年度办理结果</w:t>
            </w:r>
          </w:p>
        </w:tc>
        <w:tc>
          <w:tcPr>
            <w:tcW w:w="0" w:type="auto"/>
            <w:gridSpan w:val="2"/>
            <w:tcBorders>
              <w:top w:val="nil"/>
              <w:left w:val="nil"/>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（一）予以公开</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single" w:color="auto" w:sz="8" w:space="0"/>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gridSpan w:val="2"/>
            <w:tcBorders>
              <w:top w:val="nil"/>
              <w:left w:val="nil"/>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（二）部分公开</w:t>
            </w:r>
            <w:r>
              <w:rPr>
                <w:rFonts w:ascii="Times New Roman" w:hAnsi="Times New Roman" w:eastAsia="楷体" w:cs="Times New Roman"/>
                <w:kern w:val="0"/>
                <w:sz w:val="20"/>
                <w:szCs w:val="20"/>
              </w:rPr>
              <w:t>（区分处理的，只计这一情形，不计其他情形）</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restart"/>
            <w:tcBorders>
              <w:top w:val="nil"/>
              <w:left w:val="nil"/>
              <w:bottom w:val="outset"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（三）不予公开</w:t>
            </w: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1.属于国家秘密</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single" w:color="auto" w:sz="8" w:space="0"/>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2.其他法律行政法规禁止公开</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3.危及“三安全一稳定”</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4.保护第三方合法权益</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5.属于三类内部事务信息</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6.属于四类过程性信息</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7.属于行政执法案卷</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8.属于行政查询事项</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restart"/>
            <w:tcBorders>
              <w:top w:val="nil"/>
              <w:left w:val="nil"/>
              <w:bottom w:val="outset"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（四）无法提供</w:t>
            </w: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1.本机关不掌握相关政府信息</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2.没有现成信息需要另行制作</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1</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3.补正后申请内容仍不明确</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restart"/>
            <w:tcBorders>
              <w:top w:val="nil"/>
              <w:left w:val="nil"/>
              <w:bottom w:val="outset"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（五）不予处理</w:t>
            </w: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1.信访举报投诉类申请</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2.重复申请</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3.要求提供公开出版物</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4.无正当理由大量反复申请</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nil"/>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outset" w:color="auto" w:sz="8" w:space="0"/>
              <w:right w:val="single" w:color="auto" w:sz="8" w:space="0"/>
            </w:tcBorders>
            <w:tcMar>
              <w:left w:w="57" w:type="dxa"/>
              <w:right w:w="57" w:type="dxa"/>
            </w:tcMar>
            <w:vAlign w:val="center"/>
          </w:tcPr>
          <w:p>
            <w:pPr>
              <w:widowControl/>
              <w:spacing w:line="579" w:lineRule="exact"/>
              <w:rPr>
                <w:rFonts w:ascii="Times New Roman" w:hAnsi="Times New Roman" w:cs="Times New Roman"/>
              </w:rPr>
            </w:pPr>
            <w:r>
              <w:rPr>
                <w:rFonts w:ascii="Times New Roman" w:hAnsi="Times New Roman" w:cs="Times New Roman"/>
                <w:kern w:val="0"/>
                <w:sz w:val="20"/>
                <w:szCs w:val="20"/>
              </w:rPr>
              <w:t>5.要求行政机关确认或重新出具已获取信息</w:t>
            </w:r>
          </w:p>
        </w:tc>
        <w:tc>
          <w:tcPr>
            <w:tcW w:w="0" w:type="auto"/>
            <w:tcBorders>
              <w:top w:val="nil"/>
              <w:left w:val="nil"/>
              <w:bottom w:val="outset"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outset"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outset"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outset"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outset"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outset"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outset"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（六）其他处理</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rPr>
                <w:rFonts w:ascii="Times New Roman" w:hAnsi="Times New Roman" w:cs="Times New Roman"/>
              </w:rPr>
            </w:pPr>
            <w:r>
              <w:rPr>
                <w:rFonts w:ascii="Times New Roman" w:hAnsi="Times New Roman" w:cs="Times New Roman"/>
                <w:kern w:val="0"/>
                <w:sz w:val="20"/>
                <w:szCs w:val="20"/>
              </w:rPr>
              <w:t>1.申请人无正当理由逾期不补正、行政机关不再处理其政府信息公开申请</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outset" w:color="auto" w:sz="8" w:space="0"/>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rPr>
                <w:rFonts w:ascii="Times New Roman" w:hAnsi="Times New Roman" w:cs="Times New Roman"/>
              </w:rPr>
            </w:pPr>
            <w:r>
              <w:rPr>
                <w:rFonts w:ascii="Times New Roman" w:hAnsi="Times New Roman" w:cs="Times New Roman"/>
                <w:kern w:val="0"/>
                <w:sz w:val="20"/>
                <w:szCs w:val="20"/>
              </w:rPr>
              <w:t>2.申请人逾期未按收费通知要求缴纳费用、行政机关不再处理其政府信息公开申请</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vMerge w:val="continue"/>
            <w:tcBorders>
              <w:top w:val="outset" w:color="auto" w:sz="8" w:space="0"/>
              <w:left w:val="nil"/>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3.其他</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tcMar>
              <w:left w:w="57" w:type="dxa"/>
              <w:right w:w="57" w:type="dxa"/>
            </w:tcMar>
            <w:vAlign w:val="center"/>
          </w:tcPr>
          <w:p>
            <w:pPr>
              <w:spacing w:line="579" w:lineRule="exact"/>
              <w:rPr>
                <w:rFonts w:ascii="Times New Roman" w:hAnsi="Times New Roman" w:cs="Times New Roman"/>
                <w:sz w:val="24"/>
              </w:rPr>
            </w:pPr>
          </w:p>
        </w:tc>
        <w:tc>
          <w:tcPr>
            <w:tcW w:w="0" w:type="auto"/>
            <w:gridSpan w:val="2"/>
            <w:tcBorders>
              <w:top w:val="nil"/>
              <w:left w:val="nil"/>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（七）总计</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1</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spacing w:line="579" w:lineRule="exact"/>
              <w:jc w:val="left"/>
              <w:rPr>
                <w:rFonts w:ascii="Times New Roman" w:hAnsi="Times New Roman" w:cs="Times New Roman"/>
              </w:rPr>
            </w:pPr>
            <w:r>
              <w:rPr>
                <w:rFonts w:ascii="Times New Roman" w:hAnsi="Times New Roman" w:cs="Times New Roman"/>
                <w:kern w:val="0"/>
                <w:sz w:val="20"/>
                <w:szCs w:val="20"/>
              </w:rPr>
              <w:t>四、结转下年度继续办理</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 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0 </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c>
          <w:tcPr>
            <w:tcW w:w="0" w:type="auto"/>
            <w:tcBorders>
              <w:top w:val="nil"/>
              <w:left w:val="nil"/>
              <w:bottom w:val="single" w:color="auto" w:sz="8" w:space="0"/>
              <w:right w:val="single" w:color="auto" w:sz="8" w:space="0"/>
            </w:tcBorders>
            <w:tcMar>
              <w:left w:w="57" w:type="dxa"/>
              <w:right w:w="57"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0</w:t>
            </w:r>
          </w:p>
        </w:tc>
      </w:tr>
    </w:tbl>
    <w:p>
      <w:pPr>
        <w:pStyle w:val="5"/>
        <w:spacing w:before="0" w:beforeAutospacing="0" w:after="0" w:afterAutospacing="0" w:line="579" w:lineRule="exact"/>
        <w:jc w:val="both"/>
        <w:rPr>
          <w:rFonts w:ascii="Times New Roman" w:hAnsi="Times New Roman" w:eastAsia="方正仿宋简体" w:cs="Times New Roman"/>
          <w:color w:val="000000"/>
          <w:sz w:val="28"/>
          <w:szCs w:val="28"/>
        </w:rPr>
      </w:pPr>
    </w:p>
    <w:p>
      <w:pPr>
        <w:pStyle w:val="5"/>
        <w:spacing w:before="0" w:beforeAutospacing="0" w:after="0" w:afterAutospacing="0" w:line="579" w:lineRule="exact"/>
        <w:ind w:firstLine="640" w:firstLineChars="200"/>
        <w:jc w:val="both"/>
        <w:rPr>
          <w:rFonts w:ascii="Times New Roman" w:hAnsi="Times New Roman" w:eastAsia="黑体" w:cs="Times New Roman"/>
          <w:bCs/>
          <w:color w:val="000000"/>
          <w:sz w:val="32"/>
          <w:szCs w:val="28"/>
        </w:rPr>
      </w:pPr>
    </w:p>
    <w:p>
      <w:pPr>
        <w:pStyle w:val="5"/>
        <w:spacing w:before="0" w:beforeAutospacing="0" w:after="0" w:afterAutospacing="0" w:line="579" w:lineRule="exact"/>
        <w:ind w:firstLine="640" w:firstLineChars="200"/>
        <w:jc w:val="both"/>
        <w:rPr>
          <w:rFonts w:ascii="Times New Roman" w:hAnsi="Times New Roman" w:eastAsia="黑体" w:cs="Times New Roman"/>
          <w:bCs/>
          <w:color w:val="000000"/>
          <w:sz w:val="32"/>
          <w:szCs w:val="28"/>
        </w:rPr>
      </w:pPr>
      <w:r>
        <w:rPr>
          <w:rFonts w:ascii="Times New Roman" w:hAnsi="Times New Roman" w:eastAsia="黑体" w:cs="Times New Roman"/>
          <w:bCs/>
          <w:color w:val="000000"/>
          <w:sz w:val="32"/>
          <w:szCs w:val="28"/>
        </w:rPr>
        <w:t>四、政府信息公开行政复议、行政诉讼情况</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913"/>
        <w:gridCol w:w="581"/>
        <w:gridCol w:w="582"/>
        <w:gridCol w:w="582"/>
        <w:gridCol w:w="582"/>
        <w:gridCol w:w="582"/>
        <w:gridCol w:w="582"/>
        <w:gridCol w:w="582"/>
        <w:gridCol w:w="582"/>
        <w:gridCol w:w="582"/>
        <w:gridCol w:w="582"/>
        <w:gridCol w:w="582"/>
        <w:gridCol w:w="582"/>
        <w:gridCol w:w="582"/>
        <w:gridCol w:w="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行政复议</w:t>
            </w:r>
          </w:p>
        </w:tc>
        <w:tc>
          <w:tcPr>
            <w:tcW w:w="0" w:type="auto"/>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结果维持</w:t>
            </w:r>
          </w:p>
        </w:tc>
        <w:tc>
          <w:tcPr>
            <w:tcW w:w="0" w:type="auto"/>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结果</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纠正</w:t>
            </w:r>
          </w:p>
        </w:tc>
        <w:tc>
          <w:tcPr>
            <w:tcW w:w="0" w:type="auto"/>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其他</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结果</w:t>
            </w:r>
          </w:p>
        </w:tc>
        <w:tc>
          <w:tcPr>
            <w:tcW w:w="0" w:type="auto"/>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尚未</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审结</w:t>
            </w:r>
          </w:p>
        </w:tc>
        <w:tc>
          <w:tcPr>
            <w:tcW w:w="0" w:type="auto"/>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总计</w:t>
            </w:r>
          </w:p>
        </w:tc>
        <w:tc>
          <w:tcPr>
            <w:tcW w:w="0" w:type="auto"/>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未经复议直接起诉</w:t>
            </w:r>
          </w:p>
        </w:tc>
        <w:tc>
          <w:tcPr>
            <w:tcW w:w="0" w:type="auto"/>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p>
        </w:tc>
        <w:tc>
          <w:tcPr>
            <w:tcW w:w="0" w:type="auto"/>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p>
        </w:tc>
        <w:tc>
          <w:tcPr>
            <w:tcW w:w="0" w:type="auto"/>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p>
        </w:tc>
        <w:tc>
          <w:tcPr>
            <w:tcW w:w="0" w:type="auto"/>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p>
        </w:tc>
        <w:tc>
          <w:tcPr>
            <w:tcW w:w="0" w:type="auto"/>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结果</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维持</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结果</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纠正</w:t>
            </w:r>
          </w:p>
        </w:tc>
        <w:tc>
          <w:tcPr>
            <w:tcW w:w="0" w:type="auto"/>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其他</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结果</w:t>
            </w:r>
          </w:p>
        </w:tc>
        <w:tc>
          <w:tcPr>
            <w:tcW w:w="0" w:type="auto"/>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尚未</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审结</w:t>
            </w:r>
          </w:p>
        </w:tc>
        <w:tc>
          <w:tcPr>
            <w:tcW w:w="0" w:type="auto"/>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总计</w:t>
            </w:r>
          </w:p>
        </w:tc>
        <w:tc>
          <w:tcPr>
            <w:tcW w:w="0" w:type="auto"/>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结果</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维持</w:t>
            </w:r>
          </w:p>
        </w:tc>
        <w:tc>
          <w:tcPr>
            <w:tcW w:w="0" w:type="auto"/>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结果</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纠正</w:t>
            </w:r>
          </w:p>
        </w:tc>
        <w:tc>
          <w:tcPr>
            <w:tcW w:w="0" w:type="auto"/>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其他</w:t>
            </w:r>
          </w:p>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结果</w:t>
            </w:r>
          </w:p>
        </w:tc>
        <w:tc>
          <w:tcPr>
            <w:tcW w:w="0" w:type="auto"/>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kern w:val="0"/>
                <w:sz w:val="20"/>
                <w:szCs w:val="20"/>
              </w:rPr>
            </w:pPr>
            <w:r>
              <w:rPr>
                <w:rFonts w:ascii="Times New Roman" w:hAnsi="Times New Roman" w:cs="Times New Roman"/>
                <w:kern w:val="0"/>
                <w:sz w:val="20"/>
                <w:szCs w:val="20"/>
              </w:rPr>
              <w:t>尚未</w:t>
            </w:r>
          </w:p>
          <w:p>
            <w:pPr>
              <w:widowControl/>
              <w:spacing w:line="579" w:lineRule="exact"/>
              <w:jc w:val="center"/>
              <w:rPr>
                <w:rFonts w:ascii="Times New Roman" w:hAnsi="Times New Roman" w:cs="Times New Roman"/>
              </w:rPr>
            </w:pPr>
            <w:r>
              <w:rPr>
                <w:rFonts w:ascii="Times New Roman" w:hAnsi="Times New Roman" w:cs="Times New Roman"/>
                <w:kern w:val="0"/>
                <w:sz w:val="20"/>
                <w:szCs w:val="20"/>
              </w:rPr>
              <w:t>审结</w:t>
            </w:r>
          </w:p>
        </w:tc>
        <w:tc>
          <w:tcPr>
            <w:tcW w:w="0" w:type="auto"/>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79" w:lineRule="exact"/>
              <w:jc w:val="center"/>
              <w:rPr>
                <w:rFonts w:ascii="Times New Roman" w:hAnsi="Times New Roman" w:cs="Times New Roman"/>
              </w:rPr>
            </w:pPr>
            <w:r>
              <w:rPr>
                <w:rFonts w:ascii="Times New Roman" w:hAnsi="Times New Roman" w:eastAsia="黑体" w:cs="Times New Roman"/>
                <w:kern w:val="0"/>
                <w:sz w:val="20"/>
                <w:szCs w:val="20"/>
              </w:rPr>
              <w:t> 0</w:t>
            </w:r>
          </w:p>
        </w:tc>
        <w:tc>
          <w:tcPr>
            <w:tcW w:w="0" w:type="auto"/>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Times New Roman" w:hAnsi="Times New Roman" w:cs="Times New Roman"/>
                <w:sz w:val="24"/>
              </w:rPr>
            </w:pPr>
            <w:r>
              <w:rPr>
                <w:rFonts w:ascii="Times New Roman" w:hAnsi="Times New Roman" w:cs="Times New Roman"/>
                <w:sz w:val="24"/>
              </w:rPr>
              <w:t>0</w:t>
            </w:r>
          </w:p>
        </w:tc>
      </w:tr>
    </w:tbl>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10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gridSpan w:val="5"/>
          </w:tcPr>
          <w:p>
            <w:pPr>
              <w:pStyle w:val="5"/>
              <w:spacing w:before="0" w:beforeAutospacing="0" w:after="0" w:afterAutospacing="0" w:line="579" w:lineRule="exact"/>
              <w:jc w:val="center"/>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sz w:val="28"/>
                <w:szCs w:val="28"/>
              </w:rPr>
              <w:t>行政复议</w:t>
            </w:r>
          </w:p>
        </w:tc>
        <w:tc>
          <w:tcPr>
            <w:tcW w:w="6199" w:type="dxa"/>
            <w:gridSpan w:val="10"/>
          </w:tcPr>
          <w:p>
            <w:pPr>
              <w:pStyle w:val="5"/>
              <w:spacing w:before="0" w:beforeAutospacing="0" w:after="0" w:afterAutospacing="0" w:line="579" w:lineRule="exact"/>
              <w:jc w:val="center"/>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sz w:val="28"/>
                <w:szCs w:val="28"/>
              </w:rPr>
              <w:t>行政诉讼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vMerge w:val="restart"/>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结果维持</w:t>
            </w:r>
          </w:p>
        </w:tc>
        <w:tc>
          <w:tcPr>
            <w:tcW w:w="568" w:type="dxa"/>
            <w:vMerge w:val="restart"/>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结果纠正</w:t>
            </w:r>
          </w:p>
        </w:tc>
        <w:tc>
          <w:tcPr>
            <w:tcW w:w="568" w:type="dxa"/>
            <w:vMerge w:val="restart"/>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其他结果</w:t>
            </w:r>
          </w:p>
        </w:tc>
        <w:tc>
          <w:tcPr>
            <w:tcW w:w="568" w:type="dxa"/>
            <w:vMerge w:val="restart"/>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尚未审结</w:t>
            </w:r>
          </w:p>
        </w:tc>
        <w:tc>
          <w:tcPr>
            <w:tcW w:w="568" w:type="dxa"/>
            <w:vMerge w:val="restart"/>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总计</w:t>
            </w:r>
          </w:p>
        </w:tc>
        <w:tc>
          <w:tcPr>
            <w:tcW w:w="2840" w:type="dxa"/>
            <w:gridSpan w:val="5"/>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未经复议直接起诉</w:t>
            </w:r>
          </w:p>
        </w:tc>
        <w:tc>
          <w:tcPr>
            <w:tcW w:w="3359" w:type="dxa"/>
            <w:gridSpan w:val="5"/>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复议后起诉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vMerge w:val="continue"/>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p>
        </w:tc>
        <w:tc>
          <w:tcPr>
            <w:tcW w:w="568" w:type="dxa"/>
            <w:vMerge w:val="continue"/>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p>
        </w:tc>
        <w:tc>
          <w:tcPr>
            <w:tcW w:w="568" w:type="dxa"/>
            <w:vMerge w:val="continue"/>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p>
        </w:tc>
        <w:tc>
          <w:tcPr>
            <w:tcW w:w="568" w:type="dxa"/>
            <w:vMerge w:val="continue"/>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p>
        </w:tc>
        <w:tc>
          <w:tcPr>
            <w:tcW w:w="568" w:type="dxa"/>
            <w:vMerge w:val="continue"/>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p>
        </w:tc>
        <w:tc>
          <w:tcPr>
            <w:tcW w:w="568"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结果维持</w:t>
            </w:r>
          </w:p>
        </w:tc>
        <w:tc>
          <w:tcPr>
            <w:tcW w:w="568"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结果纠正</w:t>
            </w:r>
          </w:p>
        </w:tc>
        <w:tc>
          <w:tcPr>
            <w:tcW w:w="568"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其他结果</w:t>
            </w:r>
          </w:p>
        </w:tc>
        <w:tc>
          <w:tcPr>
            <w:tcW w:w="568"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尚未审结</w:t>
            </w:r>
          </w:p>
        </w:tc>
        <w:tc>
          <w:tcPr>
            <w:tcW w:w="568"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总计</w:t>
            </w:r>
          </w:p>
        </w:tc>
        <w:tc>
          <w:tcPr>
            <w:tcW w:w="568"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结果维持</w:t>
            </w:r>
          </w:p>
        </w:tc>
        <w:tc>
          <w:tcPr>
            <w:tcW w:w="568"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结果纠正</w:t>
            </w:r>
          </w:p>
        </w:tc>
        <w:tc>
          <w:tcPr>
            <w:tcW w:w="568"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其他结果</w:t>
            </w:r>
          </w:p>
        </w:tc>
        <w:tc>
          <w:tcPr>
            <w:tcW w:w="569"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尚未审结</w:t>
            </w:r>
          </w:p>
        </w:tc>
        <w:tc>
          <w:tcPr>
            <w:tcW w:w="1086" w:type="dxa"/>
          </w:tcPr>
          <w:p>
            <w:pPr>
              <w:pStyle w:val="5"/>
              <w:spacing w:before="0" w:beforeAutospacing="0" w:after="0" w:afterAutospacing="0" w:line="579" w:lineRule="exact"/>
              <w:jc w:val="both"/>
              <w:rPr>
                <w:rFonts w:ascii="Times New Roman" w:hAnsi="Times New Roman" w:eastAsia="方正黑体简体" w:cs="Times New Roman"/>
                <w:b/>
                <w:bCs/>
                <w:color w:val="000000"/>
                <w:sz w:val="32"/>
                <w:szCs w:val="32"/>
              </w:rPr>
            </w:pPr>
            <w:r>
              <w:rPr>
                <w:rFonts w:ascii="Times New Roman" w:hAnsi="Times New Roman" w:eastAsia="方正仿宋简体" w:cs="Times New Roman"/>
                <w:color w:val="000000"/>
              </w:rPr>
              <w:t>总计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8"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569"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c>
          <w:tcPr>
            <w:tcW w:w="1086" w:type="dxa"/>
          </w:tcPr>
          <w:p>
            <w:pPr>
              <w:pStyle w:val="5"/>
              <w:spacing w:before="0" w:beforeAutospacing="0" w:after="0" w:afterAutospacing="0" w:line="579" w:lineRule="exact"/>
              <w:jc w:val="both"/>
              <w:rPr>
                <w:rFonts w:ascii="Times New Roman" w:hAnsi="Times New Roman" w:eastAsia="方正黑体简体" w:cs="Times New Roman"/>
                <w:bCs/>
                <w:color w:val="000000"/>
                <w:sz w:val="20"/>
                <w:szCs w:val="20"/>
              </w:rPr>
            </w:pPr>
            <w:r>
              <w:rPr>
                <w:rFonts w:ascii="Times New Roman" w:hAnsi="Times New Roman" w:eastAsia="方正黑体简体" w:cs="Times New Roman"/>
                <w:bCs/>
                <w:color w:val="000000"/>
                <w:sz w:val="20"/>
                <w:szCs w:val="20"/>
              </w:rPr>
              <w:t>0</w:t>
            </w:r>
          </w:p>
        </w:tc>
      </w:tr>
    </w:tbl>
    <w:p>
      <w:pPr>
        <w:pStyle w:val="5"/>
        <w:spacing w:before="0" w:beforeAutospacing="0" w:after="0" w:afterAutospacing="0" w:line="579" w:lineRule="exact"/>
        <w:ind w:firstLine="640" w:firstLineChars="200"/>
        <w:jc w:val="both"/>
        <w:rPr>
          <w:rFonts w:ascii="Times New Roman" w:hAnsi="Times New Roman" w:eastAsia="黑体" w:cs="Times New Roman"/>
          <w:bCs/>
          <w:color w:val="000000"/>
          <w:sz w:val="32"/>
          <w:szCs w:val="28"/>
        </w:rPr>
      </w:pPr>
      <w:r>
        <w:rPr>
          <w:rFonts w:ascii="Times New Roman" w:hAnsi="Times New Roman" w:eastAsia="黑体" w:cs="Times New Roman"/>
          <w:bCs/>
          <w:color w:val="000000"/>
          <w:sz w:val="32"/>
          <w:szCs w:val="28"/>
        </w:rPr>
        <w:t>五、存在的主要问题及改进情况</w:t>
      </w:r>
    </w:p>
    <w:p>
      <w:pPr>
        <w:pStyle w:val="5"/>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2021年度我局政务公开工作总体上稳步推进，但存在一些不足，主要表现在：部分栏信息不够丰富，网站的综合服务水平还不够成熟；主动向社会公开信息的领域、数量有待进一步拓展。              2022年，我局将做好以下几个方面：一是加大推进政务公开力度，进一步拓宽信息公开渠道。二是健全和完善信息公开工作机制和程序，加大信息公开力度。三是加强业务培训，落实好“传帮带”，提高工作人员的业务水平，进一步提高我局信息发布的数量、质量和时效。</w:t>
      </w:r>
    </w:p>
    <w:p>
      <w:pPr>
        <w:pStyle w:val="5"/>
        <w:spacing w:before="0" w:beforeAutospacing="0" w:after="0" w:afterAutospacing="0" w:line="579"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bCs/>
          <w:color w:val="000000"/>
          <w:sz w:val="32"/>
          <w:szCs w:val="28"/>
        </w:rPr>
        <w:t>六、其他需要报告的事项</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w:t>
      </w:r>
    </w:p>
    <w:p>
      <w:pPr>
        <w:widowControl/>
        <w:spacing w:line="579" w:lineRule="exact"/>
        <w:ind w:firstLine="480"/>
        <w:rPr>
          <w:rFonts w:ascii="Times New Roman" w:hAnsi="Times New Roman" w:eastAsia="方正仿宋简体" w:cs="Times New Roman"/>
          <w:color w:val="000000"/>
          <w:kern w:val="0"/>
          <w:sz w:val="32"/>
          <w:szCs w:val="32"/>
        </w:rPr>
      </w:pPr>
    </w:p>
    <w:p>
      <w:pPr>
        <w:spacing w:line="579" w:lineRule="exact"/>
        <w:ind w:firstLine="640" w:firstLineChars="200"/>
        <w:rPr>
          <w:rFonts w:ascii="Times New Roman" w:hAnsi="Times New Roman" w:eastAsia="仿宋_GB2312" w:cs="Times New Roman"/>
          <w:sz w:val="32"/>
          <w:szCs w:val="32"/>
        </w:rPr>
      </w:pPr>
    </w:p>
    <w:p>
      <w:pPr>
        <w:spacing w:line="579" w:lineRule="exact"/>
        <w:ind w:firstLine="640" w:firstLineChars="200"/>
        <w:rPr>
          <w:rFonts w:ascii="Times New Roman" w:hAnsi="Times New Roman" w:eastAsia="仿宋_GB2312" w:cs="Times New Roman"/>
          <w:sz w:val="32"/>
          <w:szCs w:val="32"/>
        </w:rPr>
      </w:pPr>
    </w:p>
    <w:p>
      <w:pPr>
        <w:spacing w:line="579" w:lineRule="exact"/>
        <w:ind w:firstLine="640" w:firstLineChars="200"/>
        <w:rPr>
          <w:rFonts w:ascii="Times New Roman" w:hAnsi="Times New Roman" w:eastAsia="仿宋_GB2312" w:cs="Times New Roman"/>
          <w:sz w:val="32"/>
          <w:szCs w:val="32"/>
        </w:rPr>
      </w:pPr>
    </w:p>
    <w:p>
      <w:pPr>
        <w:spacing w:line="579" w:lineRule="exact"/>
        <w:ind w:firstLine="640" w:firstLineChars="200"/>
        <w:rPr>
          <w:rFonts w:ascii="Times New Roman" w:hAnsi="Times New Roman" w:eastAsia="仿宋_GB2312" w:cs="Times New Roman"/>
          <w:kern w:val="0"/>
          <w:sz w:val="32"/>
          <w:szCs w:val="32"/>
        </w:rPr>
      </w:pPr>
    </w:p>
    <w:p>
      <w:pPr>
        <w:spacing w:line="579" w:lineRule="exact"/>
        <w:rPr>
          <w:rFonts w:ascii="Times New Roman" w:hAnsi="Times New Roman" w:eastAsia="黑体" w:cs="Times New Roman"/>
          <w:sz w:val="32"/>
          <w:szCs w:val="32"/>
        </w:rPr>
      </w:pPr>
    </w:p>
    <w:p>
      <w:pPr>
        <w:spacing w:line="579" w:lineRule="exact"/>
        <w:rPr>
          <w:rFonts w:ascii="Times New Roman" w:hAnsi="Times New Roman" w:eastAsia="黑体" w:cs="Times New Roman"/>
          <w:sz w:val="32"/>
          <w:szCs w:val="32"/>
        </w:rPr>
      </w:pPr>
    </w:p>
    <w:p>
      <w:pPr>
        <w:spacing w:line="579" w:lineRule="exact"/>
        <w:rPr>
          <w:rFonts w:ascii="Times New Roman" w:hAnsi="Times New Roman" w:eastAsia="黑体" w:cs="Times New Roman"/>
          <w:sz w:val="32"/>
          <w:szCs w:val="32"/>
        </w:rPr>
      </w:pPr>
    </w:p>
    <w:tbl>
      <w:tblPr>
        <w:tblStyle w:val="6"/>
        <w:tblpPr w:leftFromText="180" w:rightFromText="180" w:vertAnchor="text" w:horzAnchor="margin" w:tblpY="3661"/>
        <w:tblOverlap w:val="never"/>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left w:val="nil"/>
              <w:right w:val="nil"/>
            </w:tcBorders>
            <w:noWrap/>
          </w:tcPr>
          <w:p>
            <w:pPr>
              <w:spacing w:line="579" w:lineRule="exact"/>
              <w:ind w:left="1121" w:leftChars="134" w:hanging="840" w:hangingChars="300"/>
              <w:rPr>
                <w:rFonts w:ascii="Times New Roman" w:hAnsi="Times New Roman" w:eastAsia="仿宋_GB2312" w:cs="Times New Roman"/>
                <w:bCs/>
                <w:sz w:val="28"/>
                <w:szCs w:val="28"/>
              </w:rPr>
            </w:pPr>
            <w:r>
              <w:rPr>
                <w:rFonts w:ascii="Times New Roman" w:hAnsi="Times New Roman" w:eastAsia="仿宋_GB2312" w:cs="Times New Roman"/>
                <w:sz w:val="28"/>
                <w:szCs w:val="28"/>
              </w:rPr>
              <w:t>抄送：区政府信息公开办。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left w:val="nil"/>
              <w:right w:val="nil"/>
            </w:tcBorders>
            <w:noWrap/>
          </w:tcPr>
          <w:p>
            <w:pPr>
              <w:spacing w:line="579" w:lineRule="exact"/>
              <w:ind w:firstLine="300"/>
              <w:rPr>
                <w:rFonts w:ascii="Times New Roman" w:hAnsi="Times New Roman" w:eastAsia="仿宋_GB2312" w:cs="Times New Roman"/>
                <w:sz w:val="28"/>
                <w:szCs w:val="28"/>
              </w:rPr>
            </w:pPr>
            <w:r>
              <w:rPr>
                <w:rFonts w:ascii="Times New Roman" w:hAnsi="Times New Roman" w:eastAsia="仿宋_GB2312" w:cs="Times New Roman"/>
                <w:sz w:val="28"/>
                <w:szCs w:val="28"/>
              </w:rPr>
              <w:t>泉州市丰泽区金融工作局办公室         2022年1月</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日印发</w:t>
            </w:r>
          </w:p>
        </w:tc>
      </w:tr>
    </w:tbl>
    <w:p>
      <w:pPr>
        <w:spacing w:line="579" w:lineRule="exact"/>
        <w:rPr>
          <w:rFonts w:ascii="Times New Roman" w:hAnsi="Times New Roman" w:eastAsia="黑体" w:cs="Times New Roman"/>
          <w:sz w:val="32"/>
          <w:szCs w:val="32"/>
        </w:rPr>
      </w:pPr>
    </w:p>
    <w:p>
      <w:pPr>
        <w:spacing w:line="579" w:lineRule="exact"/>
        <w:rPr>
          <w:rFonts w:ascii="Times New Roman" w:hAnsi="Times New Roman" w:eastAsia="黑体" w:cs="Times New Roman"/>
          <w:sz w:val="32"/>
          <w:szCs w:val="32"/>
        </w:rPr>
      </w:pPr>
    </w:p>
    <w:p>
      <w:pPr>
        <w:spacing w:line="579" w:lineRule="exact"/>
        <w:rPr>
          <w:rFonts w:ascii="Times New Roman" w:hAnsi="Times New Roman" w:eastAsia="黑体" w:cs="Times New Roman"/>
          <w:sz w:val="32"/>
          <w:szCs w:val="32"/>
        </w:rPr>
      </w:pPr>
      <w:bookmarkStart w:id="0" w:name="_GoBack"/>
      <w:bookmarkEnd w:id="0"/>
    </w:p>
    <w:sectPr>
      <w:footerReference r:id="rId3" w:type="default"/>
      <w:footerReference r:id="rId4"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280" w:firstLineChars="2600"/>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7</w:t>
    </w:r>
    <w:r>
      <w:rPr>
        <w:rFonts w:ascii="宋体" w:hAnsi="宋体"/>
        <w:sz w:val="28"/>
        <w:szCs w:val="28"/>
      </w:rPr>
      <w:fldChar w:fldCharType="end"/>
    </w:r>
    <w:r>
      <w:rPr>
        <w:rStyle w:val="9"/>
        <w:rFonts w:ascii="宋体" w:hAnsi="宋体"/>
        <w:sz w:val="28"/>
        <w:szCs w:val="28"/>
      </w:rPr>
      <w:t xml:space="preserve"> </w:t>
    </w:r>
    <w:r>
      <w:rPr>
        <w:rStyle w:val="9"/>
        <w:rFonts w:hint="eastAsia" w:ascii="宋体" w:hAnsi="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8</w:t>
    </w:r>
    <w:r>
      <w:rPr>
        <w:rFonts w:ascii="宋体" w:hAnsi="宋体"/>
        <w:sz w:val="28"/>
        <w:szCs w:val="28"/>
      </w:rPr>
      <w:fldChar w:fldCharType="end"/>
    </w:r>
    <w:r>
      <w:rPr>
        <w:rStyle w:val="9"/>
        <w:rFonts w:ascii="宋体" w:hAnsi="宋体"/>
        <w:sz w:val="28"/>
        <w:szCs w:val="28"/>
      </w:rPr>
      <w:t xml:space="preserve"> </w:t>
    </w:r>
    <w:r>
      <w:rPr>
        <w:rStyle w:val="9"/>
        <w:rFonts w:hint="eastAsia" w:ascii="宋体" w:hAnsi="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JiZDgyMDViMDg0MjM1MjQ0MDUzMGYxN2Y0MWJkMGQifQ=="/>
  </w:docVars>
  <w:rsids>
    <w:rsidRoot w:val="007533F9"/>
    <w:rsid w:val="00007147"/>
    <w:rsid w:val="00037570"/>
    <w:rsid w:val="00046093"/>
    <w:rsid w:val="000C7141"/>
    <w:rsid w:val="000D2ACC"/>
    <w:rsid w:val="0010656B"/>
    <w:rsid w:val="001710AF"/>
    <w:rsid w:val="00203075"/>
    <w:rsid w:val="0023395A"/>
    <w:rsid w:val="00292E6B"/>
    <w:rsid w:val="002D1874"/>
    <w:rsid w:val="00350D57"/>
    <w:rsid w:val="004C66AD"/>
    <w:rsid w:val="00547476"/>
    <w:rsid w:val="005B16FE"/>
    <w:rsid w:val="005F19DE"/>
    <w:rsid w:val="006A23CC"/>
    <w:rsid w:val="006E2372"/>
    <w:rsid w:val="007533F9"/>
    <w:rsid w:val="007D3509"/>
    <w:rsid w:val="007F1AC5"/>
    <w:rsid w:val="008328DC"/>
    <w:rsid w:val="00895B8C"/>
    <w:rsid w:val="009A3A98"/>
    <w:rsid w:val="009D6CDE"/>
    <w:rsid w:val="009E1552"/>
    <w:rsid w:val="00A01DDA"/>
    <w:rsid w:val="00A25FC5"/>
    <w:rsid w:val="00A60279"/>
    <w:rsid w:val="00AF2B9E"/>
    <w:rsid w:val="00BE4D95"/>
    <w:rsid w:val="00C06827"/>
    <w:rsid w:val="00C075D8"/>
    <w:rsid w:val="00C74349"/>
    <w:rsid w:val="00CA3F16"/>
    <w:rsid w:val="00D32AC5"/>
    <w:rsid w:val="00DF3C59"/>
    <w:rsid w:val="00E10DD6"/>
    <w:rsid w:val="00E51FA3"/>
    <w:rsid w:val="00EA6117"/>
    <w:rsid w:val="00F27DD3"/>
    <w:rsid w:val="00F816CF"/>
    <w:rsid w:val="5A950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2"/>
    <w:unhideWhenUsed/>
    <w:uiPriority w:val="0"/>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uiPriority w:val="0"/>
  </w:style>
  <w:style w:type="character" w:styleId="10">
    <w:name w:val="Hyperlink"/>
    <w:basedOn w:val="8"/>
    <w:semiHidden/>
    <w:unhideWhenUsed/>
    <w:uiPriority w:val="99"/>
    <w:rPr>
      <w:color w:val="0000FF"/>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uiPriority w:val="0"/>
    <w:rPr>
      <w:sz w:val="18"/>
      <w:szCs w:val="18"/>
    </w:rPr>
  </w:style>
  <w:style w:type="character" w:customStyle="1" w:styleId="13">
    <w:name w:val="p1"/>
    <w:basedOn w:val="8"/>
    <w:uiPriority w:val="0"/>
  </w:style>
  <w:style w:type="character" w:customStyle="1" w:styleId="14">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8305C-B67D-44C1-B916-987AE692074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2541</Words>
  <Characters>2654</Characters>
  <Lines>23</Lines>
  <Paragraphs>6</Paragraphs>
  <TotalTime>189</TotalTime>
  <ScaleCrop>false</ScaleCrop>
  <LinksUpToDate>false</LinksUpToDate>
  <CharactersWithSpaces>2775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2019-12-31T01:10:00Z</dcterms:created>
  <dc:creator>Windows</dc:creator>
  <cp:lastModifiedBy>-</cp:lastModifiedBy>
  <cp:lastPrinted>2022-01-05T09:17:00Z</cp:lastPrinted>
  <dcterms:modified xsi:type="dcterms:W3CDTF">2022-07-28T03:27:40Z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61C679FC69114B468AD5770E83434B30</vt:lpwstr>
  </property>
</Properties>
</file>