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sz w:val="28"/>
          <w:szCs w:val="28"/>
        </w:rPr>
      </w:pPr>
      <w:bookmarkStart w:id="0" w:name="_GoBack"/>
      <w:bookmarkEnd w:id="0"/>
      <w:r>
        <w:rPr>
          <w:rFonts w:hint="eastAsia" w:ascii="黑体" w:hAnsi="黑体" w:eastAsia="黑体" w:cs="黑体"/>
          <w:sz w:val="28"/>
          <w:szCs w:val="28"/>
        </w:rPr>
        <w:t>附件1：</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房地产评估机构报名表</w:t>
      </w:r>
      <w:r>
        <w:rPr>
          <w:rFonts w:hint="eastAsia" w:ascii="方正小标宋简体" w:hAnsi="方正小标宋简体" w:eastAsia="方正小标宋简体" w:cs="方正小标宋简体"/>
          <w:b w:val="0"/>
          <w:bCs w:val="0"/>
          <w:sz w:val="44"/>
          <w:szCs w:val="44"/>
        </w:rPr>
        <w:tab/>
      </w:r>
    </w:p>
    <w:p>
      <w:pPr>
        <w:tabs>
          <w:tab w:val="left" w:pos="5466"/>
        </w:tabs>
        <w:jc w:val="left"/>
        <w:rPr>
          <w:rFonts w:hint="eastAsia" w:ascii="宋体" w:hAnsi="宋体" w:cs="宋体"/>
          <w:sz w:val="28"/>
          <w:szCs w:val="28"/>
        </w:rPr>
      </w:pPr>
    </w:p>
    <w:p>
      <w:pPr>
        <w:tabs>
          <w:tab w:val="left" w:pos="5466"/>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填表时间：    年   月   日</w:t>
      </w:r>
    </w:p>
    <w:tbl>
      <w:tblPr>
        <w:tblStyle w:val="11"/>
        <w:tblpPr w:leftFromText="180" w:rightFromText="180" w:vertAnchor="text" w:horzAnchor="page" w:tblpX="1687" w:tblpY="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692"/>
        <w:gridCol w:w="281"/>
        <w:gridCol w:w="229"/>
        <w:gridCol w:w="215"/>
        <w:gridCol w:w="1418"/>
        <w:gridCol w:w="291"/>
        <w:gridCol w:w="1126"/>
        <w:gridCol w:w="1108"/>
        <w:gridCol w:w="309"/>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51" w:type="dxa"/>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7089" w:type="dxa"/>
            <w:gridSpan w:val="10"/>
          </w:tcPr>
          <w:p>
            <w:pPr>
              <w:tabs>
                <w:tab w:val="center" w:pos="4153"/>
              </w:tabs>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43" w:type="dxa"/>
            <w:gridSpan w:val="2"/>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评估机构名称</w:t>
            </w:r>
          </w:p>
        </w:tc>
        <w:tc>
          <w:tcPr>
            <w:tcW w:w="6397" w:type="dxa"/>
            <w:gridSpan w:val="9"/>
          </w:tcPr>
          <w:p>
            <w:pPr>
              <w:tabs>
                <w:tab w:val="center" w:pos="4153"/>
              </w:tabs>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43" w:type="dxa"/>
            <w:gridSpan w:val="2"/>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6397" w:type="dxa"/>
            <w:gridSpan w:val="9"/>
          </w:tcPr>
          <w:p>
            <w:pPr>
              <w:tabs>
                <w:tab w:val="center" w:pos="4153"/>
              </w:tabs>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51" w:type="dxa"/>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资质等级</w:t>
            </w:r>
          </w:p>
        </w:tc>
        <w:tc>
          <w:tcPr>
            <w:tcW w:w="3126" w:type="dxa"/>
            <w:gridSpan w:val="6"/>
          </w:tcPr>
          <w:p>
            <w:pPr>
              <w:tabs>
                <w:tab w:val="center" w:pos="4153"/>
              </w:tabs>
              <w:rPr>
                <w:rFonts w:hint="eastAsia" w:ascii="仿宋_GB2312" w:hAnsi="仿宋_GB2312" w:eastAsia="仿宋_GB2312" w:cs="仿宋_GB2312"/>
                <w:sz w:val="28"/>
                <w:szCs w:val="28"/>
              </w:rPr>
            </w:pPr>
          </w:p>
        </w:tc>
        <w:tc>
          <w:tcPr>
            <w:tcW w:w="2234" w:type="dxa"/>
            <w:gridSpan w:val="2"/>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注册评估师人数</w:t>
            </w:r>
          </w:p>
        </w:tc>
        <w:tc>
          <w:tcPr>
            <w:tcW w:w="1729" w:type="dxa"/>
            <w:gridSpan w:val="2"/>
          </w:tcPr>
          <w:p>
            <w:pPr>
              <w:tabs>
                <w:tab w:val="center" w:pos="4153"/>
              </w:tabs>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51" w:type="dxa"/>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1417" w:type="dxa"/>
            <w:gridSpan w:val="4"/>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c>
          <w:tcPr>
            <w:tcW w:w="1418" w:type="dxa"/>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417" w:type="dxa"/>
            <w:gridSpan w:val="2"/>
          </w:tcPr>
          <w:p>
            <w:pPr>
              <w:tabs>
                <w:tab w:val="center" w:pos="4153"/>
              </w:tabs>
              <w:rPr>
                <w:rFonts w:hint="eastAsia" w:ascii="仿宋_GB2312" w:hAnsi="仿宋_GB2312" w:eastAsia="仿宋_GB2312" w:cs="仿宋_GB2312"/>
                <w:sz w:val="28"/>
                <w:szCs w:val="28"/>
              </w:rPr>
            </w:pPr>
          </w:p>
        </w:tc>
        <w:tc>
          <w:tcPr>
            <w:tcW w:w="1417" w:type="dxa"/>
            <w:gridSpan w:val="2"/>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传真号码</w:t>
            </w:r>
          </w:p>
        </w:tc>
        <w:tc>
          <w:tcPr>
            <w:tcW w:w="1420" w:type="dxa"/>
          </w:tcPr>
          <w:p>
            <w:pPr>
              <w:tabs>
                <w:tab w:val="center" w:pos="4153"/>
              </w:tabs>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653" w:type="dxa"/>
            <w:gridSpan w:val="4"/>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应交证件是否齐全</w:t>
            </w:r>
          </w:p>
        </w:tc>
        <w:tc>
          <w:tcPr>
            <w:tcW w:w="5887" w:type="dxa"/>
            <w:gridSpan w:val="7"/>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7" w:hRule="atLeast"/>
        </w:trPr>
        <w:tc>
          <w:tcPr>
            <w:tcW w:w="1451" w:type="dxa"/>
            <w:vAlign w:val="center"/>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国有土地上房屋征收评估经验（附一份合同）</w:t>
            </w:r>
          </w:p>
        </w:tc>
        <w:tc>
          <w:tcPr>
            <w:tcW w:w="7089" w:type="dxa"/>
            <w:gridSpan w:val="10"/>
          </w:tcPr>
          <w:p>
            <w:pPr>
              <w:tabs>
                <w:tab w:val="center" w:pos="4153"/>
              </w:tabs>
              <w:rPr>
                <w:rFonts w:hint="eastAsia" w:ascii="仿宋_GB2312" w:hAnsi="仿宋_GB2312" w:eastAsia="仿宋_GB2312" w:cs="仿宋_GB2312"/>
                <w:sz w:val="28"/>
                <w:szCs w:val="28"/>
              </w:rPr>
            </w:pPr>
          </w:p>
          <w:p>
            <w:pPr>
              <w:tabs>
                <w:tab w:val="center" w:pos="4153"/>
              </w:tabs>
              <w:rPr>
                <w:rFonts w:hint="eastAsia" w:ascii="仿宋_GB2312" w:hAnsi="仿宋_GB2312" w:eastAsia="仿宋_GB2312" w:cs="仿宋_GB2312"/>
                <w:sz w:val="28"/>
                <w:szCs w:val="28"/>
              </w:rPr>
            </w:pPr>
          </w:p>
          <w:p>
            <w:pPr>
              <w:tabs>
                <w:tab w:val="center" w:pos="4153"/>
              </w:tabs>
              <w:rPr>
                <w:rFonts w:hint="eastAsia" w:ascii="仿宋_GB2312" w:hAnsi="仿宋_GB2312" w:eastAsia="仿宋_GB2312" w:cs="仿宋_GB2312"/>
                <w:sz w:val="28"/>
                <w:szCs w:val="28"/>
              </w:rPr>
            </w:pPr>
          </w:p>
          <w:p>
            <w:pPr>
              <w:tabs>
                <w:tab w:val="center" w:pos="4153"/>
              </w:tabs>
              <w:rPr>
                <w:rFonts w:hint="eastAsia" w:ascii="仿宋_GB2312" w:hAnsi="仿宋_GB2312" w:eastAsia="仿宋_GB2312" w:cs="仿宋_GB2312"/>
                <w:sz w:val="28"/>
                <w:szCs w:val="28"/>
              </w:rPr>
            </w:pPr>
          </w:p>
          <w:p>
            <w:pPr>
              <w:tabs>
                <w:tab w:val="center" w:pos="4153"/>
              </w:tabs>
              <w:rPr>
                <w:rFonts w:hint="eastAsia" w:ascii="仿宋_GB2312" w:hAnsi="仿宋_GB2312" w:eastAsia="仿宋_GB2312" w:cs="仿宋_GB2312"/>
                <w:sz w:val="28"/>
                <w:szCs w:val="28"/>
              </w:rPr>
            </w:pPr>
          </w:p>
          <w:p>
            <w:pPr>
              <w:tabs>
                <w:tab w:val="center" w:pos="4153"/>
              </w:tabs>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451" w:type="dxa"/>
            <w:vAlign w:val="center"/>
          </w:tcPr>
          <w:p>
            <w:pPr>
              <w:tabs>
                <w:tab w:val="center" w:pos="4153"/>
              </w:tabs>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c>
          <w:tcPr>
            <w:tcW w:w="7089" w:type="dxa"/>
            <w:gridSpan w:val="10"/>
          </w:tcPr>
          <w:p>
            <w:pPr>
              <w:tabs>
                <w:tab w:val="center" w:pos="4153"/>
              </w:tabs>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424" w:type="dxa"/>
            <w:gridSpan w:val="3"/>
            <w:vAlign w:val="center"/>
          </w:tcPr>
          <w:p>
            <w:pPr>
              <w:tabs>
                <w:tab w:val="center" w:pos="4153"/>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企业经办人签名</w:t>
            </w:r>
          </w:p>
        </w:tc>
        <w:tc>
          <w:tcPr>
            <w:tcW w:w="6116" w:type="dxa"/>
            <w:gridSpan w:val="8"/>
            <w:vAlign w:val="center"/>
          </w:tcPr>
          <w:p>
            <w:pPr>
              <w:tabs>
                <w:tab w:val="center" w:pos="4153"/>
              </w:tabs>
              <w:rPr>
                <w:rFonts w:hint="eastAsia" w:ascii="仿宋_GB2312" w:hAnsi="仿宋_GB2312" w:eastAsia="仿宋_GB2312" w:cs="仿宋_GB2312"/>
                <w:sz w:val="28"/>
                <w:szCs w:val="28"/>
              </w:rPr>
            </w:pPr>
          </w:p>
        </w:tc>
      </w:tr>
    </w:tbl>
    <w:p>
      <w:pPr>
        <w:rPr>
          <w:rFonts w:hint="eastAsia" w:ascii="仿宋_GB2312" w:hAnsi="仿宋_GB2312" w:eastAsia="仿宋_GB2312" w:cs="仿宋_GB2312"/>
          <w:sz w:val="28"/>
          <w:szCs w:val="28"/>
        </w:rPr>
      </w:pPr>
    </w:p>
    <w:p>
      <w:pPr>
        <w:rPr>
          <w:rFonts w:hint="eastAsia" w:ascii="黑体" w:hAnsi="黑体" w:eastAsia="黑体" w:cs="黑体"/>
          <w:sz w:val="28"/>
          <w:szCs w:val="28"/>
        </w:rPr>
      </w:pPr>
      <w:r>
        <w:rPr>
          <w:rFonts w:hint="eastAsia" w:ascii="黑体" w:hAnsi="黑体" w:eastAsia="黑体" w:cs="黑体"/>
          <w:sz w:val="28"/>
          <w:szCs w:val="28"/>
        </w:rPr>
        <w:t>附件2：</w:t>
      </w:r>
    </w:p>
    <w:p>
      <w:pPr>
        <w:tabs>
          <w:tab w:val="center" w:pos="4153"/>
        </w:tabs>
        <w:jc w:val="center"/>
        <w:rPr>
          <w:rFonts w:hint="eastAsia" w:ascii="方正小标宋简体" w:hAnsi="方正小标宋简体" w:eastAsia="方正小标宋简体" w:cs="方正小标宋简体"/>
          <w:b w:val="0"/>
          <w:bCs w:val="0"/>
          <w:sz w:val="44"/>
          <w:szCs w:val="44"/>
          <w:shd w:val="clear" w:color="auto" w:fill="FFFFFF"/>
        </w:rPr>
      </w:pPr>
      <w:r>
        <w:rPr>
          <w:rFonts w:hint="eastAsia" w:ascii="方正小标宋简体" w:hAnsi="方正小标宋简体" w:eastAsia="方正小标宋简体" w:cs="方正小标宋简体"/>
          <w:b w:val="0"/>
          <w:bCs w:val="0"/>
          <w:sz w:val="44"/>
          <w:szCs w:val="44"/>
        </w:rPr>
        <w:t>授权委托书</w:t>
      </w:r>
    </w:p>
    <w:p>
      <w:pPr>
        <w:shd w:val="solid" w:color="FFFFFF" w:fill="auto"/>
        <w:autoSpaceDN w:val="0"/>
        <w:spacing w:beforeAutospacing="1" w:afterAutospacing="1" w:line="400" w:lineRule="atLeast"/>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本授权委托书声明：</w:t>
      </w:r>
    </w:p>
    <w:p>
      <w:pPr>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本人（姓名）</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系（企业）</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的法定代表人（负责人），现委托授权（姓名）</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为本企业的代理人，以本企业的名义参加</w:t>
      </w:r>
      <w:r>
        <w:rPr>
          <w:rFonts w:hint="eastAsia" w:ascii="仿宋_GB2312" w:hAnsi="仿宋_GB2312" w:eastAsia="仿宋_GB2312" w:cs="仿宋_GB2312"/>
          <w:b/>
          <w:kern w:val="0"/>
          <w:sz w:val="32"/>
          <w:szCs w:val="32"/>
          <w:u w:val="single"/>
        </w:rPr>
        <w:t>泉州市丰泽区住房和城乡建设局</w:t>
      </w:r>
      <w:r>
        <w:rPr>
          <w:rFonts w:hint="eastAsia" w:ascii="仿宋_GB2312" w:hAnsi="仿宋_GB2312" w:eastAsia="仿宋_GB2312" w:cs="仿宋_GB2312"/>
          <w:sz w:val="32"/>
          <w:szCs w:val="32"/>
          <w:shd w:val="clear" w:color="auto" w:fill="FFFFFF"/>
        </w:rPr>
        <w:t>组织的对</w:t>
      </w:r>
      <w:r>
        <w:rPr>
          <w:rFonts w:hint="eastAsia" w:ascii="仿宋_GB2312" w:hAnsi="仿宋_GB2312" w:eastAsia="仿宋_GB2312" w:cs="仿宋_GB2312"/>
          <w:b/>
          <w:kern w:val="0"/>
          <w:sz w:val="32"/>
          <w:szCs w:val="32"/>
          <w:u w:val="single"/>
        </w:rPr>
        <w:t>丰泽区万安片区（金屿社区）改造项目房屋补偿基准价评估房地产价格评估机构</w:t>
      </w:r>
      <w:r>
        <w:rPr>
          <w:rFonts w:hint="eastAsia" w:ascii="仿宋_GB2312" w:hAnsi="仿宋_GB2312" w:eastAsia="仿宋_GB2312" w:cs="仿宋_GB2312"/>
          <w:sz w:val="32"/>
          <w:szCs w:val="32"/>
          <w:shd w:val="clear" w:color="auto" w:fill="FFFFFF"/>
        </w:rPr>
        <w:t>公开招选活动。该代理人在参加本次公开招选房地产价格评估机构的活动过程中所签署的一切文件和处理与之有关的一切事务所产生的法律后果，本企业均予承认（代理人无转委托的权力）。</w:t>
      </w:r>
    </w:p>
    <w:p>
      <w:pPr>
        <w:shd w:val="solid" w:color="FFFFFF" w:fill="auto"/>
        <w:autoSpaceDN w:val="0"/>
        <w:spacing w:line="500" w:lineRule="exact"/>
        <w:ind w:firstLine="4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特此委托。</w:t>
      </w:r>
    </w:p>
    <w:p>
      <w:pPr>
        <w:shd w:val="solid" w:color="FFFFFF" w:fill="auto"/>
        <w:autoSpaceDN w:val="0"/>
        <w:spacing w:beforeAutospacing="1" w:afterAutospacing="1" w:line="400" w:lineRule="atLeast"/>
        <w:ind w:firstLine="4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shd w:val="clear" w:color="auto" w:fill="FFFFFF"/>
        </w:rPr>
        <w:t>附：委托代理人身份证复印件</w:t>
      </w:r>
    </w:p>
    <w:p>
      <w:pPr>
        <w:pStyle w:val="2"/>
        <w:ind w:firstLine="480"/>
        <w:rPr>
          <w:rFonts w:hint="eastAsia"/>
          <w:sz w:val="24"/>
          <w:szCs w:val="24"/>
        </w:rPr>
      </w:pPr>
    </w:p>
    <w:p>
      <w:pPr>
        <w:pStyle w:val="2"/>
        <w:ind w:firstLine="480"/>
        <w:rPr>
          <w:rFonts w:hint="eastAsia"/>
          <w:sz w:val="24"/>
          <w:szCs w:val="24"/>
        </w:rPr>
      </w:pPr>
    </w:p>
    <w:p>
      <w:pPr>
        <w:pStyle w:val="2"/>
        <w:ind w:firstLine="480"/>
        <w:rPr>
          <w:rFonts w:hint="eastAsia"/>
          <w:sz w:val="24"/>
          <w:szCs w:val="24"/>
        </w:rPr>
      </w:pPr>
    </w:p>
    <w:p>
      <w:pPr>
        <w:shd w:val="solid" w:color="FFFFFF" w:fill="auto"/>
        <w:autoSpaceDN w:val="0"/>
        <w:spacing w:beforeAutospacing="1" w:afterAutospacing="1" w:line="400" w:lineRule="atLeast"/>
        <w:ind w:firstLine="4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企业（盖章）：                 代理人（签名）：               </w:t>
      </w:r>
    </w:p>
    <w:p>
      <w:pPr>
        <w:shd w:val="solid" w:color="FFFFFF" w:fill="auto"/>
        <w:autoSpaceDN w:val="0"/>
        <w:spacing w:beforeAutospacing="1" w:afterAutospacing="1" w:line="400" w:lineRule="atLeast"/>
        <w:ind w:firstLine="4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法定代表人（签名或盖章）：                     </w:t>
      </w:r>
    </w:p>
    <w:p>
      <w:pPr>
        <w:shd w:val="solid" w:color="FFFFFF" w:fill="auto"/>
        <w:autoSpaceDN w:val="0"/>
        <w:spacing w:beforeAutospacing="1" w:afterAutospacing="1" w:line="400" w:lineRule="atLeast"/>
        <w:ind w:firstLine="4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委托授权时间：         年    月    日</w:t>
      </w:r>
    </w:p>
    <w:p>
      <w:pPr>
        <w:shd w:val="solid" w:color="FFFFFF" w:fill="auto"/>
        <w:autoSpaceDN w:val="0"/>
        <w:spacing w:beforeAutospacing="1" w:afterAutospacing="1" w:line="400" w:lineRule="atLeast"/>
        <w:jc w:val="left"/>
        <w:rPr>
          <w:rFonts w:eastAsia="方正仿宋简体"/>
          <w:sz w:val="30"/>
          <w:szCs w:val="30"/>
          <w:shd w:val="clear" w:color="auto" w:fill="FFFFFF"/>
        </w:rPr>
        <w:sectPr>
          <w:footerReference r:id="rId3" w:type="default"/>
          <w:footerReference r:id="rId4" w:type="even"/>
          <w:pgSz w:w="11906" w:h="16838"/>
          <w:pgMar w:top="1928" w:right="1474" w:bottom="1871" w:left="1474" w:header="851" w:footer="992" w:gutter="0"/>
          <w:pgNumType w:fmt="numberInDash"/>
          <w:cols w:space="720" w:num="1"/>
          <w:docGrid w:type="lines" w:linePitch="312" w:charSpace="0"/>
        </w:sectPr>
      </w:pPr>
    </w:p>
    <w:p>
      <w:pPr>
        <w:shd w:val="solid" w:color="FFFFFF" w:fill="auto"/>
        <w:autoSpaceDN w:val="0"/>
        <w:spacing w:beforeAutospacing="1" w:afterAutospacing="1" w:line="400" w:lineRule="atLeast"/>
        <w:jc w:val="left"/>
        <w:rPr>
          <w:rFonts w:hint="eastAsia" w:eastAsia="方正仿宋简体"/>
          <w:sz w:val="30"/>
          <w:szCs w:val="30"/>
          <w:shd w:val="clear" w:color="auto" w:fill="FFFFFF"/>
        </w:rPr>
      </w:pPr>
    </w:p>
    <w:tbl>
      <w:tblPr>
        <w:tblStyle w:val="11"/>
        <w:tblW w:w="0" w:type="auto"/>
        <w:jc w:val="center"/>
        <w:tblLayout w:type="fixed"/>
        <w:tblCellMar>
          <w:top w:w="0" w:type="dxa"/>
          <w:left w:w="108" w:type="dxa"/>
          <w:bottom w:w="0" w:type="dxa"/>
          <w:right w:w="108" w:type="dxa"/>
        </w:tblCellMar>
      </w:tblPr>
      <w:tblGrid>
        <w:gridCol w:w="680"/>
        <w:gridCol w:w="4552"/>
        <w:gridCol w:w="1500"/>
        <w:gridCol w:w="4778"/>
        <w:gridCol w:w="1000"/>
        <w:gridCol w:w="1536"/>
      </w:tblGrid>
      <w:tr>
        <w:tblPrEx>
          <w:tblCellMar>
            <w:top w:w="0" w:type="dxa"/>
            <w:left w:w="108" w:type="dxa"/>
            <w:bottom w:w="0" w:type="dxa"/>
            <w:right w:w="108" w:type="dxa"/>
          </w:tblCellMar>
        </w:tblPrEx>
        <w:trPr>
          <w:trHeight w:val="402" w:hRule="atLeast"/>
          <w:jc w:val="center"/>
        </w:trPr>
        <w:tc>
          <w:tcPr>
            <w:tcW w:w="5232" w:type="dxa"/>
            <w:gridSpan w:val="2"/>
            <w:tcBorders>
              <w:top w:val="nil"/>
              <w:left w:val="nil"/>
              <w:bottom w:val="nil"/>
              <w:right w:val="nil"/>
            </w:tcBorders>
            <w:vAlign w:val="center"/>
          </w:tcPr>
          <w:p>
            <w:pPr>
              <w:tabs>
                <w:tab w:val="center" w:pos="4153"/>
              </w:tabs>
              <w:spacing w:line="520" w:lineRule="exact"/>
              <w:rPr>
                <w:rFonts w:ascii="黑体" w:hAnsi="黑体" w:eastAsia="黑体"/>
                <w:sz w:val="28"/>
                <w:szCs w:val="28"/>
              </w:rPr>
            </w:pPr>
            <w:r>
              <w:rPr>
                <w:rFonts w:hint="eastAsia" w:ascii="黑体" w:hAnsi="黑体" w:eastAsia="黑体"/>
                <w:sz w:val="28"/>
                <w:szCs w:val="28"/>
              </w:rPr>
              <w:t>附件3</w:t>
            </w:r>
          </w:p>
        </w:tc>
        <w:tc>
          <w:tcPr>
            <w:tcW w:w="1500" w:type="dxa"/>
            <w:tcBorders>
              <w:top w:val="nil"/>
              <w:left w:val="nil"/>
              <w:bottom w:val="nil"/>
              <w:right w:val="nil"/>
            </w:tcBorders>
            <w:vAlign w:val="center"/>
          </w:tcPr>
          <w:p>
            <w:pPr>
              <w:widowControl/>
              <w:jc w:val="left"/>
              <w:rPr>
                <w:rFonts w:ascii="宋体" w:hAnsi="宋体" w:cs="宋体"/>
                <w:kern w:val="0"/>
                <w:sz w:val="24"/>
              </w:rPr>
            </w:pPr>
          </w:p>
        </w:tc>
        <w:tc>
          <w:tcPr>
            <w:tcW w:w="4778" w:type="dxa"/>
            <w:tcBorders>
              <w:top w:val="nil"/>
              <w:left w:val="nil"/>
              <w:bottom w:val="nil"/>
              <w:right w:val="nil"/>
            </w:tcBorders>
            <w:vAlign w:val="center"/>
          </w:tcPr>
          <w:p>
            <w:pPr>
              <w:widowControl/>
              <w:jc w:val="left"/>
              <w:rPr>
                <w:rFonts w:ascii="宋体" w:hAnsi="宋体" w:cs="宋体"/>
                <w:kern w:val="0"/>
                <w:sz w:val="24"/>
              </w:rPr>
            </w:pPr>
          </w:p>
        </w:tc>
        <w:tc>
          <w:tcPr>
            <w:tcW w:w="1000" w:type="dxa"/>
            <w:tcBorders>
              <w:top w:val="nil"/>
              <w:left w:val="nil"/>
              <w:bottom w:val="nil"/>
              <w:right w:val="nil"/>
            </w:tcBorders>
            <w:vAlign w:val="center"/>
          </w:tcPr>
          <w:p>
            <w:pPr>
              <w:widowControl/>
              <w:jc w:val="left"/>
              <w:rPr>
                <w:rFonts w:ascii="宋体" w:hAnsi="宋体" w:cs="宋体"/>
                <w:kern w:val="0"/>
                <w:sz w:val="24"/>
              </w:rPr>
            </w:pPr>
          </w:p>
        </w:tc>
        <w:tc>
          <w:tcPr>
            <w:tcW w:w="1536"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02" w:hRule="atLeast"/>
          <w:jc w:val="center"/>
        </w:trPr>
        <w:tc>
          <w:tcPr>
            <w:tcW w:w="14046" w:type="dxa"/>
            <w:gridSpan w:val="6"/>
            <w:tcBorders>
              <w:top w:val="nil"/>
              <w:left w:val="nil"/>
              <w:bottom w:val="nil"/>
              <w:right w:val="nil"/>
            </w:tcBorders>
            <w:vAlign w:val="center"/>
          </w:tcPr>
          <w:p>
            <w:pPr>
              <w:widowControl/>
              <w:spacing w:line="52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2019年度在泉州从事房屋征收估价房地产评估机构名录库</w:t>
            </w:r>
          </w:p>
        </w:tc>
      </w:tr>
      <w:tr>
        <w:tblPrEx>
          <w:tblCellMar>
            <w:top w:w="0" w:type="dxa"/>
            <w:left w:w="108" w:type="dxa"/>
            <w:bottom w:w="0" w:type="dxa"/>
            <w:right w:w="108" w:type="dxa"/>
          </w:tblCellMar>
        </w:tblPrEx>
        <w:trPr>
          <w:trHeight w:val="762" w:hRule="atLeast"/>
          <w:jc w:val="center"/>
        </w:trPr>
        <w:tc>
          <w:tcPr>
            <w:tcW w:w="14046" w:type="dxa"/>
            <w:gridSpan w:val="6"/>
            <w:tcBorders>
              <w:top w:val="nil"/>
              <w:left w:val="nil"/>
              <w:bottom w:val="single" w:color="auto" w:sz="4" w:space="0"/>
              <w:right w:val="nil"/>
            </w:tcBorders>
            <w:vAlign w:val="center"/>
          </w:tcPr>
          <w:p>
            <w:pPr>
              <w:widowControl/>
              <w:spacing w:line="520" w:lineRule="exact"/>
              <w:jc w:val="left"/>
              <w:rPr>
                <w:rFonts w:ascii="宋体" w:hAnsi="宋体" w:cs="宋体"/>
                <w:b/>
                <w:bCs/>
                <w:kern w:val="0"/>
                <w:sz w:val="28"/>
                <w:szCs w:val="28"/>
              </w:rPr>
            </w:pPr>
            <w:r>
              <w:rPr>
                <w:rFonts w:hint="eastAsia" w:ascii="宋体" w:hAnsi="宋体" w:cs="宋体"/>
                <w:b/>
                <w:bCs/>
                <w:kern w:val="0"/>
                <w:sz w:val="28"/>
                <w:szCs w:val="28"/>
              </w:rPr>
              <w:t>【注册地在泉州的评估机构】</w:t>
            </w:r>
          </w:p>
        </w:tc>
      </w:tr>
      <w:tr>
        <w:tblPrEx>
          <w:tblCellMar>
            <w:top w:w="0" w:type="dxa"/>
            <w:left w:w="108" w:type="dxa"/>
            <w:bottom w:w="0" w:type="dxa"/>
            <w:right w:w="108" w:type="dxa"/>
          </w:tblCellMar>
        </w:tblPrEx>
        <w:trPr>
          <w:trHeight w:val="70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455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机构名称</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房地产估价资质等级</w:t>
            </w:r>
          </w:p>
        </w:tc>
        <w:tc>
          <w:tcPr>
            <w:tcW w:w="477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单位地址</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联系人</w:t>
            </w:r>
          </w:p>
        </w:tc>
        <w:tc>
          <w:tcPr>
            <w:tcW w:w="15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联系电话</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泉州宁朗资产评估房地产估价有限公司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泉州市丰泽区324国道与城东交汇处华大泰禾广场SOHO-2座2106、2107、2108</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陈振明</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13905987935</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福建中正资产评估房地产评估有限公司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泉州市丰泽区泉秀路虹景商业城2号楼1201号</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郑建国</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13960339581</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泉州仁达房地产评估有限公司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泉州市丰泽区东海街道云谷社区东南苑101</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陈国雄</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17750577777</w:t>
            </w:r>
          </w:p>
        </w:tc>
      </w:tr>
      <w:tr>
        <w:tblPrEx>
          <w:tblCellMar>
            <w:top w:w="0" w:type="dxa"/>
            <w:left w:w="108" w:type="dxa"/>
            <w:bottom w:w="0" w:type="dxa"/>
            <w:right w:w="108" w:type="dxa"/>
          </w:tblCellMar>
        </w:tblPrEx>
        <w:trPr>
          <w:trHeight w:val="630"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泉州名城资产评估房地产估价有限公司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泉州市丰泽区祥远路玉源大厦5层</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李峡</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13505997340</w:t>
            </w:r>
          </w:p>
        </w:tc>
      </w:tr>
      <w:tr>
        <w:tblPrEx>
          <w:tblCellMar>
            <w:top w:w="0" w:type="dxa"/>
            <w:left w:w="108" w:type="dxa"/>
            <w:bottom w:w="0" w:type="dxa"/>
            <w:right w:w="108" w:type="dxa"/>
          </w:tblCellMar>
        </w:tblPrEx>
        <w:trPr>
          <w:trHeight w:val="630"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泉州闽南资产评估房地产土地估价有限责任公司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泉州市丰泽区田安路金帝大厦6楼</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陈少华</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13805992898</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泉州中地房地评估有限公司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泉州市丰泽区东泽路丰泽商城综合楼6层07号</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林明红</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15980023599</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泉州中天房地产评估有限公司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single" w:color="auto" w:sz="4" w:space="0"/>
              <w:left w:val="nil"/>
              <w:bottom w:val="single" w:color="auto" w:sz="4" w:space="0"/>
              <w:right w:val="nil"/>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泉州市丰泽街东段圣湖嘉园802号</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陈建伟</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13805921816</w:t>
            </w:r>
          </w:p>
        </w:tc>
      </w:tr>
      <w:tr>
        <w:tblPrEx>
          <w:tblCellMar>
            <w:top w:w="0" w:type="dxa"/>
            <w:left w:w="108" w:type="dxa"/>
            <w:bottom w:w="0" w:type="dxa"/>
            <w:right w:w="108" w:type="dxa"/>
          </w:tblCellMar>
        </w:tblPrEx>
        <w:trPr>
          <w:trHeight w:val="619"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泉州华天资产评估房地产估价有限公司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泉州市宝洲路浦西万达中心A座3206</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李世昌</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13959849013</w:t>
            </w:r>
          </w:p>
        </w:tc>
      </w:tr>
      <w:tr>
        <w:tblPrEx>
          <w:tblCellMar>
            <w:top w:w="0" w:type="dxa"/>
            <w:left w:w="108" w:type="dxa"/>
            <w:bottom w:w="0" w:type="dxa"/>
            <w:right w:w="108" w:type="dxa"/>
          </w:tblCellMar>
        </w:tblPrEx>
        <w:trPr>
          <w:trHeight w:val="619"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南安市恒誉房地产评估有限公司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single" w:color="auto" w:sz="4" w:space="0"/>
              <w:left w:val="nil"/>
              <w:bottom w:val="single" w:color="auto" w:sz="4" w:space="0"/>
              <w:right w:val="nil"/>
            </w:tcBorders>
            <w:vAlign w:val="center"/>
          </w:tcPr>
          <w:p>
            <w:pPr>
              <w:widowControl/>
              <w:jc w:val="left"/>
              <w:textAlignment w:val="center"/>
              <w:rPr>
                <w:rFonts w:ascii="宋体" w:hAnsi="宋体" w:cs="宋体"/>
                <w:kern w:val="0"/>
                <w:sz w:val="24"/>
              </w:rPr>
            </w:pPr>
            <w:r>
              <w:rPr>
                <w:rFonts w:hint="eastAsia" w:ascii="宋体" w:hAnsi="宋体" w:cs="宋体"/>
                <w:kern w:val="0"/>
                <w:sz w:val="24"/>
              </w:rPr>
              <w:t xml:space="preserve">    南安市柳城成功街柳东安置房302室</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苏福南</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13505024060</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泉州永信房地产评估项目咨询有限公司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惠安县螺城乐园街自来水公司3楼</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陈细辉</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13906097662</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11</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泉州市立诚房地产评估有限公司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泉州市丰泽区少林路御峰湖庭1号楼商业配套办公311、313</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陈国侯</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13805963263</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12</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泉州和益资产评估房地产土地估价有限责任公司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泉州市丰泽区田安路中段恒丰商厦8楼808</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张智勇</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18100527777</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13</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福建明达房地产评估有限公司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晋江市区福隆商业广场三期塘岸街131#1幢907</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同艳楠</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13506958911</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14</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泉州市恒瑞房地产评估有限公司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泉州市丰泽区丰泽街圣湖嘉园202室</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陈晓华</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13328887733</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15</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泉州中联房地产评估有限公司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泉州市丰泽区华大街道华大社区润柏大都会3号商住楼1109室</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许水木</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13905057566</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16</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福建大智慧资产评估房地产估价有限公司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叁级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泉州市丰泽区泉秀路毅达大厦1A栋202室</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江同官</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13400888818</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17</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石狮市恒信房地产评估有限公司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叁级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石狮市宝盖镇仑后锦峰花苑3号楼1号梯3单元603</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蔡渊博</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15960712838</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18</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福建恒正资产评估房地产评估有限公司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叁级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晋江市罗山街道福埔社区</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庄进步</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13600700981</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19</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福建中诚信德房地产评估有限公司   （外地在泉州注册分公司）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泉州市丰泽丰泽区丰泽街煌星大厦C区918</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李小娟</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13505026949</w:t>
            </w:r>
          </w:p>
        </w:tc>
      </w:tr>
      <w:tr>
        <w:tblPrEx>
          <w:tblCellMar>
            <w:top w:w="0" w:type="dxa"/>
            <w:left w:w="108" w:type="dxa"/>
            <w:bottom w:w="0" w:type="dxa"/>
            <w:right w:w="108" w:type="dxa"/>
          </w:tblCellMar>
        </w:tblPrEx>
        <w:trPr>
          <w:trHeight w:val="600"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福建华审资产评估房地产土地估价有限责任公司泉州分公司（外地在泉州注册分公司）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泉州市丰泽区泉秀路尊邸大厦2001室</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肖远江</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13905973902</w:t>
            </w:r>
          </w:p>
        </w:tc>
      </w:tr>
      <w:tr>
        <w:tblPrEx>
          <w:tblCellMar>
            <w:top w:w="0" w:type="dxa"/>
            <w:left w:w="108" w:type="dxa"/>
            <w:bottom w:w="0" w:type="dxa"/>
            <w:right w:w="108" w:type="dxa"/>
          </w:tblCellMar>
        </w:tblPrEx>
        <w:trPr>
          <w:trHeight w:val="600"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21</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厦门均和房地产土地评估咨询有限公司泉州分公司（外地在泉州注册分公司）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泉州市丰泽街煌星大厦7楼717</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洪深海</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13959761261</w:t>
            </w:r>
          </w:p>
        </w:tc>
      </w:tr>
      <w:tr>
        <w:tblPrEx>
          <w:tblCellMar>
            <w:top w:w="0" w:type="dxa"/>
            <w:left w:w="108" w:type="dxa"/>
            <w:bottom w:w="0" w:type="dxa"/>
            <w:right w:w="108" w:type="dxa"/>
          </w:tblCellMar>
        </w:tblPrEx>
        <w:trPr>
          <w:trHeight w:val="660"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22</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福建建友资产评估土地房地产估价有限责任公司泉州分公司（外地在泉州注册分公司）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泉州市丰泽区津淮街139号七中教育基金楼（融泰安大夏）1006室</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张卫明</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13067155649</w:t>
            </w:r>
          </w:p>
        </w:tc>
      </w:tr>
      <w:tr>
        <w:tblPrEx>
          <w:tblCellMar>
            <w:top w:w="0" w:type="dxa"/>
            <w:left w:w="108" w:type="dxa"/>
            <w:bottom w:w="0" w:type="dxa"/>
            <w:right w:w="108" w:type="dxa"/>
          </w:tblCellMar>
        </w:tblPrEx>
        <w:trPr>
          <w:trHeight w:val="660"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23</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kern w:val="0"/>
                <w:sz w:val="24"/>
              </w:rPr>
              <w:t>光明房地资产评估有限责任公司泉州分公司（外地在泉州注册分公司）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泉州市丰泽区坪山华园A幢7楼605室</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曾建林</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13505971912</w:t>
            </w:r>
          </w:p>
        </w:tc>
      </w:tr>
      <w:tr>
        <w:tblPrEx>
          <w:tblCellMar>
            <w:top w:w="0" w:type="dxa"/>
            <w:left w:w="108" w:type="dxa"/>
            <w:bottom w:w="0" w:type="dxa"/>
            <w:right w:w="108" w:type="dxa"/>
          </w:tblCellMar>
        </w:tblPrEx>
        <w:trPr>
          <w:trHeight w:val="660"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24</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kern w:val="0"/>
                <w:sz w:val="24"/>
              </w:rPr>
              <w:t>福建均恒房地产评估有限公司泉州分公司（外地在泉州注册分公司）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泉州市丰泽区刺桐路国际华城1#楼308室</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邱和春</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13950811049</w:t>
            </w:r>
          </w:p>
        </w:tc>
      </w:tr>
      <w:tr>
        <w:tblPrEx>
          <w:tblCellMar>
            <w:top w:w="0" w:type="dxa"/>
            <w:left w:w="108" w:type="dxa"/>
            <w:bottom w:w="0" w:type="dxa"/>
            <w:right w:w="108" w:type="dxa"/>
          </w:tblCellMar>
        </w:tblPrEx>
        <w:trPr>
          <w:trHeight w:val="660"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 25</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kern w:val="0"/>
                <w:sz w:val="24"/>
              </w:rPr>
              <w:t>厦门信惠资产评估土地房地产估价有限公司泉州分公司（外地在泉州注册分公司）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泉州丰泽区东湖社区综合大楼六楼B1单元</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傅庆辉</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15259421367</w:t>
            </w:r>
          </w:p>
        </w:tc>
      </w:tr>
      <w:tr>
        <w:tblPrEx>
          <w:tblCellMar>
            <w:top w:w="0" w:type="dxa"/>
            <w:left w:w="108" w:type="dxa"/>
            <w:bottom w:w="0" w:type="dxa"/>
            <w:right w:w="108" w:type="dxa"/>
          </w:tblCellMar>
        </w:tblPrEx>
        <w:trPr>
          <w:trHeight w:val="660"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26</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kern w:val="0"/>
                <w:sz w:val="24"/>
              </w:rPr>
              <w:t>福州建融房地产评估咨询有限公司泉州分公司（外地在泉州注册分公司）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泉州丰泽区定洲街浦西万达写字楼B座1505室</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郑燕红</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13559027745</w:t>
            </w:r>
          </w:p>
        </w:tc>
      </w:tr>
      <w:tr>
        <w:tblPrEx>
          <w:tblCellMar>
            <w:top w:w="0" w:type="dxa"/>
            <w:left w:w="108" w:type="dxa"/>
            <w:bottom w:w="0" w:type="dxa"/>
            <w:right w:w="108" w:type="dxa"/>
          </w:tblCellMar>
        </w:tblPrEx>
        <w:trPr>
          <w:trHeight w:val="660"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27</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hint="eastAsia" w:ascii="宋体" w:hAnsi="宋体" w:cs="宋体"/>
                <w:kern w:val="0"/>
                <w:sz w:val="24"/>
              </w:rPr>
              <w:t>厦门均达房地产资产评估咨询有限公司泉州分公司（外地在泉州注册分公司）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泉州晋江长兴路世纪花园11A-602室</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庄伟杰</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13799260834</w:t>
            </w:r>
          </w:p>
        </w:tc>
      </w:tr>
      <w:tr>
        <w:tblPrEx>
          <w:tblCellMar>
            <w:top w:w="0" w:type="dxa"/>
            <w:left w:w="108" w:type="dxa"/>
            <w:bottom w:w="0" w:type="dxa"/>
            <w:right w:w="108" w:type="dxa"/>
          </w:tblCellMar>
        </w:tblPrEx>
        <w:trPr>
          <w:trHeight w:val="660" w:hRule="atLeast"/>
          <w:jc w:val="center"/>
        </w:trPr>
        <w:tc>
          <w:tcPr>
            <w:tcW w:w="14046" w:type="dxa"/>
            <w:gridSpan w:val="6"/>
            <w:tcBorders>
              <w:top w:val="nil"/>
              <w:left w:val="nil"/>
              <w:bottom w:val="single" w:color="auto" w:sz="4" w:space="0"/>
              <w:right w:val="nil"/>
            </w:tcBorders>
            <w:vAlign w:val="center"/>
          </w:tcPr>
          <w:p>
            <w:pPr>
              <w:widowControl/>
              <w:jc w:val="left"/>
              <w:rPr>
                <w:rFonts w:ascii="宋体" w:hAnsi="宋体" w:cs="宋体"/>
                <w:b/>
                <w:bCs/>
                <w:kern w:val="0"/>
                <w:sz w:val="28"/>
                <w:szCs w:val="28"/>
              </w:rPr>
            </w:pPr>
            <w:r>
              <w:rPr>
                <w:rFonts w:hint="eastAsia" w:ascii="宋体" w:hAnsi="宋体" w:cs="宋体"/>
                <w:b/>
                <w:bCs/>
                <w:kern w:val="0"/>
                <w:sz w:val="28"/>
                <w:szCs w:val="28"/>
              </w:rPr>
              <w:t>【注册地在异地的评估机构】</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28</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福州瑞尔房地产评估有限公司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福州市鼓楼区杨桥路宏扬新城4#楼6层办公A</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刘梅兰</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13600770489</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29</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福建省青商房地产评估有限公司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福州市鼓楼区杨桥东路157号武夷花园C座101</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宋建青</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13850107067</w:t>
            </w:r>
          </w:p>
        </w:tc>
      </w:tr>
      <w:tr>
        <w:tblPrEx>
          <w:tblCellMar>
            <w:top w:w="0" w:type="dxa"/>
            <w:left w:w="108" w:type="dxa"/>
            <w:bottom w:w="0" w:type="dxa"/>
            <w:right w:w="108" w:type="dxa"/>
          </w:tblCellMar>
        </w:tblPrEx>
        <w:trPr>
          <w:trHeight w:val="90"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福建兴闽资产评估土地房地产估价有限责任公司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福建省福州市鼓楼区西洪路528号15#楼第六层602单元</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苏培生</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13788853333</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31</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厦门中利资产评估土地房地产估价有限公司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厦门市斗西北路209号电控大厦11楼</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魏金寿</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13859797570</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32</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福建华成房地产土地资产评估有限公司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福建省福州市五四路118号闽侨大夏三盛国际中心东塔9F</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黄小渊</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13905986506</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33</w:t>
            </w:r>
          </w:p>
        </w:tc>
        <w:tc>
          <w:tcPr>
            <w:tcW w:w="45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厦门银晟土地房地产估价咨询有限公司</w:t>
            </w:r>
          </w:p>
        </w:tc>
        <w:tc>
          <w:tcPr>
            <w:tcW w:w="15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厦门市思明区湖滨北路201号宏业大厦206室</w:t>
            </w:r>
          </w:p>
        </w:tc>
        <w:tc>
          <w:tcPr>
            <w:tcW w:w="100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陈佳潘</w:t>
            </w:r>
          </w:p>
        </w:tc>
        <w:tc>
          <w:tcPr>
            <w:tcW w:w="15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13599996100</w:t>
            </w:r>
          </w:p>
        </w:tc>
      </w:tr>
      <w:tr>
        <w:tblPrEx>
          <w:tblCellMar>
            <w:top w:w="0" w:type="dxa"/>
            <w:left w:w="108" w:type="dxa"/>
            <w:bottom w:w="0" w:type="dxa"/>
            <w:right w:w="108" w:type="dxa"/>
          </w:tblCellMar>
        </w:tblPrEx>
        <w:trPr>
          <w:trHeight w:val="642" w:hRule="atLeast"/>
          <w:jc w:val="center"/>
        </w:trPr>
        <w:tc>
          <w:tcPr>
            <w:tcW w:w="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34</w:t>
            </w:r>
          </w:p>
        </w:tc>
        <w:tc>
          <w:tcPr>
            <w:tcW w:w="4552"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厦门乾元资产评估与房地产估价有限责任公司</w:t>
            </w:r>
          </w:p>
        </w:tc>
        <w:tc>
          <w:tcPr>
            <w:tcW w:w="15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厦门市思明区后埭溪路28号（皇达大厦）5A室</w:t>
            </w:r>
          </w:p>
        </w:tc>
        <w:tc>
          <w:tcPr>
            <w:tcW w:w="100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谢军</w:t>
            </w:r>
          </w:p>
        </w:tc>
        <w:tc>
          <w:tcPr>
            <w:tcW w:w="1536"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15375743110</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35</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厦门巨臣土地房地产评估咨询有限公司</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厦门市思明区湖滨东路6号华龙大厦2206号</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徐旻</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18950005411</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36</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厦门深茂土地房地产评估有限公司</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壹级</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厦门市思明区湖滨东路6号2004室01单元之三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赵玉干</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18950106079</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37</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福建大地土地评估房地产估价有限公司</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福州市鼓楼区华林路168号100号茶叶大夏三层</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黄新文</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13600820806</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38</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福建联合中和资产评估土地房地产估价有限公司</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福州市鼓楼区湖东路168号宏利大厦写字楼27D</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王一道</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13655938000</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39</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福建银德中远资产评估房地产土地估价有限公司</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福州市鼓楼区北环中路2号屏山苑A区1404单元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曾祥福</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18059007717</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40</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福建中恒资产评估土地房地产估价有限公司</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厦门市思明区湖滨南路90号（立信广场）1504室</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黄育明</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13505970868</w:t>
            </w:r>
          </w:p>
        </w:tc>
      </w:tr>
      <w:tr>
        <w:tblPrEx>
          <w:tblCellMar>
            <w:top w:w="0" w:type="dxa"/>
            <w:left w:w="108" w:type="dxa"/>
            <w:bottom w:w="0" w:type="dxa"/>
            <w:right w:w="108" w:type="dxa"/>
          </w:tblCellMar>
        </w:tblPrEx>
        <w:trPr>
          <w:trHeight w:val="642"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41</w:t>
            </w:r>
          </w:p>
        </w:tc>
        <w:tc>
          <w:tcPr>
            <w:tcW w:w="4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福建永和资产评估房地产土地估价有限公司</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贰级</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福州市鼓楼区五一中路49号先施大厦月座11楼A室</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陈少云</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18960973606</w:t>
            </w:r>
          </w:p>
        </w:tc>
      </w:tr>
    </w:tbl>
    <w:p>
      <w:pPr>
        <w:shd w:val="solid" w:color="FFFFFF" w:fill="auto"/>
        <w:autoSpaceDN w:val="0"/>
        <w:spacing w:beforeAutospacing="1" w:afterAutospacing="1" w:line="400" w:lineRule="atLeast"/>
        <w:ind w:firstLine="400"/>
        <w:jc w:val="left"/>
        <w:rPr>
          <w:rFonts w:hint="eastAsia" w:eastAsia="方正仿宋简体"/>
          <w:sz w:val="30"/>
          <w:szCs w:val="30"/>
          <w:shd w:val="clear" w:color="auto" w:fill="FFFFFF"/>
          <w:lang w:val="en-US" w:eastAsia="zh-CN"/>
        </w:rPr>
      </w:pPr>
    </w:p>
    <w:sectPr>
      <w:pgSz w:w="16838" w:h="11906" w:orient="landscape"/>
      <w:pgMar w:top="1644" w:right="1247" w:bottom="1814" w:left="192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- 2 -</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12"/>
    <w:rsid w:val="000038C1"/>
    <w:rsid w:val="00020F50"/>
    <w:rsid w:val="000236C7"/>
    <w:rsid w:val="000312F6"/>
    <w:rsid w:val="0003366B"/>
    <w:rsid w:val="00064810"/>
    <w:rsid w:val="00080D79"/>
    <w:rsid w:val="000A4D38"/>
    <w:rsid w:val="000C4F3B"/>
    <w:rsid w:val="000D158F"/>
    <w:rsid w:val="000D21A2"/>
    <w:rsid w:val="000E4CCB"/>
    <w:rsid w:val="000E7262"/>
    <w:rsid w:val="0012028B"/>
    <w:rsid w:val="001312EB"/>
    <w:rsid w:val="00160775"/>
    <w:rsid w:val="00164F20"/>
    <w:rsid w:val="0017202D"/>
    <w:rsid w:val="001803AE"/>
    <w:rsid w:val="00192109"/>
    <w:rsid w:val="001A41B9"/>
    <w:rsid w:val="001A6089"/>
    <w:rsid w:val="001B2F92"/>
    <w:rsid w:val="002603C6"/>
    <w:rsid w:val="002D579A"/>
    <w:rsid w:val="002E0B7C"/>
    <w:rsid w:val="002E1D66"/>
    <w:rsid w:val="002E466E"/>
    <w:rsid w:val="002F2C7C"/>
    <w:rsid w:val="002F53AD"/>
    <w:rsid w:val="00305F49"/>
    <w:rsid w:val="00316CBF"/>
    <w:rsid w:val="00333685"/>
    <w:rsid w:val="003418F9"/>
    <w:rsid w:val="00397C0F"/>
    <w:rsid w:val="003A2010"/>
    <w:rsid w:val="003B2A9B"/>
    <w:rsid w:val="003B6BDC"/>
    <w:rsid w:val="003B7D27"/>
    <w:rsid w:val="003D42D0"/>
    <w:rsid w:val="003D7F1A"/>
    <w:rsid w:val="003E47F3"/>
    <w:rsid w:val="003E6EAE"/>
    <w:rsid w:val="004021F9"/>
    <w:rsid w:val="00403085"/>
    <w:rsid w:val="00417E66"/>
    <w:rsid w:val="00422330"/>
    <w:rsid w:val="00422E12"/>
    <w:rsid w:val="00462B4C"/>
    <w:rsid w:val="00477FF5"/>
    <w:rsid w:val="00480B78"/>
    <w:rsid w:val="0048745E"/>
    <w:rsid w:val="004920AE"/>
    <w:rsid w:val="004A227E"/>
    <w:rsid w:val="004C17AA"/>
    <w:rsid w:val="004E34EE"/>
    <w:rsid w:val="00503BE9"/>
    <w:rsid w:val="005275D0"/>
    <w:rsid w:val="005359AF"/>
    <w:rsid w:val="00544F5D"/>
    <w:rsid w:val="005661B5"/>
    <w:rsid w:val="005701E3"/>
    <w:rsid w:val="005B0D25"/>
    <w:rsid w:val="005D08C1"/>
    <w:rsid w:val="005E1EC6"/>
    <w:rsid w:val="005F3974"/>
    <w:rsid w:val="00656BB8"/>
    <w:rsid w:val="00660EAB"/>
    <w:rsid w:val="00665148"/>
    <w:rsid w:val="006658C7"/>
    <w:rsid w:val="00673878"/>
    <w:rsid w:val="00677FAE"/>
    <w:rsid w:val="00682228"/>
    <w:rsid w:val="00682BA6"/>
    <w:rsid w:val="00686CEB"/>
    <w:rsid w:val="006A6714"/>
    <w:rsid w:val="006B2555"/>
    <w:rsid w:val="006B5E6D"/>
    <w:rsid w:val="006D16CB"/>
    <w:rsid w:val="006F42FA"/>
    <w:rsid w:val="006F5010"/>
    <w:rsid w:val="006F5028"/>
    <w:rsid w:val="00703AC8"/>
    <w:rsid w:val="007065E7"/>
    <w:rsid w:val="007169D5"/>
    <w:rsid w:val="0072147D"/>
    <w:rsid w:val="007725DE"/>
    <w:rsid w:val="007808DB"/>
    <w:rsid w:val="007913F7"/>
    <w:rsid w:val="007965C6"/>
    <w:rsid w:val="007C06F6"/>
    <w:rsid w:val="007E6B44"/>
    <w:rsid w:val="007F6864"/>
    <w:rsid w:val="00820799"/>
    <w:rsid w:val="0083006A"/>
    <w:rsid w:val="008477AB"/>
    <w:rsid w:val="0085669F"/>
    <w:rsid w:val="00865A4F"/>
    <w:rsid w:val="008725ED"/>
    <w:rsid w:val="0089197F"/>
    <w:rsid w:val="008A1BC2"/>
    <w:rsid w:val="008F5291"/>
    <w:rsid w:val="0090241E"/>
    <w:rsid w:val="009133B7"/>
    <w:rsid w:val="00915ABB"/>
    <w:rsid w:val="00927401"/>
    <w:rsid w:val="00927B50"/>
    <w:rsid w:val="00932F5E"/>
    <w:rsid w:val="009442E9"/>
    <w:rsid w:val="009531E3"/>
    <w:rsid w:val="00960DA8"/>
    <w:rsid w:val="00971A9D"/>
    <w:rsid w:val="009858E9"/>
    <w:rsid w:val="009A189A"/>
    <w:rsid w:val="00A0204B"/>
    <w:rsid w:val="00A03D2E"/>
    <w:rsid w:val="00A16730"/>
    <w:rsid w:val="00A3046E"/>
    <w:rsid w:val="00A421EE"/>
    <w:rsid w:val="00A45725"/>
    <w:rsid w:val="00A62EB8"/>
    <w:rsid w:val="00A71347"/>
    <w:rsid w:val="00A931BD"/>
    <w:rsid w:val="00AA2DC1"/>
    <w:rsid w:val="00AA7239"/>
    <w:rsid w:val="00AD1305"/>
    <w:rsid w:val="00B20662"/>
    <w:rsid w:val="00B24BF2"/>
    <w:rsid w:val="00B90FDC"/>
    <w:rsid w:val="00B96EBB"/>
    <w:rsid w:val="00BA7EA8"/>
    <w:rsid w:val="00BB640B"/>
    <w:rsid w:val="00BD1BB3"/>
    <w:rsid w:val="00BE54D2"/>
    <w:rsid w:val="00C040A4"/>
    <w:rsid w:val="00C052CF"/>
    <w:rsid w:val="00C05504"/>
    <w:rsid w:val="00C3076B"/>
    <w:rsid w:val="00C32342"/>
    <w:rsid w:val="00C52C40"/>
    <w:rsid w:val="00C62BB9"/>
    <w:rsid w:val="00C67C5E"/>
    <w:rsid w:val="00CA21D0"/>
    <w:rsid w:val="00CD1485"/>
    <w:rsid w:val="00CE24FE"/>
    <w:rsid w:val="00CE47A1"/>
    <w:rsid w:val="00CF42A8"/>
    <w:rsid w:val="00D3553E"/>
    <w:rsid w:val="00D50016"/>
    <w:rsid w:val="00D54ED4"/>
    <w:rsid w:val="00D60062"/>
    <w:rsid w:val="00D638AE"/>
    <w:rsid w:val="00D72E32"/>
    <w:rsid w:val="00D749D4"/>
    <w:rsid w:val="00D81A96"/>
    <w:rsid w:val="00D8789F"/>
    <w:rsid w:val="00DC2173"/>
    <w:rsid w:val="00DD4F85"/>
    <w:rsid w:val="00E162D2"/>
    <w:rsid w:val="00E43D10"/>
    <w:rsid w:val="00E93F37"/>
    <w:rsid w:val="00E9746F"/>
    <w:rsid w:val="00ED3564"/>
    <w:rsid w:val="00F1030E"/>
    <w:rsid w:val="00F26CE7"/>
    <w:rsid w:val="00F568AF"/>
    <w:rsid w:val="00F63AAC"/>
    <w:rsid w:val="00F82C69"/>
    <w:rsid w:val="00FE1F00"/>
    <w:rsid w:val="06A02B3A"/>
    <w:rsid w:val="0B836DDA"/>
    <w:rsid w:val="130738F0"/>
    <w:rsid w:val="183B039C"/>
    <w:rsid w:val="1CB83242"/>
    <w:rsid w:val="1F1E3877"/>
    <w:rsid w:val="1FC632A3"/>
    <w:rsid w:val="278716FF"/>
    <w:rsid w:val="2A04794A"/>
    <w:rsid w:val="2CD734E6"/>
    <w:rsid w:val="312F4F68"/>
    <w:rsid w:val="33E56CC2"/>
    <w:rsid w:val="35B24B7A"/>
    <w:rsid w:val="364F4714"/>
    <w:rsid w:val="37B83AB4"/>
    <w:rsid w:val="3B991C3E"/>
    <w:rsid w:val="3C0E15D6"/>
    <w:rsid w:val="3C284167"/>
    <w:rsid w:val="42B005EC"/>
    <w:rsid w:val="42B717FD"/>
    <w:rsid w:val="4A341813"/>
    <w:rsid w:val="4B0D42C3"/>
    <w:rsid w:val="4BCF5B38"/>
    <w:rsid w:val="4CAA066F"/>
    <w:rsid w:val="4CDC68C0"/>
    <w:rsid w:val="50CC0290"/>
    <w:rsid w:val="53A533D9"/>
    <w:rsid w:val="54E36746"/>
    <w:rsid w:val="56A065A3"/>
    <w:rsid w:val="5A38412D"/>
    <w:rsid w:val="5C55588F"/>
    <w:rsid w:val="62E2445D"/>
    <w:rsid w:val="63DC6DAE"/>
    <w:rsid w:val="65502A64"/>
    <w:rsid w:val="656E3864"/>
    <w:rsid w:val="66334926"/>
    <w:rsid w:val="679B2C70"/>
    <w:rsid w:val="6B4766E1"/>
    <w:rsid w:val="6BF113CD"/>
    <w:rsid w:val="75206B2F"/>
    <w:rsid w:val="77B875DD"/>
    <w:rsid w:val="7A5A2217"/>
    <w:rsid w:val="7A7E206F"/>
    <w:rsid w:val="7C9D6B81"/>
    <w:rsid w:val="7DDC217C"/>
    <w:rsid w:val="7F276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2">
    <w:name w:val="Default Paragraph Fon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spacing w:line="360" w:lineRule="auto"/>
      <w:ind w:firstLine="420" w:firstLineChars="200"/>
    </w:pPr>
    <w:rPr>
      <w:rFonts w:hAnsi="宋体" w:cs="宋体"/>
      <w:szCs w:val="28"/>
    </w:rPr>
  </w:style>
  <w:style w:type="paragraph" w:styleId="3">
    <w:name w:val="Body Text Indent"/>
    <w:basedOn w:val="1"/>
    <w:uiPriority w:val="0"/>
    <w:pPr>
      <w:widowControl/>
      <w:tabs>
        <w:tab w:val="left" w:pos="0"/>
        <w:tab w:val="left" w:pos="993"/>
        <w:tab w:val="left" w:pos="1134"/>
      </w:tabs>
      <w:spacing w:line="500" w:lineRule="exact"/>
      <w:ind w:firstLine="567"/>
    </w:pPr>
    <w:rPr>
      <w:rFonts w:ascii="宋体"/>
      <w:sz w:val="28"/>
    </w:rPr>
  </w:style>
  <w:style w:type="paragraph" w:styleId="5">
    <w:name w:val="annotation text"/>
    <w:basedOn w:val="1"/>
    <w:uiPriority w:val="0"/>
    <w:pPr>
      <w:jc w:val="left"/>
    </w:pPr>
  </w:style>
  <w:style w:type="paragraph" w:styleId="6">
    <w:name w:val="Date"/>
    <w:basedOn w:val="1"/>
    <w:next w:val="1"/>
    <w:uiPriority w:val="0"/>
    <w:pPr>
      <w:ind w:left="100" w:leftChars="2500"/>
    </w:p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0">
    <w:name w:val="Normal (Web)"/>
    <w:basedOn w:val="1"/>
    <w:uiPriority w:val="0"/>
    <w:pPr>
      <w:widowControl/>
      <w:spacing w:before="100" w:beforeAutospacing="1" w:after="100" w:afterAutospacing="1"/>
      <w:jc w:val="left"/>
    </w:pPr>
    <w:rPr>
      <w:rFonts w:ascii="宋体" w:hAnsi="宋体" w:cs="宋体"/>
      <w:kern w:val="0"/>
      <w:sz w:val="24"/>
    </w:rPr>
  </w:style>
  <w:style w:type="character" w:styleId="13">
    <w:name w:val="page number"/>
    <w:basedOn w:val="12"/>
    <w:uiPriority w:val="0"/>
  </w:style>
  <w:style w:type="character" w:customStyle="1" w:styleId="14">
    <w:name w:val="apple-converted-space"/>
    <w:basedOn w:val="12"/>
    <w:uiPriority w:val="0"/>
  </w:style>
  <w:style w:type="paragraph" w:customStyle="1" w:styleId="15">
    <w:name w:val="Char Char Char Char Char Char Char Char Char Char"/>
    <w:basedOn w:val="1"/>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868</Words>
  <Characters>4952</Characters>
  <Lines>41</Lines>
  <Paragraphs>11</Paragraphs>
  <TotalTime>35</TotalTime>
  <ScaleCrop>false</ScaleCrop>
  <LinksUpToDate>false</LinksUpToDate>
  <CharactersWithSpaces>5809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2021-02-19T09:51:00Z</dcterms:created>
  <dc:creator>Administrator</dc:creator>
  <cp:lastModifiedBy>user</cp:lastModifiedBy>
  <cp:lastPrinted>2020-03-05T02:25:00Z</cp:lastPrinted>
  <dcterms:modified xsi:type="dcterms:W3CDTF">2021-02-20T00:59:23Z</dcterms:modified>
  <dc:title>关于公开招选房屋征收房地产价格评估机构的公告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