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A196BF">
      <w:pPr>
        <w:pStyle w:val="2"/>
        <w:keepNext w:val="0"/>
        <w:keepLines w:val="0"/>
        <w:pageBreakBefore w:val="0"/>
        <w:widowControl w:val="0"/>
        <w:kinsoku/>
        <w:wordWrap/>
        <w:overflowPunct/>
        <w:topLinePunct w:val="0"/>
        <w:autoSpaceDE/>
        <w:autoSpaceDN/>
        <w:bidi w:val="0"/>
        <w:adjustRightInd/>
        <w:snapToGrid/>
        <w:spacing w:line="520" w:lineRule="exact"/>
        <w:ind w:left="2528" w:leftChars="0" w:hanging="2528" w:hangingChars="645"/>
        <w:jc w:val="center"/>
        <w:textAlignment w:val="auto"/>
        <w:rPr>
          <w:rFonts w:hint="eastAsia" w:ascii="方正小标宋简体" w:hAnsi="方正小标宋简体" w:eastAsia="方正小标宋简体" w:cs="方正小标宋简体"/>
          <w:spacing w:val="-24"/>
          <w:sz w:val="44"/>
          <w:szCs w:val="44"/>
          <w:lang w:val="en-US" w:eastAsia="zh-CN"/>
        </w:rPr>
      </w:pPr>
      <w:r>
        <w:rPr>
          <w:rFonts w:hint="eastAsia" w:ascii="方正小标宋简体" w:hAnsi="方正小标宋简体" w:eastAsia="方正小标宋简体" w:cs="方正小标宋简体"/>
          <w:spacing w:val="-24"/>
          <w:sz w:val="44"/>
          <w:szCs w:val="44"/>
          <w:lang w:val="en-US" w:eastAsia="zh-CN"/>
        </w:rPr>
        <w:t>泉州市丰泽区自然资源局</w:t>
      </w:r>
    </w:p>
    <w:p w14:paraId="403EAA11">
      <w:pPr>
        <w:pStyle w:val="2"/>
        <w:keepNext w:val="0"/>
        <w:keepLines w:val="0"/>
        <w:pageBreakBefore w:val="0"/>
        <w:widowControl w:val="0"/>
        <w:kinsoku/>
        <w:wordWrap/>
        <w:overflowPunct/>
        <w:topLinePunct w:val="0"/>
        <w:autoSpaceDE/>
        <w:autoSpaceDN/>
        <w:bidi w:val="0"/>
        <w:adjustRightInd/>
        <w:snapToGrid/>
        <w:spacing w:line="520" w:lineRule="exact"/>
        <w:ind w:left="2528" w:leftChars="0" w:hanging="2528" w:hangingChars="645"/>
        <w:jc w:val="center"/>
        <w:textAlignment w:val="auto"/>
        <w:rPr>
          <w:rFonts w:hint="eastAsia" w:ascii="方正小标宋简体" w:hAnsi="方正小标宋简体" w:eastAsia="方正小标宋简体" w:cs="方正小标宋简体"/>
          <w:spacing w:val="-24"/>
          <w:sz w:val="44"/>
          <w:szCs w:val="44"/>
        </w:rPr>
      </w:pPr>
      <w:r>
        <w:rPr>
          <w:rFonts w:hint="eastAsia" w:ascii="方正小标宋简体" w:hAnsi="方正小标宋简体" w:eastAsia="方正小标宋简体" w:cs="方正小标宋简体"/>
          <w:spacing w:val="-24"/>
          <w:sz w:val="44"/>
          <w:szCs w:val="44"/>
          <w:lang w:val="en-US" w:eastAsia="zh-CN"/>
        </w:rPr>
        <w:t>关于</w:t>
      </w:r>
      <w:r>
        <w:rPr>
          <w:rFonts w:hint="eastAsia" w:ascii="方正小标宋简体" w:hAnsi="方正小标宋简体" w:eastAsia="方正小标宋简体" w:cs="方正小标宋简体"/>
          <w:spacing w:val="-24"/>
          <w:sz w:val="44"/>
          <w:szCs w:val="44"/>
        </w:rPr>
        <w:t>《</w:t>
      </w:r>
      <w:r>
        <w:rPr>
          <w:rFonts w:hint="eastAsia" w:ascii="方正小标宋简体" w:hAnsi="方正小标宋简体" w:eastAsia="方正小标宋简体" w:cs="方正小标宋简体"/>
          <w:spacing w:val="-24"/>
          <w:sz w:val="44"/>
          <w:szCs w:val="44"/>
          <w:lang w:val="en-US" w:eastAsia="zh-CN"/>
        </w:rPr>
        <w:t>泉州市丰泽区人民政府关于</w:t>
      </w:r>
      <w:r>
        <w:rPr>
          <w:rFonts w:hint="eastAsia" w:ascii="方正小标宋简体" w:hAnsi="方正小标宋简体" w:eastAsia="方正小标宋简体" w:cs="方正小标宋简体"/>
          <w:spacing w:val="-24"/>
          <w:sz w:val="44"/>
          <w:szCs w:val="44"/>
        </w:rPr>
        <w:t>划定陆生野生动物禁猎区</w:t>
      </w:r>
    </w:p>
    <w:p w14:paraId="12A2EC2C">
      <w:pPr>
        <w:pStyle w:val="2"/>
        <w:keepNext w:val="0"/>
        <w:keepLines w:val="0"/>
        <w:pageBreakBefore w:val="0"/>
        <w:widowControl w:val="0"/>
        <w:kinsoku/>
        <w:wordWrap/>
        <w:overflowPunct/>
        <w:topLinePunct w:val="0"/>
        <w:autoSpaceDE/>
        <w:autoSpaceDN/>
        <w:bidi w:val="0"/>
        <w:adjustRightInd/>
        <w:snapToGrid/>
        <w:spacing w:line="520" w:lineRule="exact"/>
        <w:ind w:left="2528" w:leftChars="0" w:hanging="2528" w:hangingChars="645"/>
        <w:jc w:val="center"/>
        <w:textAlignment w:val="auto"/>
        <w:rPr>
          <w:rFonts w:hint="default" w:ascii="方正小标宋简体" w:hAnsi="方正小标宋简体" w:eastAsia="方正小标宋简体" w:cs="方正小标宋简体"/>
          <w:spacing w:val="-24"/>
          <w:sz w:val="44"/>
          <w:szCs w:val="44"/>
          <w:lang w:val="en-US" w:eastAsia="zh-CN"/>
        </w:rPr>
      </w:pPr>
      <w:r>
        <w:rPr>
          <w:rFonts w:hint="eastAsia" w:ascii="方正小标宋简体" w:hAnsi="方正小标宋简体" w:eastAsia="方正小标宋简体" w:cs="方正小标宋简体"/>
          <w:spacing w:val="-24"/>
          <w:sz w:val="44"/>
          <w:szCs w:val="44"/>
        </w:rPr>
        <w:t>以及确定禁猎期和禁猎工具方法</w:t>
      </w:r>
      <w:r>
        <w:rPr>
          <w:rFonts w:hint="eastAsia" w:ascii="方正小标宋简体" w:hAnsi="方正小标宋简体" w:eastAsia="方正小标宋简体" w:cs="方正小标宋简体"/>
          <w:spacing w:val="-24"/>
          <w:sz w:val="44"/>
          <w:szCs w:val="44"/>
          <w:lang w:val="en-US" w:eastAsia="zh-CN"/>
        </w:rPr>
        <w:t>的公告（征求意见稿</w:t>
      </w:r>
      <w:r>
        <w:rPr>
          <w:rFonts w:hint="eastAsia" w:ascii="方正小标宋简体" w:hAnsi="方正小标宋简体" w:eastAsia="方正小标宋简体" w:cs="方正小标宋简体"/>
          <w:spacing w:val="-24"/>
          <w:sz w:val="44"/>
          <w:szCs w:val="44"/>
          <w:lang w:eastAsia="zh-CN"/>
        </w:rPr>
        <w:t>）</w:t>
      </w:r>
      <w:r>
        <w:rPr>
          <w:rFonts w:hint="eastAsia" w:ascii="方正小标宋简体" w:hAnsi="方正小标宋简体" w:eastAsia="方正小标宋简体" w:cs="方正小标宋简体"/>
          <w:spacing w:val="-24"/>
          <w:sz w:val="44"/>
          <w:szCs w:val="44"/>
        </w:rPr>
        <w:t>》</w:t>
      </w:r>
      <w:r>
        <w:rPr>
          <w:rFonts w:hint="eastAsia" w:ascii="方正小标宋简体" w:hAnsi="方正小标宋简体" w:eastAsia="方正小标宋简体" w:cs="方正小标宋简体"/>
          <w:spacing w:val="-24"/>
          <w:sz w:val="44"/>
          <w:szCs w:val="44"/>
          <w:lang w:val="en-US" w:eastAsia="zh-CN"/>
        </w:rPr>
        <w:t>征求意见表</w:t>
      </w:r>
    </w:p>
    <w:p w14:paraId="4A8521C1">
      <w:pPr>
        <w:pStyle w:val="2"/>
        <w:keepNext w:val="0"/>
        <w:keepLines w:val="0"/>
        <w:pageBreakBefore w:val="0"/>
        <w:kinsoku/>
        <w:wordWrap/>
        <w:topLinePunct w:val="0"/>
        <w:autoSpaceDE/>
        <w:autoSpaceDN/>
        <w:bidi w:val="0"/>
        <w:adjustRightInd/>
        <w:snapToGrid/>
        <w:spacing w:line="360" w:lineRule="exact"/>
        <w:ind w:left="3630" w:leftChars="304" w:hanging="2992" w:hangingChars="680"/>
        <w:jc w:val="center"/>
        <w:textAlignment w:val="auto"/>
        <w:rPr>
          <w:rFonts w:hint="eastAsia" w:ascii="方正小标宋简体" w:hAnsi="方正小标宋简体" w:eastAsia="方正小标宋简体" w:cs="方正小标宋简体"/>
          <w:sz w:val="44"/>
          <w:szCs w:val="44"/>
        </w:rPr>
      </w:pPr>
    </w:p>
    <w:tbl>
      <w:tblPr>
        <w:tblStyle w:val="8"/>
        <w:tblW w:w="141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70"/>
      </w:tblGrid>
      <w:tr w14:paraId="28AF4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14170" w:type="dxa"/>
            <w:vAlign w:val="center"/>
          </w:tcPr>
          <w:p w14:paraId="3D72E664">
            <w:pPr>
              <w:keepNext w:val="0"/>
              <w:keepLines w:val="0"/>
              <w:pageBreakBefore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color w:val="FF0000"/>
                <w:sz w:val="32"/>
                <w:szCs w:val="32"/>
              </w:rPr>
            </w:pPr>
          </w:p>
          <w:p w14:paraId="34DB4AB8">
            <w:pPr>
              <w:keepNext w:val="0"/>
              <w:keepLines w:val="0"/>
              <w:pageBreakBefore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color w:val="000000" w:themeColor="text1"/>
                <w:kern w:val="0"/>
                <w:sz w:val="36"/>
                <w:szCs w:val="36"/>
                <w:lang w:val="en-US" w:eastAsia="zh-CN"/>
                <w14:textFill>
                  <w14:solidFill>
                    <w14:schemeClr w14:val="tx1"/>
                  </w14:solidFill>
                </w14:textFill>
              </w:rPr>
              <w:t>征求单位：</w:t>
            </w:r>
          </w:p>
        </w:tc>
      </w:tr>
      <w:tr w14:paraId="13EBA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atLeast"/>
        </w:trPr>
        <w:tc>
          <w:tcPr>
            <w:tcW w:w="14170" w:type="dxa"/>
            <w:shd w:val="clear" w:color="auto" w:fill="auto"/>
          </w:tcPr>
          <w:p w14:paraId="28F22627">
            <w:pPr>
              <w:keepNext w:val="0"/>
              <w:keepLines w:val="0"/>
              <w:pageBreakBefore w:val="0"/>
              <w:widowControl/>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kern w:val="0"/>
                <w:sz w:val="32"/>
                <w:szCs w:val="32"/>
              </w:rPr>
            </w:pPr>
          </w:p>
          <w:p w14:paraId="67AB0030">
            <w:pPr>
              <w:keepNext w:val="0"/>
              <w:keepLines w:val="0"/>
              <w:pageBreakBefore w:val="0"/>
              <w:widowControl/>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kern w:val="0"/>
                <w:sz w:val="32"/>
                <w:szCs w:val="32"/>
              </w:rPr>
            </w:pPr>
          </w:p>
          <w:p w14:paraId="64E3A3AB">
            <w:pPr>
              <w:keepNext w:val="0"/>
              <w:keepLines w:val="0"/>
              <w:pageBreakBefore w:val="0"/>
              <w:widowControl/>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kern w:val="0"/>
                <w:sz w:val="32"/>
                <w:szCs w:val="32"/>
              </w:rPr>
            </w:pPr>
          </w:p>
          <w:p w14:paraId="44A7E6DC">
            <w:pPr>
              <w:keepNext w:val="0"/>
              <w:keepLines w:val="0"/>
              <w:pageBreakBefore w:val="0"/>
              <w:widowControl/>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kern w:val="0"/>
                <w:sz w:val="32"/>
                <w:szCs w:val="32"/>
              </w:rPr>
            </w:pPr>
          </w:p>
          <w:p w14:paraId="3DAE0BF9">
            <w:pPr>
              <w:keepNext w:val="0"/>
              <w:keepLines w:val="0"/>
              <w:pageBreakBefore w:val="0"/>
              <w:widowControl/>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kern w:val="0"/>
                <w:sz w:val="32"/>
                <w:szCs w:val="32"/>
              </w:rPr>
            </w:pPr>
          </w:p>
          <w:p w14:paraId="41732ADF">
            <w:pPr>
              <w:keepNext w:val="0"/>
              <w:keepLines w:val="0"/>
              <w:pageBreakBefore w:val="0"/>
              <w:widowControl/>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kern w:val="0"/>
                <w:sz w:val="32"/>
                <w:szCs w:val="32"/>
              </w:rPr>
            </w:pPr>
          </w:p>
          <w:p w14:paraId="458F54E9">
            <w:pPr>
              <w:keepNext w:val="0"/>
              <w:keepLines w:val="0"/>
              <w:pageBreakBefore w:val="0"/>
              <w:widowControl/>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kern w:val="0"/>
                <w:sz w:val="32"/>
                <w:szCs w:val="32"/>
              </w:rPr>
            </w:pPr>
          </w:p>
          <w:p w14:paraId="3064EC5E">
            <w:pPr>
              <w:keepNext w:val="0"/>
              <w:keepLines w:val="0"/>
              <w:pageBreakBefore w:val="0"/>
              <w:widowControl/>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kern w:val="0"/>
                <w:sz w:val="32"/>
                <w:szCs w:val="32"/>
              </w:rPr>
            </w:pPr>
          </w:p>
        </w:tc>
      </w:tr>
      <w:tr w14:paraId="0DAAF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trPr>
        <w:tc>
          <w:tcPr>
            <w:tcW w:w="14170" w:type="dxa"/>
            <w:shd w:val="clear" w:color="auto" w:fill="auto"/>
          </w:tcPr>
          <w:p w14:paraId="550173FA">
            <w:pPr>
              <w:keepNext w:val="0"/>
              <w:keepLines w:val="0"/>
              <w:pageBreakBefore w:val="0"/>
              <w:widowControl w:val="0"/>
              <w:kinsoku/>
              <w:wordWrap/>
              <w:overflowPunct w:val="0"/>
              <w:topLinePunct w:val="0"/>
              <w:autoSpaceDE/>
              <w:autoSpaceDN/>
              <w:bidi w:val="0"/>
              <w:adjustRightInd/>
              <w:snapToGrid/>
              <w:spacing w:line="360" w:lineRule="exact"/>
              <w:ind w:left="0" w:leftChars="0" w:firstLine="0" w:firstLineChars="0"/>
              <w:jc w:val="lef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kern w:val="0"/>
                <w:sz w:val="32"/>
                <w:szCs w:val="32"/>
                <w:lang w:val="en-US" w:eastAsia="zh-CN"/>
              </w:rPr>
              <w:t>备注：</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现将《泉州市</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丰泽区人民政府关于划定陆生野生动物禁猎区以及确定禁猎期和禁猎工具方法的通告</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（征求意见稿）》征求你单位意见，请于2026年10月23日下午下班前将修改意见书面汇总至泉州市丰泽区自然资源局，逾期未反馈视为无意见。向社会公开征求意见，</w:t>
            </w:r>
            <w:bookmarkStart w:id="0" w:name="_GoBack"/>
            <w:bookmarkEnd w:id="0"/>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欢迎有关单位和个人提出修改意见，并于2026年10月23日前反馈。</w:t>
            </w:r>
            <w:r>
              <w:rPr>
                <w:rFonts w:hint="eastAsia" w:ascii="仿宋_GB2312" w:hAnsi="仿宋_GB2312" w:eastAsia="仿宋_GB2312" w:cs="仿宋_GB2312"/>
                <w:color w:val="000000" w:themeColor="text1"/>
                <w:sz w:val="32"/>
                <w:szCs w:val="32"/>
                <w14:textFill>
                  <w14:solidFill>
                    <w14:schemeClr w14:val="tx1"/>
                  </w14:solidFill>
                </w14:textFill>
              </w:rPr>
              <w:t>联系电话：</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0595-22572035</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电子邮箱：fzsfjy001@163.com。</w:t>
            </w:r>
          </w:p>
          <w:p w14:paraId="032AD897">
            <w:pPr>
              <w:keepNext w:val="0"/>
              <w:keepLines w:val="0"/>
              <w:pageBreakBefore w:val="0"/>
              <w:widowControl/>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kern w:val="0"/>
                <w:sz w:val="32"/>
                <w:szCs w:val="32"/>
                <w:lang w:val="en-US" w:eastAsia="zh-CN"/>
              </w:rPr>
            </w:pPr>
          </w:p>
        </w:tc>
      </w:tr>
    </w:tbl>
    <w:p w14:paraId="42ACEF70"/>
    <w:sectPr>
      <w:pgSz w:w="16838" w:h="11906" w:orient="landscape"/>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F60673F"/>
    <w:rsid w:val="00412082"/>
    <w:rsid w:val="005D71F2"/>
    <w:rsid w:val="00B4676D"/>
    <w:rsid w:val="01D220FB"/>
    <w:rsid w:val="179A2EE5"/>
    <w:rsid w:val="198D5029"/>
    <w:rsid w:val="1F264279"/>
    <w:rsid w:val="25D01930"/>
    <w:rsid w:val="26AD2A00"/>
    <w:rsid w:val="28CE1BFE"/>
    <w:rsid w:val="2E4B016D"/>
    <w:rsid w:val="2F60673F"/>
    <w:rsid w:val="3058478F"/>
    <w:rsid w:val="39A4694A"/>
    <w:rsid w:val="3AF221B7"/>
    <w:rsid w:val="435003E4"/>
    <w:rsid w:val="43EC6F3F"/>
    <w:rsid w:val="4C4F7004"/>
    <w:rsid w:val="4EE35708"/>
    <w:rsid w:val="52F8691E"/>
    <w:rsid w:val="5B331AD4"/>
    <w:rsid w:val="5F6C2A52"/>
    <w:rsid w:val="681D263F"/>
    <w:rsid w:val="6C9D05B4"/>
    <w:rsid w:val="A65757F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iPriority="99"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qFormat/>
    <w:uiPriority w:val="0"/>
    <w:pPr>
      <w:spacing w:line="480" w:lineRule="auto"/>
      <w:ind w:left="420" w:leftChars="200"/>
    </w:pPr>
  </w:style>
  <w:style w:type="paragraph" w:styleId="3">
    <w:name w:val="Balloon Text"/>
    <w:basedOn w:val="1"/>
    <w:next w:val="4"/>
    <w:unhideWhenUsed/>
    <w:qFormat/>
    <w:uiPriority w:val="99"/>
    <w:rPr>
      <w:sz w:val="18"/>
      <w:szCs w:val="18"/>
    </w:rPr>
  </w:style>
  <w:style w:type="paragraph" w:styleId="4">
    <w:name w:val="HTML Preformatted"/>
    <w:basedOn w:val="1"/>
    <w:next w:val="5"/>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60" w:lineRule="exact"/>
      <w:jc w:val="left"/>
    </w:pPr>
    <w:rPr>
      <w:rFonts w:hint="eastAsia" w:ascii="宋体" w:hAnsi="宋体"/>
      <w:kern w:val="0"/>
      <w:sz w:val="24"/>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footer"/>
    <w:basedOn w:val="1"/>
    <w:link w:val="11"/>
    <w:qFormat/>
    <w:uiPriority w:val="0"/>
    <w:pPr>
      <w:tabs>
        <w:tab w:val="center" w:pos="4153"/>
        <w:tab w:val="right" w:pos="8306"/>
      </w:tabs>
      <w:snapToGrid w:val="0"/>
      <w:jc w:val="left"/>
    </w:pPr>
    <w:rPr>
      <w:sz w:val="18"/>
      <w:szCs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0">
    <w:name w:val="p0"/>
    <w:basedOn w:val="1"/>
    <w:qFormat/>
    <w:uiPriority w:val="0"/>
    <w:pPr>
      <w:widowControl/>
    </w:pPr>
    <w:rPr>
      <w:rFonts w:cs="宋体"/>
      <w:kern w:val="0"/>
      <w:szCs w:val="21"/>
    </w:rPr>
  </w:style>
  <w:style w:type="character" w:customStyle="1" w:styleId="11">
    <w:name w:val="页脚 Char"/>
    <w:basedOn w:val="9"/>
    <w:link w:val="6"/>
    <w:qFormat/>
    <w:uiPriority w:val="0"/>
    <w:rPr>
      <w:rFonts w:ascii="Calibri" w:hAnsi="Calibri" w:eastAsia="宋体" w:cs="Times New Roman"/>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232</Words>
  <Characters>270</Characters>
  <Lines>9</Lines>
  <Paragraphs>2</Paragraphs>
  <TotalTime>5</TotalTime>
  <ScaleCrop>false</ScaleCrop>
  <LinksUpToDate>false</LinksUpToDate>
  <CharactersWithSpaces>270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2026-08-25T16:14:00Z</dcterms:created>
  <dc:creator>噬身的蛇</dc:creator>
  <cp:lastModifiedBy>范清查</cp:lastModifiedBy>
  <dcterms:modified xsi:type="dcterms:W3CDTF">2026-10-12T00:34:53Z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318FA50F4F65BA74BC8F8F6A70DED4B4</vt:lpwstr>
  </property>
  <property fmtid="{D5CDD505-2E9C-101B-9397-08002B2CF9AE}" pid="4" name="KSOTemplateDocerSaveRecord">
    <vt:lpwstr>eyJoZGlkIjoiNmI4YTVlMDJiNTY0NDc3OWU5NDg0YWQ3MTYyYTNjMGMiLCJ1c2VySWQiOiI1ODc0Mzc2NDgifQ==</vt:lpwstr>
  </property>
</Properties>
</file>