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rPr>
          <w:rFonts w:hint="eastAsia" w:ascii="方正小标宋简体" w:hAnsi="宋体" w:eastAsia="方正小标宋简体" w:cs="宋体"/>
          <w:color w:val="000000"/>
          <w:kern w:val="0"/>
          <w:sz w:val="44"/>
          <w:szCs w:val="44"/>
        </w:rPr>
      </w:pPr>
    </w:p>
    <w:p>
      <w:pPr>
        <w:spacing w:line="560" w:lineRule="exact"/>
        <w:jc w:val="center"/>
        <w:rPr>
          <w:rFonts w:hint="eastAsia" w:ascii="仿宋_GB2312" w:eastAsia="仿宋_GB2312"/>
          <w:sz w:val="32"/>
          <w:szCs w:val="32"/>
        </w:rPr>
      </w:pPr>
      <w:r>
        <w:rPr>
          <w:rFonts w:hint="eastAsia" w:ascii="仿宋_GB2312" w:eastAsia="仿宋_GB2312"/>
          <w:sz w:val="32"/>
          <w:szCs w:val="32"/>
        </w:rPr>
        <w:t>泉丰东办〔20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21</w:t>
      </w:r>
      <w:r>
        <w:rPr>
          <w:rFonts w:hint="eastAsia" w:ascii="仿宋_GB2312" w:eastAsia="仿宋_GB2312"/>
          <w:sz w:val="32"/>
          <w:szCs w:val="32"/>
        </w:rPr>
        <w:t>号</w:t>
      </w: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92" w:lineRule="exact"/>
        <w:jc w:val="center"/>
        <w:rPr>
          <w:rFonts w:hint="eastAsia" w:ascii="方正小标宋简体" w:eastAsia="方正小标宋简体"/>
          <w:sz w:val="44"/>
          <w:szCs w:val="44"/>
        </w:rPr>
      </w:pPr>
      <w:r>
        <w:rPr>
          <w:rFonts w:hint="eastAsia" w:ascii="方正小标宋简体" w:eastAsia="方正小标宋简体"/>
          <w:sz w:val="44"/>
          <w:szCs w:val="44"/>
        </w:rPr>
        <w:t>丰泽区人民政府东湖街道办事处</w:t>
      </w:r>
    </w:p>
    <w:p>
      <w:pPr>
        <w:widowControl/>
        <w:shd w:val="clear" w:color="auto" w:fill="FFFFFF"/>
        <w:spacing w:line="592" w:lineRule="exact"/>
        <w:jc w:val="center"/>
        <w:rPr>
          <w:rFonts w:hint="eastAsia" w:ascii="方正小标宋简体" w:hAnsi="宋体" w:eastAsia="方正小标宋简体" w:cs="宋体"/>
          <w:color w:val="000000"/>
          <w:kern w:val="0"/>
          <w:sz w:val="44"/>
          <w:szCs w:val="44"/>
        </w:rPr>
      </w:pPr>
      <w:r>
        <w:rPr>
          <w:rFonts w:hint="eastAsia" w:ascii="方正小标宋简体" w:eastAsia="方正小标宋简体"/>
          <w:sz w:val="44"/>
          <w:szCs w:val="44"/>
        </w:rPr>
        <w:t>关于</w:t>
      </w:r>
      <w:r>
        <w:rPr>
          <w:rFonts w:hint="eastAsia" w:ascii="方正小标宋简体" w:hAnsi="宋体" w:eastAsia="方正小标宋简体" w:cs="宋体"/>
          <w:color w:val="000000"/>
          <w:kern w:val="0"/>
          <w:sz w:val="44"/>
          <w:szCs w:val="44"/>
        </w:rPr>
        <w:t>印发20</w:t>
      </w:r>
      <w:r>
        <w:rPr>
          <w:rFonts w:hint="eastAsia" w:ascii="方正小标宋简体" w:hAnsi="宋体" w:eastAsia="方正小标宋简体" w:cs="宋体"/>
          <w:color w:val="000000"/>
          <w:kern w:val="0"/>
          <w:sz w:val="44"/>
          <w:szCs w:val="44"/>
          <w:lang w:val="en-US" w:eastAsia="zh-CN"/>
        </w:rPr>
        <w:t>21</w:t>
      </w:r>
      <w:r>
        <w:rPr>
          <w:rFonts w:hint="eastAsia" w:ascii="方正小标宋简体" w:hAnsi="宋体" w:eastAsia="方正小标宋简体" w:cs="宋体"/>
          <w:color w:val="000000"/>
          <w:kern w:val="0"/>
          <w:sz w:val="44"/>
          <w:szCs w:val="44"/>
        </w:rPr>
        <w:t>年度政务公开</w:t>
      </w:r>
    </w:p>
    <w:p>
      <w:pPr>
        <w:widowControl/>
        <w:shd w:val="clear" w:color="auto" w:fill="FFFFFF"/>
        <w:spacing w:line="592" w:lineRule="exact"/>
        <w:jc w:val="center"/>
        <w:rPr>
          <w:rFonts w:hint="eastAsia" w:ascii="方正小标宋简体" w:eastAsia="方正小标宋简体"/>
          <w:sz w:val="44"/>
          <w:szCs w:val="44"/>
        </w:rPr>
      </w:pPr>
      <w:r>
        <w:rPr>
          <w:rFonts w:hint="eastAsia" w:ascii="方正小标宋简体" w:hAnsi="宋体" w:eastAsia="方正小标宋简体" w:cs="宋体"/>
          <w:color w:val="000000"/>
          <w:kern w:val="0"/>
          <w:sz w:val="44"/>
          <w:szCs w:val="44"/>
        </w:rPr>
        <w:t>工作要点实施方案的通知</w:t>
      </w:r>
    </w:p>
    <w:p>
      <w:pPr>
        <w:spacing w:line="592" w:lineRule="exact"/>
        <w:rPr>
          <w:rFonts w:hint="eastAsia" w:ascii="方正小标宋简体" w:eastAsia="方正小标宋简体"/>
          <w:sz w:val="44"/>
          <w:szCs w:val="44"/>
        </w:rPr>
      </w:pPr>
    </w:p>
    <w:p>
      <w:pPr>
        <w:spacing w:line="592" w:lineRule="exact"/>
        <w:rPr>
          <w:rFonts w:hint="eastAsia" w:ascii="仿宋_GB2312" w:eastAsia="仿宋_GB2312"/>
          <w:sz w:val="32"/>
          <w:szCs w:val="32"/>
        </w:rPr>
      </w:pPr>
      <w:r>
        <w:rPr>
          <w:rFonts w:hint="eastAsia" w:ascii="仿宋_GB2312" w:eastAsia="仿宋_GB2312"/>
          <w:sz w:val="32"/>
          <w:szCs w:val="32"/>
        </w:rPr>
        <w:t>机关各部门：</w:t>
      </w:r>
    </w:p>
    <w:p>
      <w:pPr>
        <w:spacing w:line="592" w:lineRule="exact"/>
        <w:ind w:firstLine="645"/>
        <w:rPr>
          <w:rFonts w:hint="eastAsia" w:ascii="仿宋_GB2312" w:eastAsia="仿宋_GB2312"/>
          <w:sz w:val="32"/>
          <w:szCs w:val="32"/>
        </w:rPr>
      </w:pPr>
      <w:r>
        <w:rPr>
          <w:rFonts w:hint="eastAsia" w:ascii="仿宋_GB2312" w:eastAsia="仿宋_GB2312"/>
          <w:sz w:val="32"/>
          <w:szCs w:val="32"/>
        </w:rPr>
        <w:t>为贯彻落实《</w:t>
      </w:r>
      <w:r>
        <w:rPr>
          <w:rFonts w:hint="eastAsia" w:ascii="仿宋_GB2312" w:eastAsia="仿宋_GB2312"/>
          <w:sz w:val="32"/>
          <w:szCs w:val="32"/>
          <w:lang w:eastAsia="zh-CN"/>
        </w:rPr>
        <w:t>泉州市丰泽区人民政府办公室</w:t>
      </w:r>
      <w:r>
        <w:rPr>
          <w:rFonts w:hint="eastAsia" w:ascii="仿宋_GB2312" w:eastAsia="仿宋_GB2312"/>
          <w:sz w:val="32"/>
          <w:szCs w:val="32"/>
        </w:rPr>
        <w:t>关于印发20</w:t>
      </w:r>
      <w:r>
        <w:rPr>
          <w:rFonts w:hint="eastAsia" w:ascii="仿宋_GB2312" w:eastAsia="仿宋_GB2312"/>
          <w:sz w:val="32"/>
          <w:szCs w:val="32"/>
          <w:lang w:val="en-US" w:eastAsia="zh-CN"/>
        </w:rPr>
        <w:t>21</w:t>
      </w:r>
      <w:r>
        <w:rPr>
          <w:rFonts w:hint="eastAsia" w:ascii="仿宋_GB2312" w:eastAsia="仿宋_GB2312"/>
          <w:sz w:val="32"/>
          <w:szCs w:val="32"/>
        </w:rPr>
        <w:t>年政务公开工作主要任务分解表的通知》（泉丰政办</w:t>
      </w:r>
      <w:r>
        <w:rPr>
          <w:rFonts w:hint="eastAsia" w:ascii="仿宋_GB2312" w:eastAsia="仿宋_GB2312"/>
          <w:sz w:val="32"/>
          <w:szCs w:val="32"/>
          <w:lang w:eastAsia="zh-CN"/>
        </w:rPr>
        <w:t>明电</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24</w:t>
      </w:r>
      <w:r>
        <w:rPr>
          <w:rFonts w:hint="eastAsia" w:ascii="仿宋_GB2312" w:eastAsia="仿宋_GB2312"/>
          <w:sz w:val="32"/>
          <w:szCs w:val="32"/>
        </w:rPr>
        <w:t xml:space="preserve">号），现制定本实施方案，请认真组织实施。   </w:t>
      </w:r>
    </w:p>
    <w:p>
      <w:pPr>
        <w:spacing w:line="592" w:lineRule="exact"/>
        <w:ind w:firstLine="645"/>
        <w:rPr>
          <w:rFonts w:hint="eastAsia" w:ascii="仿宋_GB2312" w:eastAsia="仿宋_GB2312"/>
          <w:sz w:val="32"/>
          <w:szCs w:val="32"/>
        </w:rPr>
      </w:pPr>
      <w:r>
        <w:rPr>
          <w:rFonts w:hint="eastAsia" w:ascii="仿宋_GB2312" w:eastAsia="仿宋_GB2312"/>
          <w:sz w:val="32"/>
          <w:szCs w:val="32"/>
        </w:rPr>
        <w:t xml:space="preserve"> </w:t>
      </w:r>
    </w:p>
    <w:p>
      <w:pPr>
        <w:spacing w:line="592" w:lineRule="exact"/>
        <w:ind w:firstLine="645"/>
        <w:rPr>
          <w:rFonts w:hint="eastAsia" w:ascii="仿宋_GB2312" w:eastAsia="仿宋_GB2312"/>
          <w:sz w:val="32"/>
          <w:szCs w:val="32"/>
        </w:rPr>
      </w:pPr>
      <w:r>
        <w:rPr>
          <w:rFonts w:hint="eastAsia" w:ascii="仿宋_GB2312" w:eastAsia="仿宋_GB2312"/>
          <w:sz w:val="32"/>
          <w:szCs w:val="32"/>
        </w:rPr>
        <w:t>附件：东湖街道20</w:t>
      </w:r>
      <w:r>
        <w:rPr>
          <w:rFonts w:hint="eastAsia" w:ascii="仿宋_GB2312" w:eastAsia="仿宋_GB2312"/>
          <w:sz w:val="32"/>
          <w:szCs w:val="32"/>
          <w:lang w:val="en-US" w:eastAsia="zh-CN"/>
        </w:rPr>
        <w:t>21</w:t>
      </w:r>
      <w:r>
        <w:rPr>
          <w:rFonts w:hint="eastAsia" w:ascii="仿宋_GB2312" w:eastAsia="仿宋_GB2312"/>
          <w:sz w:val="32"/>
          <w:szCs w:val="32"/>
        </w:rPr>
        <w:t>年政务公开工作主要任务分解表</w:t>
      </w:r>
    </w:p>
    <w:p>
      <w:pPr>
        <w:spacing w:line="592" w:lineRule="exact"/>
        <w:rPr>
          <w:rFonts w:hint="eastAsia" w:ascii="仿宋_GB2312" w:eastAsia="仿宋_GB2312"/>
          <w:sz w:val="32"/>
          <w:szCs w:val="32"/>
        </w:rPr>
      </w:pPr>
    </w:p>
    <w:p>
      <w:pPr>
        <w:spacing w:line="592" w:lineRule="exact"/>
        <w:rPr>
          <w:rFonts w:hint="eastAsia" w:ascii="仿宋_GB2312" w:eastAsia="仿宋_GB2312"/>
          <w:sz w:val="32"/>
          <w:szCs w:val="32"/>
        </w:rPr>
      </w:pPr>
    </w:p>
    <w:p>
      <w:pPr>
        <w:spacing w:line="592" w:lineRule="exact"/>
        <w:ind w:firstLine="645"/>
        <w:rPr>
          <w:rFonts w:hint="eastAsia" w:ascii="仿宋_GB2312" w:eastAsia="仿宋_GB2312"/>
          <w:sz w:val="32"/>
          <w:szCs w:val="32"/>
        </w:rPr>
      </w:pPr>
      <w:r>
        <w:rPr>
          <w:rFonts w:hint="eastAsia" w:ascii="仿宋_GB2312" w:eastAsia="仿宋_GB2312"/>
          <w:sz w:val="32"/>
          <w:szCs w:val="32"/>
        </w:rPr>
        <w:t xml:space="preserve">                   丰泽区人民政府东湖街道办事处</w:t>
      </w:r>
    </w:p>
    <w:p>
      <w:pPr>
        <w:spacing w:line="592" w:lineRule="exact"/>
        <w:ind w:firstLine="645"/>
        <w:rPr>
          <w:rFonts w:hint="eastAsia"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 xml:space="preserve"> 6</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p>
    <w:p>
      <w:pPr>
        <w:widowControl/>
        <w:shd w:val="clear" w:color="auto" w:fill="FFFFFF"/>
        <w:spacing w:line="592" w:lineRule="exact"/>
        <w:jc w:val="center"/>
        <w:rPr>
          <w:rFonts w:ascii="方正小标宋简体" w:hAnsi="宋体" w:eastAsia="方正小标宋简体" w:cs="宋体"/>
          <w:color w:val="000000"/>
          <w:kern w:val="0"/>
          <w:sz w:val="44"/>
          <w:szCs w:val="44"/>
        </w:rPr>
        <w:sectPr>
          <w:footerReference r:id="rId5" w:type="first"/>
          <w:footerReference r:id="rId3" w:type="default"/>
          <w:footerReference r:id="rId4" w:type="even"/>
          <w:pgSz w:w="11906" w:h="16838"/>
          <w:pgMar w:top="2098" w:right="1474" w:bottom="1985" w:left="1588" w:header="851" w:footer="992" w:gutter="0"/>
          <w:pgNumType w:start="1"/>
          <w:cols w:space="720" w:num="1"/>
          <w:titlePg/>
          <w:docGrid w:type="lines" w:linePitch="312" w:charSpace="0"/>
        </w:sectPr>
      </w:pPr>
    </w:p>
    <w:p>
      <w:pPr>
        <w:widowControl/>
        <w:shd w:val="clear" w:color="auto" w:fill="FFFFFF"/>
        <w:spacing w:line="50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20</w:t>
      </w:r>
      <w:r>
        <w:rPr>
          <w:rFonts w:hint="eastAsia" w:ascii="方正小标宋简体" w:hAnsi="宋体" w:eastAsia="方正小标宋简体" w:cs="宋体"/>
          <w:color w:val="000000"/>
          <w:kern w:val="0"/>
          <w:sz w:val="44"/>
          <w:szCs w:val="44"/>
          <w:lang w:val="en-US" w:eastAsia="zh-CN"/>
        </w:rPr>
        <w:t>21</w:t>
      </w:r>
      <w:r>
        <w:rPr>
          <w:rFonts w:hint="eastAsia" w:ascii="方正小标宋简体" w:hAnsi="宋体" w:eastAsia="方正小标宋简体" w:cs="宋体"/>
          <w:color w:val="000000"/>
          <w:kern w:val="0"/>
          <w:sz w:val="44"/>
          <w:szCs w:val="44"/>
        </w:rPr>
        <w:t>年度政务公开工作要点实施方案</w:t>
      </w:r>
    </w:p>
    <w:p>
      <w:pPr>
        <w:widowControl/>
        <w:shd w:val="clear" w:color="auto" w:fill="FFFFFF"/>
        <w:spacing w:line="500" w:lineRule="exact"/>
        <w:jc w:val="center"/>
        <w:rPr>
          <w:rFonts w:hint="eastAsia" w:ascii="宋体" w:hAnsi="宋体" w:cs="宋体"/>
          <w:color w:val="000000"/>
          <w:sz w:val="32"/>
          <w:szCs w:val="32"/>
          <w:lang w:bidi="ar"/>
        </w:rPr>
      </w:pPr>
    </w:p>
    <w:p>
      <w:pPr>
        <w:widowControl/>
        <w:spacing w:after="180" w:line="500" w:lineRule="exact"/>
        <w:ind w:firstLine="800" w:firstLineChars="250"/>
        <w:jc w:val="left"/>
        <w:rPr>
          <w:rFonts w:hint="eastAsia" w:ascii="黑体" w:eastAsia="黑体"/>
        </w:rPr>
      </w:pPr>
      <w:r>
        <w:rPr>
          <w:rFonts w:hint="eastAsia" w:ascii="黑体" w:hAnsi="宋体" w:eastAsia="黑体" w:cs="宋体"/>
          <w:color w:val="000000"/>
          <w:sz w:val="32"/>
          <w:szCs w:val="32"/>
          <w:lang w:bidi="ar"/>
        </w:rPr>
        <w:t>一、总体要求</w:t>
      </w:r>
    </w:p>
    <w:p>
      <w:pPr>
        <w:widowControl/>
        <w:spacing w:after="180" w:line="500" w:lineRule="exact"/>
        <w:ind w:firstLine="640" w:firstLineChars="200"/>
        <w:jc w:val="left"/>
        <w:rPr>
          <w:rFonts w:hint="eastAsia" w:ascii="仿宋_GB2312" w:eastAsia="仿宋_GB2312"/>
        </w:rPr>
      </w:pPr>
      <w:r>
        <w:rPr>
          <w:rFonts w:hint="eastAsia" w:ascii="仿宋_GB2312" w:hAnsi="宋体" w:eastAsia="仿宋_GB2312" w:cs="宋体"/>
          <w:color w:val="000000"/>
          <w:sz w:val="32"/>
          <w:szCs w:val="32"/>
          <w:lang w:bidi="ar"/>
        </w:rPr>
        <w:t>深入贯彻习近平新时代中国特色社会主义思想，紧紧围绕经济社会发展和人民群众关切事情，推进行政决策、执行、管理、服务、结果公开，以公开促落实、促规范、促服务，推动简政放权、放管结合、优化服务改革，打造法治政府、创新政府、廉洁政府和服务型政府。</w:t>
      </w:r>
    </w:p>
    <w:p>
      <w:pPr>
        <w:widowControl/>
        <w:spacing w:after="180" w:line="500" w:lineRule="exact"/>
        <w:ind w:firstLine="640" w:firstLineChars="200"/>
        <w:jc w:val="left"/>
        <w:rPr>
          <w:rFonts w:hint="eastAsia" w:ascii="黑体" w:eastAsia="黑体"/>
        </w:rPr>
      </w:pPr>
      <w:r>
        <w:rPr>
          <w:rFonts w:hint="eastAsia" w:ascii="黑体" w:hAnsi="宋体" w:eastAsia="黑体" w:cs="宋体"/>
          <w:color w:val="000000"/>
          <w:sz w:val="32"/>
          <w:szCs w:val="32"/>
          <w:lang w:bidi="ar"/>
        </w:rPr>
        <w:t>二、工作目标</w:t>
      </w:r>
    </w:p>
    <w:p>
      <w:pPr>
        <w:widowControl/>
        <w:spacing w:after="180" w:line="500" w:lineRule="exact"/>
        <w:ind w:firstLine="480"/>
        <w:jc w:val="left"/>
        <w:rPr>
          <w:rFonts w:hint="eastAsia" w:ascii="仿宋_GB2312" w:eastAsia="仿宋_GB2312"/>
        </w:rPr>
      </w:pPr>
      <w:r>
        <w:rPr>
          <w:rFonts w:hint="eastAsia" w:ascii="仿宋_GB2312" w:hAnsi="宋体" w:eastAsia="仿宋_GB2312" w:cs="宋体"/>
          <w:color w:val="000000"/>
          <w:sz w:val="32"/>
          <w:szCs w:val="32"/>
          <w:lang w:bidi="ar"/>
        </w:rPr>
        <w:t>建立健全街道政务公开工作机制，进一步完善工作制度，不断提高政务公开工作能力，全面完成丰泽区</w:t>
      </w:r>
      <w:r>
        <w:rPr>
          <w:rFonts w:hint="eastAsia" w:ascii="仿宋_GB2312" w:hAnsi="??" w:eastAsia="仿宋_GB2312" w:cs="??"/>
          <w:color w:val="000000"/>
          <w:sz w:val="32"/>
          <w:szCs w:val="32"/>
          <w:lang w:bidi="ar"/>
        </w:rPr>
        <w:t>20</w:t>
      </w:r>
      <w:r>
        <w:rPr>
          <w:rFonts w:hint="eastAsia" w:ascii="仿宋_GB2312" w:hAnsi="??" w:eastAsia="仿宋_GB2312" w:cs="??"/>
          <w:color w:val="000000"/>
          <w:sz w:val="32"/>
          <w:szCs w:val="32"/>
          <w:lang w:val="en-US" w:eastAsia="zh-CN" w:bidi="ar"/>
        </w:rPr>
        <w:t>21</w:t>
      </w:r>
      <w:r>
        <w:rPr>
          <w:rFonts w:hint="eastAsia" w:ascii="仿宋_GB2312" w:hAnsi="宋体" w:eastAsia="仿宋_GB2312" w:cs="宋体"/>
          <w:color w:val="000000"/>
          <w:sz w:val="32"/>
          <w:szCs w:val="32"/>
          <w:lang w:bidi="ar"/>
        </w:rPr>
        <w:t>年</w:t>
      </w:r>
      <w:r>
        <w:rPr>
          <w:rFonts w:hint="eastAsia" w:ascii="仿宋_GB2312" w:eastAsia="仿宋_GB2312"/>
          <w:sz w:val="32"/>
          <w:szCs w:val="32"/>
        </w:rPr>
        <w:t>主要任务分解表中</w:t>
      </w:r>
      <w:r>
        <w:rPr>
          <w:rFonts w:hint="eastAsia" w:ascii="仿宋_GB2312" w:hAnsi="宋体" w:eastAsia="仿宋_GB2312" w:cs="宋体"/>
          <w:color w:val="000000"/>
          <w:sz w:val="32"/>
          <w:szCs w:val="32"/>
          <w:lang w:bidi="ar"/>
        </w:rPr>
        <w:t>涉及我街道的工作任务。</w:t>
      </w:r>
    </w:p>
    <w:p>
      <w:pPr>
        <w:widowControl/>
        <w:spacing w:after="180" w:line="500" w:lineRule="exact"/>
        <w:ind w:firstLine="640" w:firstLineChars="200"/>
        <w:jc w:val="left"/>
        <w:rPr>
          <w:rFonts w:hint="eastAsia" w:ascii="黑体" w:eastAsia="黑体"/>
        </w:rPr>
      </w:pPr>
      <w:r>
        <w:rPr>
          <w:rFonts w:hint="eastAsia" w:ascii="黑体" w:hAnsi="宋体" w:eastAsia="黑体" w:cs="宋体"/>
          <w:color w:val="000000"/>
          <w:sz w:val="32"/>
          <w:szCs w:val="32"/>
          <w:lang w:bidi="ar"/>
        </w:rPr>
        <w:t>三、主要任务</w:t>
      </w:r>
    </w:p>
    <w:p>
      <w:pPr>
        <w:widowControl/>
        <w:spacing w:after="180" w:line="500" w:lineRule="exact"/>
        <w:ind w:firstLine="480"/>
        <w:jc w:val="left"/>
        <w:rPr>
          <w:rFonts w:hint="eastAsia" w:ascii="仿宋_GB2312" w:eastAsia="仿宋_GB2312"/>
        </w:rPr>
      </w:pPr>
      <w:r>
        <w:rPr>
          <w:rFonts w:hint="eastAsia" w:ascii="楷体_GB2312" w:hAnsi="宋体" w:eastAsia="楷体_GB2312" w:cs="宋体"/>
          <w:b/>
          <w:color w:val="000000"/>
          <w:sz w:val="32"/>
          <w:szCs w:val="32"/>
          <w:lang w:bidi="ar"/>
        </w:rPr>
        <w:t>（一）建立健全政务公开工作机制。</w:t>
      </w:r>
      <w:r>
        <w:rPr>
          <w:rFonts w:hint="eastAsia" w:ascii="仿宋_GB2312" w:hAnsi="宋体" w:eastAsia="仿宋_GB2312" w:cs="宋体"/>
          <w:color w:val="000000"/>
          <w:sz w:val="32"/>
          <w:szCs w:val="32"/>
          <w:lang w:bidi="ar"/>
        </w:rPr>
        <w:t>结合街道实际，理顺工作体制、健全工作机制，加强政务公开工作力量，确保</w:t>
      </w:r>
      <w:r>
        <w:rPr>
          <w:rFonts w:hint="eastAsia" w:ascii="仿宋_GB2312" w:hAnsi="??" w:eastAsia="仿宋_GB2312" w:cs="??"/>
          <w:color w:val="000000"/>
          <w:sz w:val="32"/>
          <w:szCs w:val="32"/>
          <w:lang w:bidi="ar"/>
        </w:rPr>
        <w:t>20</w:t>
      </w:r>
      <w:r>
        <w:rPr>
          <w:rFonts w:hint="eastAsia" w:ascii="仿宋_GB2312" w:hAnsi="??" w:eastAsia="仿宋_GB2312" w:cs="??"/>
          <w:color w:val="000000"/>
          <w:sz w:val="32"/>
          <w:szCs w:val="32"/>
          <w:lang w:val="en-US" w:eastAsia="zh-CN" w:bidi="ar"/>
        </w:rPr>
        <w:t>21</w:t>
      </w:r>
      <w:r>
        <w:rPr>
          <w:rFonts w:hint="eastAsia" w:ascii="仿宋_GB2312" w:hAnsi="宋体" w:eastAsia="仿宋_GB2312" w:cs="宋体"/>
          <w:color w:val="000000"/>
          <w:sz w:val="32"/>
          <w:szCs w:val="32"/>
          <w:lang w:bidi="ar"/>
        </w:rPr>
        <w:t>年政务公开工作落实到位。进一步理顺机制，结合政府信息公开工作确定专门工作机构，配齐配强工作人员。</w:t>
      </w:r>
    </w:p>
    <w:p>
      <w:pPr>
        <w:widowControl/>
        <w:spacing w:after="180" w:line="500" w:lineRule="exact"/>
        <w:ind w:firstLine="480"/>
        <w:jc w:val="left"/>
        <w:rPr>
          <w:rFonts w:hint="eastAsia" w:ascii="仿宋_GB2312" w:eastAsia="仿宋_GB2312"/>
        </w:rPr>
      </w:pPr>
      <w:r>
        <w:rPr>
          <w:rFonts w:hint="eastAsia" w:ascii="楷体_GB2312" w:hAnsi="宋体" w:eastAsia="楷体_GB2312" w:cs="宋体"/>
          <w:b/>
          <w:color w:val="000000"/>
          <w:sz w:val="32"/>
          <w:szCs w:val="32"/>
          <w:lang w:bidi="ar"/>
        </w:rPr>
        <w:t>（二）提高政务公开工作制度化标准化水平。</w:t>
      </w:r>
      <w:r>
        <w:rPr>
          <w:rFonts w:hint="eastAsia" w:ascii="仿宋_GB2312" w:hAnsi="宋体" w:eastAsia="仿宋_GB2312" w:cs="宋体"/>
          <w:color w:val="000000"/>
          <w:sz w:val="32"/>
          <w:szCs w:val="32"/>
          <w:lang w:bidi="ar"/>
        </w:rPr>
        <w:t>街道机关各部门要按照制度化、标准化、规范化、流程化的要求，进一步完善本部门政务公开工作制度。</w:t>
      </w:r>
    </w:p>
    <w:p>
      <w:pPr>
        <w:widowControl/>
        <w:spacing w:after="180" w:line="500" w:lineRule="exact"/>
        <w:ind w:firstLine="480"/>
        <w:jc w:val="left"/>
        <w:rPr>
          <w:rFonts w:hint="eastAsia" w:ascii="仿宋_GB2312" w:eastAsia="仿宋_GB2312"/>
        </w:rPr>
      </w:pPr>
      <w:r>
        <w:rPr>
          <w:rFonts w:hint="eastAsia" w:ascii="楷体_GB2312" w:hAnsi="宋体" w:eastAsia="楷体_GB2312" w:cs="宋体"/>
          <w:b/>
          <w:color w:val="000000"/>
          <w:sz w:val="32"/>
          <w:szCs w:val="32"/>
          <w:lang w:bidi="ar"/>
        </w:rPr>
        <w:t>（三）提高政务公开工作信息化集中化水平。</w:t>
      </w:r>
      <w:r>
        <w:rPr>
          <w:rFonts w:hint="eastAsia" w:ascii="仿宋_GB2312" w:hAnsi="宋体" w:eastAsia="仿宋_GB2312" w:cs="宋体"/>
          <w:color w:val="000000"/>
          <w:sz w:val="32"/>
          <w:szCs w:val="32"/>
          <w:lang w:bidi="ar"/>
        </w:rPr>
        <w:t>推进</w:t>
      </w:r>
      <w:r>
        <w:rPr>
          <w:rFonts w:hint="eastAsia" w:ascii="仿宋_GB2312" w:hAnsi="??" w:eastAsia="仿宋_GB2312" w:cs="??"/>
          <w:color w:val="000000"/>
          <w:sz w:val="32"/>
          <w:szCs w:val="32"/>
          <w:lang w:bidi="ar"/>
        </w:rPr>
        <w:t>“</w:t>
      </w:r>
      <w:r>
        <w:rPr>
          <w:rFonts w:hint="eastAsia" w:ascii="仿宋_GB2312" w:hAnsi="宋体" w:eastAsia="仿宋_GB2312" w:cs="宋体"/>
          <w:color w:val="000000"/>
          <w:sz w:val="32"/>
          <w:szCs w:val="32"/>
          <w:lang w:bidi="ar"/>
        </w:rPr>
        <w:t>互联网</w:t>
      </w:r>
      <w:r>
        <w:rPr>
          <w:rFonts w:hint="eastAsia" w:ascii="仿宋_GB2312" w:hAnsi="??" w:eastAsia="仿宋_GB2312" w:cs="??"/>
          <w:color w:val="000000"/>
          <w:sz w:val="32"/>
          <w:szCs w:val="32"/>
          <w:lang w:bidi="ar"/>
        </w:rPr>
        <w:t>+</w:t>
      </w:r>
      <w:r>
        <w:rPr>
          <w:rFonts w:hint="eastAsia" w:ascii="仿宋_GB2312" w:hAnsi="宋体" w:eastAsia="仿宋_GB2312" w:cs="宋体"/>
          <w:color w:val="000000"/>
          <w:sz w:val="32"/>
          <w:szCs w:val="32"/>
          <w:lang w:bidi="ar"/>
        </w:rPr>
        <w:t>政务</w:t>
      </w:r>
      <w:r>
        <w:rPr>
          <w:rFonts w:hint="eastAsia" w:ascii="仿宋_GB2312" w:hAnsi="??" w:eastAsia="仿宋_GB2312" w:cs="??"/>
          <w:color w:val="000000"/>
          <w:sz w:val="32"/>
          <w:szCs w:val="32"/>
          <w:lang w:bidi="ar"/>
        </w:rPr>
        <w:t>”</w:t>
      </w:r>
      <w:r>
        <w:rPr>
          <w:rFonts w:hint="eastAsia" w:ascii="仿宋_GB2312" w:hAnsi="宋体" w:eastAsia="仿宋_GB2312" w:cs="宋体"/>
          <w:color w:val="000000"/>
          <w:sz w:val="32"/>
          <w:szCs w:val="32"/>
          <w:lang w:bidi="ar"/>
        </w:rPr>
        <w:t>服务，打造集网上审批、便民服务、政务公开、效能监察为一体的行政职权网上运行平台，推动政务服务事项办理由实体政务大厅向网上办事大厅延伸。</w:t>
      </w:r>
    </w:p>
    <w:p>
      <w:pPr>
        <w:widowControl/>
        <w:spacing w:after="180" w:line="500" w:lineRule="exact"/>
        <w:ind w:firstLine="480"/>
        <w:jc w:val="left"/>
        <w:rPr>
          <w:rFonts w:hint="eastAsia" w:ascii="仿宋_GB2312" w:eastAsia="仿宋_GB2312"/>
        </w:rPr>
      </w:pPr>
      <w:r>
        <w:rPr>
          <w:rFonts w:hint="eastAsia" w:ascii="楷体_GB2312" w:hAnsi="宋体" w:eastAsia="楷体_GB2312" w:cs="宋体"/>
          <w:b/>
          <w:color w:val="000000"/>
          <w:sz w:val="32"/>
          <w:szCs w:val="32"/>
          <w:lang w:bidi="ar"/>
        </w:rPr>
        <w:t>（四）提高政务公开工作人员素质。</w:t>
      </w:r>
      <w:r>
        <w:rPr>
          <w:rFonts w:hint="eastAsia" w:ascii="仿宋_GB2312" w:hAnsi="宋体" w:eastAsia="仿宋_GB2312" w:cs="宋体"/>
          <w:color w:val="000000"/>
          <w:sz w:val="32"/>
          <w:szCs w:val="32"/>
          <w:lang w:bidi="ar"/>
        </w:rPr>
        <w:t>加强对政务公开工作人员的政策理论学习和业务研究培训，准确把握政策精神，增强专业素养，提高指导、推动政务公开工作的能力和水平。</w:t>
      </w:r>
    </w:p>
    <w:p>
      <w:pPr>
        <w:widowControl/>
        <w:spacing w:after="180" w:line="500" w:lineRule="exact"/>
        <w:ind w:firstLine="480"/>
        <w:jc w:val="left"/>
        <w:rPr>
          <w:rFonts w:hint="eastAsia" w:ascii="仿宋_GB2312" w:eastAsia="仿宋_GB2312"/>
        </w:rPr>
      </w:pPr>
      <w:r>
        <w:rPr>
          <w:rFonts w:hint="eastAsia" w:ascii="楷体_GB2312" w:hAnsi="宋体" w:eastAsia="楷体_GB2312" w:cs="宋体"/>
          <w:b/>
          <w:color w:val="000000"/>
          <w:sz w:val="32"/>
          <w:szCs w:val="32"/>
          <w:lang w:bidi="ar"/>
        </w:rPr>
        <w:t>（五）积极主动做好政策解读工作。</w:t>
      </w:r>
      <w:r>
        <w:rPr>
          <w:rFonts w:hint="eastAsia" w:ascii="仿宋_GB2312" w:hAnsi="宋体" w:eastAsia="仿宋_GB2312" w:cs="宋体"/>
          <w:color w:val="000000"/>
          <w:sz w:val="32"/>
          <w:szCs w:val="32"/>
          <w:lang w:bidi="ar"/>
        </w:rPr>
        <w:t>及时对重要政策、重大决策以及与群众切身利益关系密切的政策文件进行解读，提高政策解读的针对性、科学性、权威性和有效性，让群众</w:t>
      </w:r>
      <w:r>
        <w:rPr>
          <w:rFonts w:hint="eastAsia" w:ascii="仿宋_GB2312" w:hAnsi="??" w:eastAsia="仿宋_GB2312" w:cs="??"/>
          <w:color w:val="000000"/>
          <w:sz w:val="32"/>
          <w:szCs w:val="32"/>
          <w:lang w:bidi="ar"/>
        </w:rPr>
        <w:t>“</w:t>
      </w:r>
      <w:r>
        <w:rPr>
          <w:rFonts w:hint="eastAsia" w:ascii="仿宋_GB2312" w:hAnsi="宋体" w:eastAsia="仿宋_GB2312" w:cs="宋体"/>
          <w:color w:val="000000"/>
          <w:sz w:val="32"/>
          <w:szCs w:val="32"/>
          <w:lang w:bidi="ar"/>
        </w:rPr>
        <w:t>听得懂</w:t>
      </w:r>
      <w:r>
        <w:rPr>
          <w:rFonts w:hint="eastAsia" w:ascii="仿宋_GB2312" w:hAnsi="??" w:eastAsia="仿宋_GB2312" w:cs="??"/>
          <w:color w:val="000000"/>
          <w:sz w:val="32"/>
          <w:szCs w:val="32"/>
          <w:lang w:bidi="ar"/>
        </w:rPr>
        <w:t>”、“</w:t>
      </w:r>
      <w:r>
        <w:rPr>
          <w:rFonts w:hint="eastAsia" w:ascii="仿宋_GB2312" w:hAnsi="宋体" w:eastAsia="仿宋_GB2312" w:cs="宋体"/>
          <w:color w:val="000000"/>
          <w:sz w:val="32"/>
          <w:szCs w:val="32"/>
          <w:lang w:bidi="ar"/>
        </w:rPr>
        <w:t>信得过</w:t>
      </w:r>
      <w:r>
        <w:rPr>
          <w:rFonts w:hint="eastAsia" w:ascii="仿宋_GB2312" w:hAnsi="??" w:eastAsia="仿宋_GB2312" w:cs="??"/>
          <w:color w:val="000000"/>
          <w:sz w:val="32"/>
          <w:szCs w:val="32"/>
          <w:lang w:bidi="ar"/>
        </w:rPr>
        <w:t>”</w:t>
      </w:r>
      <w:r>
        <w:rPr>
          <w:rFonts w:hint="eastAsia" w:ascii="仿宋_GB2312" w:hAnsi="宋体" w:eastAsia="仿宋_GB2312" w:cs="宋体"/>
          <w:color w:val="000000"/>
          <w:sz w:val="32"/>
          <w:szCs w:val="32"/>
          <w:lang w:bidi="ar"/>
        </w:rPr>
        <w:t>。</w:t>
      </w:r>
    </w:p>
    <w:p>
      <w:pPr>
        <w:widowControl/>
        <w:spacing w:after="180" w:line="500" w:lineRule="exact"/>
        <w:ind w:firstLine="480"/>
        <w:jc w:val="left"/>
        <w:rPr>
          <w:rFonts w:hint="eastAsia" w:ascii="仿宋_GB2312" w:eastAsia="仿宋_GB2312"/>
        </w:rPr>
      </w:pPr>
      <w:r>
        <w:rPr>
          <w:rFonts w:hint="eastAsia" w:ascii="楷体_GB2312" w:hAnsi="宋体" w:eastAsia="楷体_GB2312" w:cs="宋体"/>
          <w:b/>
          <w:color w:val="000000"/>
          <w:sz w:val="32"/>
          <w:szCs w:val="32"/>
          <w:lang w:bidi="ar"/>
        </w:rPr>
        <w:t>（六）围绕助力政府建设推进公开。</w:t>
      </w:r>
      <w:r>
        <w:rPr>
          <w:rFonts w:hint="eastAsia" w:ascii="仿宋_GB2312" w:hAnsi="宋体" w:eastAsia="仿宋_GB2312" w:cs="宋体"/>
          <w:color w:val="000000"/>
          <w:sz w:val="32"/>
          <w:szCs w:val="32"/>
          <w:lang w:bidi="ar"/>
        </w:rPr>
        <w:t>推进政策执行和落实情况公开，细化公开执行措施、实施步骤、责任分工、监督方式等，实事求是地公布进展和完成情况、督查整改情况和奖惩情况。</w:t>
      </w:r>
    </w:p>
    <w:p>
      <w:pPr>
        <w:widowControl/>
        <w:spacing w:after="180" w:line="500" w:lineRule="exact"/>
        <w:ind w:firstLine="640" w:firstLineChars="200"/>
        <w:jc w:val="left"/>
        <w:rPr>
          <w:rFonts w:hint="eastAsia" w:ascii="黑体" w:eastAsia="黑体"/>
        </w:rPr>
      </w:pPr>
      <w:r>
        <w:rPr>
          <w:rFonts w:hint="eastAsia" w:ascii="黑体" w:hAnsi="宋体" w:eastAsia="黑体" w:cs="宋体"/>
          <w:color w:val="000000"/>
          <w:sz w:val="32"/>
          <w:szCs w:val="32"/>
          <w:lang w:bidi="ar"/>
        </w:rPr>
        <w:t>四、保障措施</w:t>
      </w:r>
    </w:p>
    <w:p>
      <w:pPr>
        <w:widowControl/>
        <w:spacing w:after="180" w:line="500" w:lineRule="exact"/>
        <w:ind w:firstLine="480"/>
        <w:jc w:val="left"/>
        <w:rPr>
          <w:rFonts w:hint="eastAsia" w:ascii="仿宋_GB2312" w:eastAsia="仿宋_GB2312"/>
        </w:rPr>
      </w:pPr>
      <w:r>
        <w:rPr>
          <w:rFonts w:hint="eastAsia" w:ascii="楷体_GB2312" w:hAnsi="宋体" w:eastAsia="楷体_GB2312" w:cs="宋体"/>
          <w:b/>
          <w:color w:val="000000"/>
          <w:sz w:val="32"/>
          <w:szCs w:val="32"/>
          <w:lang w:bidi="ar"/>
        </w:rPr>
        <w:t>（一）加强组织领导。</w:t>
      </w:r>
      <w:r>
        <w:rPr>
          <w:rFonts w:hint="eastAsia" w:ascii="仿宋_GB2312" w:hAnsi="宋体" w:eastAsia="仿宋_GB2312" w:cs="宋体"/>
          <w:color w:val="000000"/>
          <w:sz w:val="32"/>
          <w:szCs w:val="32"/>
          <w:lang w:bidi="ar"/>
        </w:rPr>
        <w:t>街道机关各部门要高度重视政务公开工作，清醒认识到公开透明是法治政府的基本特征，政务公开是全面依法治国、建设法治政府的重要内容，要把政务公开工作纳入重要议事日程。</w:t>
      </w:r>
    </w:p>
    <w:p>
      <w:pPr>
        <w:widowControl/>
        <w:spacing w:after="180" w:line="500" w:lineRule="exact"/>
        <w:ind w:firstLine="480"/>
        <w:jc w:val="left"/>
        <w:rPr>
          <w:rFonts w:hint="eastAsia" w:ascii="仿宋_GB2312" w:eastAsia="仿宋_GB2312"/>
        </w:rPr>
      </w:pPr>
      <w:r>
        <w:rPr>
          <w:rFonts w:hint="eastAsia" w:ascii="楷体_GB2312" w:hAnsi="宋体" w:eastAsia="楷体_GB2312" w:cs="宋体"/>
          <w:b/>
          <w:color w:val="000000"/>
          <w:sz w:val="32"/>
          <w:szCs w:val="32"/>
          <w:lang w:bidi="ar"/>
        </w:rPr>
        <w:t>（二）深化协调配合。</w:t>
      </w:r>
      <w:r>
        <w:rPr>
          <w:rFonts w:hint="eastAsia" w:ascii="仿宋_GB2312" w:hAnsi="宋体" w:eastAsia="仿宋_GB2312" w:cs="宋体"/>
          <w:color w:val="000000"/>
          <w:sz w:val="32"/>
          <w:szCs w:val="32"/>
          <w:lang w:bidi="ar"/>
        </w:rPr>
        <w:t>理顺工作关系，减少职能交叉，加强专门机构建设和人员配备，统筹做好政务公开的各项工作；健全投入机制，为政务公开工作提供必要的人、财、物等各方面保障；完善政府信息发布和政务公开的协调联动机制，充分发挥各部门的作用，使公开的内容更统一、更权威、更准确，公开的服务更便民利民。</w:t>
      </w:r>
    </w:p>
    <w:p>
      <w:pPr>
        <w:widowControl/>
        <w:spacing w:after="180" w:line="500" w:lineRule="exact"/>
        <w:ind w:firstLine="480"/>
        <w:jc w:val="left"/>
        <w:rPr>
          <w:rFonts w:hint="eastAsia" w:ascii="仿宋_GB2312" w:hAnsi="宋体" w:eastAsia="仿宋_GB2312" w:cs="宋体"/>
          <w:color w:val="000000"/>
          <w:sz w:val="32"/>
          <w:szCs w:val="32"/>
          <w:lang w:bidi="ar"/>
        </w:rPr>
      </w:pPr>
      <w:r>
        <w:rPr>
          <w:rFonts w:hint="eastAsia" w:ascii="楷体_GB2312" w:hAnsi="宋体" w:eastAsia="楷体_GB2312" w:cs="宋体"/>
          <w:b/>
          <w:color w:val="000000"/>
          <w:sz w:val="32"/>
          <w:szCs w:val="32"/>
          <w:lang w:bidi="ar"/>
        </w:rPr>
        <w:t>（三）加强监督考核。</w:t>
      </w:r>
      <w:r>
        <w:rPr>
          <w:rFonts w:hint="eastAsia" w:ascii="仿宋_GB2312" w:hAnsi="宋体" w:eastAsia="仿宋_GB2312" w:cs="宋体"/>
          <w:color w:val="000000"/>
          <w:sz w:val="32"/>
          <w:szCs w:val="32"/>
          <w:lang w:bidi="ar"/>
        </w:rPr>
        <w:t>街道机关各部门要按照《东湖街道20</w:t>
      </w:r>
      <w:r>
        <w:rPr>
          <w:rFonts w:hint="eastAsia" w:ascii="仿宋_GB2312" w:hAnsi="宋体" w:eastAsia="仿宋_GB2312" w:cs="宋体"/>
          <w:color w:val="000000"/>
          <w:sz w:val="32"/>
          <w:szCs w:val="32"/>
          <w:lang w:val="en-US" w:eastAsia="zh-CN" w:bidi="ar"/>
        </w:rPr>
        <w:t>21</w:t>
      </w:r>
      <w:r>
        <w:rPr>
          <w:rFonts w:hint="eastAsia" w:ascii="仿宋_GB2312" w:hAnsi="宋体" w:eastAsia="仿宋_GB2312" w:cs="宋体"/>
          <w:color w:val="000000"/>
          <w:sz w:val="32"/>
          <w:szCs w:val="32"/>
          <w:lang w:bidi="ar"/>
        </w:rPr>
        <w:t>年政务公开工作主要任务分解表》，认真落实公开内容，对落实不到位并造成严重影响的，将依法依规严肃追究责任。</w:t>
      </w:r>
    </w:p>
    <w:p>
      <w:pPr>
        <w:pStyle w:val="4"/>
        <w:spacing w:before="0" w:after="0" w:line="579" w:lineRule="exact"/>
        <w:ind w:firstLine="643" w:firstLineChars="200"/>
        <w:jc w:val="left"/>
        <w:rPr>
          <w:rFonts w:hint="eastAsia" w:ascii="仿宋_GB2312" w:hAnsi="宋体" w:eastAsia="仿宋_GB2312" w:cs="宋体"/>
          <w:b w:val="0"/>
          <w:bCs w:val="0"/>
          <w:color w:val="000000"/>
          <w:kern w:val="2"/>
          <w:sz w:val="32"/>
          <w:szCs w:val="32"/>
          <w:lang w:val="en-US" w:eastAsia="zh-CN" w:bidi="ar"/>
        </w:rPr>
      </w:pPr>
      <w:r>
        <w:rPr>
          <w:rFonts w:hint="eastAsia" w:ascii="楷体_GB2312" w:hAnsi="宋体" w:eastAsia="楷体_GB2312" w:cs="宋体"/>
          <w:b/>
          <w:color w:val="000000"/>
          <w:sz w:val="32"/>
          <w:szCs w:val="32"/>
          <w:lang w:eastAsia="zh-CN" w:bidi="ar"/>
        </w:rPr>
        <w:t>（四）落实跟踪到位</w:t>
      </w:r>
      <w:r>
        <w:rPr>
          <w:rFonts w:hint="eastAsia" w:ascii="仿宋_GB2312" w:hAnsi="宋体" w:eastAsia="仿宋_GB2312" w:cs="宋体"/>
          <w:b w:val="0"/>
          <w:bCs w:val="0"/>
          <w:color w:val="000000"/>
          <w:kern w:val="2"/>
          <w:sz w:val="32"/>
          <w:szCs w:val="32"/>
          <w:lang w:val="en-US" w:eastAsia="zh-CN" w:bidi="ar"/>
        </w:rPr>
        <w:t>。请各部门认真组织实施，对照工作任务和工作要求,细化职责分工,对涉及本部门的重点任务,梳理形成工作台账,实时跟进推动,确保落实到位。根据工作部署适时对上一年度政务公开工作要点落实情况开展“回头看”，逐项核实落实情况。</w:t>
      </w:r>
    </w:p>
    <w:p>
      <w:pPr>
        <w:widowControl/>
        <w:spacing w:after="180" w:line="500" w:lineRule="exact"/>
        <w:ind w:firstLine="480"/>
        <w:jc w:val="left"/>
        <w:rPr>
          <w:rFonts w:hint="eastAsia" w:ascii="仿宋_GB2312" w:hAnsi="宋体" w:eastAsia="仿宋_GB2312" w:cs="宋体"/>
          <w:b w:val="0"/>
          <w:bCs w:val="0"/>
          <w:color w:val="000000"/>
          <w:kern w:val="2"/>
          <w:sz w:val="32"/>
          <w:szCs w:val="32"/>
          <w:lang w:val="en-US" w:eastAsia="zh-CN" w:bidi="ar"/>
        </w:rPr>
      </w:pPr>
    </w:p>
    <w:p/>
    <w:p/>
    <w:p/>
    <w:p>
      <w:pPr>
        <w:rPr>
          <w:rFonts w:hint="eastAsia" w:ascii="仿宋_GB2312" w:hAnsi="宋体" w:eastAsia="仿宋_GB2312" w:cs="宋体"/>
          <w:b w:val="0"/>
          <w:bCs w:val="0"/>
          <w:color w:val="000000"/>
          <w:kern w:val="2"/>
          <w:sz w:val="32"/>
          <w:szCs w:val="32"/>
          <w:lang w:val="en-US" w:eastAsia="zh-CN" w:bidi="ar"/>
        </w:rPr>
      </w:pPr>
      <w:r>
        <w:rPr>
          <w:rFonts w:hint="eastAsia"/>
          <w:lang w:val="en-US" w:eastAsia="zh-CN"/>
        </w:rPr>
        <w:t xml:space="preserve">                             </w:t>
      </w:r>
      <w:r>
        <w:rPr>
          <w:rFonts w:hint="eastAsia" w:ascii="仿宋_GB2312" w:hAnsi="宋体" w:eastAsia="仿宋_GB2312" w:cs="宋体"/>
          <w:b w:val="0"/>
          <w:bCs w:val="0"/>
          <w:color w:val="000000"/>
          <w:kern w:val="2"/>
          <w:sz w:val="32"/>
          <w:szCs w:val="32"/>
          <w:lang w:val="en-US" w:eastAsia="zh-CN" w:bidi="ar"/>
        </w:rPr>
        <w:t xml:space="preserve"> </w:t>
      </w:r>
    </w:p>
    <w:p>
      <w:pPr>
        <w:rPr>
          <w:rFonts w:hint="eastAsia" w:ascii="仿宋_GB2312" w:hAnsi="宋体" w:eastAsia="仿宋_GB2312" w:cs="宋体"/>
          <w:b w:val="0"/>
          <w:bCs w:val="0"/>
          <w:color w:val="000000"/>
          <w:kern w:val="2"/>
          <w:sz w:val="32"/>
          <w:szCs w:val="32"/>
          <w:lang w:val="en-US" w:eastAsia="zh-CN" w:bidi="ar"/>
        </w:rPr>
      </w:pPr>
    </w:p>
    <w:p>
      <w:pPr>
        <w:rPr>
          <w:rFonts w:hint="eastAsia" w:ascii="仿宋_GB2312" w:hAnsi="宋体" w:eastAsia="仿宋_GB2312" w:cs="宋体"/>
          <w:b w:val="0"/>
          <w:bCs w:val="0"/>
          <w:color w:val="000000"/>
          <w:kern w:val="2"/>
          <w:sz w:val="32"/>
          <w:szCs w:val="32"/>
          <w:lang w:val="en-US" w:eastAsia="zh-CN" w:bidi="ar"/>
        </w:rPr>
      </w:pPr>
    </w:p>
    <w:p>
      <w:pPr>
        <w:rPr>
          <w:rFonts w:hint="eastAsia" w:ascii="仿宋_GB2312" w:hAnsi="宋体" w:eastAsia="仿宋_GB2312" w:cs="宋体"/>
          <w:b w:val="0"/>
          <w:bCs w:val="0"/>
          <w:color w:val="000000"/>
          <w:kern w:val="2"/>
          <w:sz w:val="32"/>
          <w:szCs w:val="32"/>
          <w:lang w:val="en-US" w:eastAsia="zh-CN" w:bidi="ar"/>
        </w:rPr>
      </w:pPr>
    </w:p>
    <w:p>
      <w:pPr>
        <w:rPr>
          <w:rFonts w:hint="eastAsia" w:ascii="仿宋_GB2312" w:hAnsi="宋体" w:eastAsia="仿宋_GB2312" w:cs="宋体"/>
          <w:b w:val="0"/>
          <w:bCs w:val="0"/>
          <w:color w:val="000000"/>
          <w:kern w:val="2"/>
          <w:sz w:val="32"/>
          <w:szCs w:val="32"/>
          <w:lang w:val="en-US" w:eastAsia="zh-CN" w:bidi="ar"/>
        </w:rPr>
      </w:pPr>
    </w:p>
    <w:p>
      <w:pPr>
        <w:rPr>
          <w:rFonts w:hint="eastAsia" w:ascii="仿宋_GB2312" w:hAnsi="宋体" w:eastAsia="仿宋_GB2312" w:cs="宋体"/>
          <w:b w:val="0"/>
          <w:bCs w:val="0"/>
          <w:color w:val="000000"/>
          <w:kern w:val="2"/>
          <w:sz w:val="32"/>
          <w:szCs w:val="32"/>
          <w:lang w:val="en-US" w:eastAsia="zh-CN" w:bidi="ar"/>
        </w:rPr>
      </w:pPr>
    </w:p>
    <w:p>
      <w:pPr>
        <w:rPr>
          <w:rFonts w:hint="eastAsia" w:ascii="仿宋_GB2312" w:hAnsi="宋体" w:eastAsia="仿宋_GB2312" w:cs="宋体"/>
          <w:b w:val="0"/>
          <w:bCs w:val="0"/>
          <w:color w:val="000000"/>
          <w:kern w:val="2"/>
          <w:sz w:val="32"/>
          <w:szCs w:val="32"/>
          <w:lang w:val="en-US" w:eastAsia="zh-CN" w:bidi="ar"/>
        </w:rPr>
      </w:pPr>
    </w:p>
    <w:p>
      <w:pPr>
        <w:rPr>
          <w:rFonts w:hint="eastAsia" w:ascii="仿宋_GB2312" w:hAnsi="宋体" w:eastAsia="仿宋_GB2312" w:cs="宋体"/>
          <w:b w:val="0"/>
          <w:bCs w:val="0"/>
          <w:color w:val="000000"/>
          <w:kern w:val="2"/>
          <w:sz w:val="32"/>
          <w:szCs w:val="32"/>
          <w:lang w:val="en-US" w:eastAsia="zh-CN" w:bidi="ar"/>
        </w:rPr>
      </w:pPr>
    </w:p>
    <w:p>
      <w:pPr>
        <w:rPr>
          <w:rFonts w:hint="eastAsia" w:ascii="仿宋_GB2312" w:hAnsi="宋体" w:eastAsia="仿宋_GB2312" w:cs="宋体"/>
          <w:b w:val="0"/>
          <w:bCs w:val="0"/>
          <w:color w:val="000000"/>
          <w:kern w:val="2"/>
          <w:sz w:val="32"/>
          <w:szCs w:val="32"/>
          <w:lang w:val="en-US" w:eastAsia="zh-CN" w:bidi="ar"/>
        </w:rPr>
      </w:pPr>
    </w:p>
    <w:p>
      <w:pPr>
        <w:rPr>
          <w:rFonts w:hint="eastAsia" w:ascii="仿宋_GB2312" w:hAnsi="宋体" w:eastAsia="仿宋_GB2312" w:cs="宋体"/>
          <w:b w:val="0"/>
          <w:bCs w:val="0"/>
          <w:color w:val="000000"/>
          <w:kern w:val="2"/>
          <w:sz w:val="32"/>
          <w:szCs w:val="32"/>
          <w:lang w:val="en-US" w:eastAsia="zh-CN" w:bidi="ar"/>
        </w:rPr>
      </w:pPr>
    </w:p>
    <w:p>
      <w:pPr>
        <w:rPr>
          <w:rFonts w:hint="eastAsia" w:ascii="仿宋_GB2312" w:hAnsi="宋体" w:eastAsia="仿宋_GB2312" w:cs="宋体"/>
          <w:b w:val="0"/>
          <w:bCs w:val="0"/>
          <w:color w:val="000000"/>
          <w:kern w:val="2"/>
          <w:sz w:val="32"/>
          <w:szCs w:val="32"/>
          <w:lang w:val="en-US" w:eastAsia="zh-CN" w:bidi="ar"/>
        </w:rPr>
      </w:pPr>
    </w:p>
    <w:p>
      <w:pPr>
        <w:rPr>
          <w:rFonts w:hint="eastAsia" w:ascii="仿宋_GB2312" w:hAnsi="宋体" w:eastAsia="仿宋_GB2312" w:cs="宋体"/>
          <w:b w:val="0"/>
          <w:bCs w:val="0"/>
          <w:color w:val="000000"/>
          <w:kern w:val="2"/>
          <w:sz w:val="32"/>
          <w:szCs w:val="32"/>
          <w:lang w:val="en-US" w:eastAsia="zh-CN" w:bidi="ar"/>
        </w:rPr>
      </w:pPr>
    </w:p>
    <w:p>
      <w:pPr>
        <w:pStyle w:val="4"/>
        <w:spacing w:before="0" w:after="0" w:line="240" w:lineRule="atLeast"/>
        <w:jc w:val="both"/>
        <w:rPr>
          <w:rFonts w:hint="eastAsia" w:ascii="方正小标宋简体" w:hAnsi="方正小标宋简体" w:eastAsia="方正小标宋简体" w:cs="方正小标宋简体"/>
          <w:b w:val="0"/>
          <w:bCs w:val="0"/>
          <w:spacing w:val="-20"/>
          <w:kern w:val="0"/>
          <w:position w:val="6"/>
          <w:sz w:val="44"/>
          <w:szCs w:val="44"/>
          <w:lang w:eastAsia="zh-CN"/>
        </w:rPr>
      </w:pPr>
    </w:p>
    <w:p>
      <w:pPr>
        <w:pStyle w:val="4"/>
        <w:spacing w:before="0" w:after="0" w:line="240" w:lineRule="atLeast"/>
        <w:jc w:val="both"/>
        <w:rPr>
          <w:rFonts w:hint="eastAsia" w:ascii="方正小标宋简体" w:hAnsi="方正小标宋简体" w:eastAsia="方正小标宋简体" w:cs="方正小标宋简体"/>
          <w:b w:val="0"/>
          <w:bCs w:val="0"/>
          <w:spacing w:val="-20"/>
          <w:kern w:val="0"/>
          <w:position w:val="6"/>
          <w:sz w:val="44"/>
          <w:szCs w:val="44"/>
          <w:lang w:eastAsia="zh-CN"/>
        </w:rPr>
      </w:pPr>
      <w:r>
        <w:rPr>
          <w:rFonts w:hint="eastAsia" w:ascii="方正小标宋简体" w:hAnsi="方正小标宋简体" w:eastAsia="方正小标宋简体" w:cs="方正小标宋简体"/>
          <w:b w:val="0"/>
          <w:bCs w:val="0"/>
          <w:spacing w:val="-20"/>
          <w:kern w:val="0"/>
          <w:position w:val="6"/>
          <w:sz w:val="44"/>
          <w:szCs w:val="44"/>
          <w:lang w:eastAsia="zh-CN"/>
        </w:rPr>
        <w:t>附件</w:t>
      </w:r>
    </w:p>
    <w:p>
      <w:pPr>
        <w:pStyle w:val="4"/>
        <w:spacing w:before="0" w:after="0" w:line="240" w:lineRule="atLeast"/>
        <w:rPr>
          <w:rFonts w:hint="eastAsia" w:ascii="方正小标宋简体" w:hAnsi="方正小标宋简体" w:eastAsia="方正小标宋简体" w:cs="方正小标宋简体"/>
          <w:b w:val="0"/>
          <w:bCs w:val="0"/>
          <w:spacing w:val="-20"/>
          <w:kern w:val="0"/>
          <w:position w:val="6"/>
          <w:sz w:val="44"/>
          <w:szCs w:val="44"/>
        </w:rPr>
      </w:pPr>
      <w:r>
        <w:rPr>
          <w:rFonts w:hint="eastAsia" w:ascii="方正小标宋简体" w:hAnsi="方正小标宋简体" w:eastAsia="方正小标宋简体" w:cs="方正小标宋简体"/>
          <w:b w:val="0"/>
          <w:bCs w:val="0"/>
          <w:spacing w:val="-20"/>
          <w:kern w:val="0"/>
          <w:position w:val="6"/>
          <w:sz w:val="44"/>
          <w:szCs w:val="44"/>
          <w:lang w:eastAsia="zh-CN"/>
        </w:rPr>
        <w:t>东湖街道</w:t>
      </w:r>
      <w:r>
        <w:rPr>
          <w:rFonts w:hint="eastAsia" w:ascii="方正小标宋简体" w:hAnsi="方正小标宋简体" w:eastAsia="方正小标宋简体" w:cs="方正小标宋简体"/>
          <w:b w:val="0"/>
          <w:bCs w:val="0"/>
          <w:spacing w:val="-20"/>
          <w:kern w:val="0"/>
          <w:position w:val="6"/>
          <w:sz w:val="44"/>
          <w:szCs w:val="44"/>
        </w:rPr>
        <w:t>2021年政务公开工作主要任务分解表</w:t>
      </w:r>
    </w:p>
    <w:tbl>
      <w:tblPr>
        <w:tblStyle w:val="5"/>
        <w:tblW w:w="9770"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66"/>
        <w:gridCol w:w="1067"/>
        <w:gridCol w:w="1391"/>
        <w:gridCol w:w="4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566" w:type="dxa"/>
            <w:noWrap w:val="0"/>
            <w:tcMar>
              <w:left w:w="28" w:type="dxa"/>
              <w:right w:w="28" w:type="dxa"/>
            </w:tcMar>
            <w:vAlign w:val="center"/>
          </w:tcPr>
          <w:p>
            <w:pPr>
              <w:widowControl/>
              <w:spacing w:before="75" w:after="75" w:line="360" w:lineRule="atLeast"/>
              <w:jc w:val="center"/>
              <w:rPr>
                <w:rFonts w:hint="eastAsia" w:ascii="宋体" w:hAnsi="宋体" w:cs="宋体"/>
                <w:sz w:val="24"/>
                <w:szCs w:val="24"/>
              </w:rPr>
            </w:pPr>
            <w:r>
              <w:rPr>
                <w:rFonts w:hint="eastAsia" w:ascii="宋体" w:hAnsi="宋体" w:cs="宋体"/>
                <w:b/>
                <w:kern w:val="0"/>
                <w:sz w:val="24"/>
                <w:szCs w:val="24"/>
                <w:lang w:bidi="ar"/>
              </w:rPr>
              <w:t>工作任务</w:t>
            </w:r>
          </w:p>
        </w:tc>
        <w:tc>
          <w:tcPr>
            <w:tcW w:w="1067" w:type="dxa"/>
            <w:noWrap w:val="0"/>
            <w:tcMar>
              <w:left w:w="28" w:type="dxa"/>
              <w:right w:w="28" w:type="dxa"/>
            </w:tcMar>
            <w:vAlign w:val="center"/>
          </w:tcPr>
          <w:p>
            <w:pPr>
              <w:widowControl/>
              <w:spacing w:before="75" w:after="75" w:line="360" w:lineRule="atLeast"/>
              <w:jc w:val="center"/>
              <w:rPr>
                <w:rFonts w:hint="eastAsia" w:ascii="宋体" w:hAnsi="宋体" w:cs="宋体"/>
                <w:sz w:val="24"/>
                <w:szCs w:val="24"/>
              </w:rPr>
            </w:pPr>
            <w:r>
              <w:rPr>
                <w:rFonts w:hint="eastAsia" w:ascii="宋体" w:hAnsi="宋体" w:cs="宋体"/>
                <w:b/>
                <w:kern w:val="0"/>
                <w:sz w:val="24"/>
                <w:szCs w:val="24"/>
                <w:lang w:bidi="ar"/>
              </w:rPr>
              <w:t>牵头单位</w:t>
            </w:r>
          </w:p>
        </w:tc>
        <w:tc>
          <w:tcPr>
            <w:tcW w:w="1391" w:type="dxa"/>
            <w:noWrap w:val="0"/>
            <w:tcMar>
              <w:left w:w="28" w:type="dxa"/>
              <w:right w:w="28" w:type="dxa"/>
            </w:tcMar>
            <w:vAlign w:val="center"/>
          </w:tcPr>
          <w:p>
            <w:pPr>
              <w:widowControl/>
              <w:spacing w:before="75" w:after="75" w:line="360" w:lineRule="atLeast"/>
              <w:jc w:val="center"/>
              <w:rPr>
                <w:rFonts w:hint="eastAsia" w:ascii="宋体" w:hAnsi="宋体" w:cs="宋体"/>
                <w:sz w:val="24"/>
                <w:szCs w:val="24"/>
              </w:rPr>
            </w:pPr>
            <w:r>
              <w:rPr>
                <w:rFonts w:hint="eastAsia" w:ascii="宋体" w:hAnsi="宋体" w:cs="宋体"/>
                <w:b/>
                <w:kern w:val="0"/>
                <w:sz w:val="24"/>
                <w:szCs w:val="24"/>
                <w:lang w:bidi="ar"/>
              </w:rPr>
              <w:t>责任部门</w:t>
            </w:r>
          </w:p>
        </w:tc>
        <w:tc>
          <w:tcPr>
            <w:tcW w:w="4746" w:type="dxa"/>
            <w:noWrap w:val="0"/>
            <w:tcMar>
              <w:left w:w="28" w:type="dxa"/>
              <w:right w:w="28" w:type="dxa"/>
            </w:tcMar>
            <w:vAlign w:val="center"/>
          </w:tcPr>
          <w:p>
            <w:pPr>
              <w:widowControl/>
              <w:spacing w:before="75" w:after="75" w:line="360" w:lineRule="atLeast"/>
              <w:jc w:val="center"/>
              <w:rPr>
                <w:rFonts w:hint="eastAsia" w:ascii="宋体" w:hAnsi="宋体" w:cs="宋体"/>
                <w:sz w:val="24"/>
                <w:szCs w:val="24"/>
              </w:rPr>
            </w:pPr>
            <w:r>
              <w:rPr>
                <w:rFonts w:hint="eastAsia" w:ascii="宋体" w:hAnsi="宋体" w:cs="宋体"/>
                <w:b/>
                <w:kern w:val="0"/>
                <w:sz w:val="24"/>
                <w:szCs w:val="24"/>
                <w:lang w:bidi="ar"/>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770" w:type="dxa"/>
            <w:gridSpan w:val="4"/>
            <w:noWrap w:val="0"/>
            <w:tcMar>
              <w:left w:w="28" w:type="dxa"/>
              <w:right w:w="28" w:type="dxa"/>
            </w:tcMar>
            <w:vAlign w:val="center"/>
          </w:tcPr>
          <w:p>
            <w:pPr>
              <w:widowControl/>
              <w:spacing w:before="75" w:after="75" w:line="360" w:lineRule="atLeast"/>
              <w:jc w:val="center"/>
              <w:rPr>
                <w:rFonts w:hint="eastAsia" w:ascii="宋体" w:hAnsi="宋体" w:cs="宋体"/>
                <w:sz w:val="24"/>
                <w:szCs w:val="24"/>
              </w:rPr>
            </w:pPr>
            <w:r>
              <w:rPr>
                <w:rFonts w:hint="eastAsia" w:ascii="方正仿宋简体" w:hAnsi="宋体" w:eastAsia="方正仿宋简体" w:cs="宋体"/>
                <w:b/>
                <w:bCs/>
                <w:color w:val="000000"/>
                <w:kern w:val="0"/>
                <w:sz w:val="24"/>
                <w:szCs w:val="24"/>
              </w:rPr>
              <w:t>一、紧扣“十四五”开好局起好步深化政务公开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770" w:type="dxa"/>
            <w:gridSpan w:val="4"/>
            <w:noWrap w:val="0"/>
            <w:tcMar>
              <w:left w:w="28" w:type="dxa"/>
              <w:right w:w="28" w:type="dxa"/>
            </w:tcMar>
            <w:vAlign w:val="center"/>
          </w:tcPr>
          <w:p>
            <w:pPr>
              <w:widowControl/>
              <w:spacing w:line="240" w:lineRule="atLeast"/>
              <w:textAlignment w:val="center"/>
              <w:rPr>
                <w:rFonts w:hint="eastAsia" w:ascii="宋体" w:hAnsi="宋体" w:cs="宋体"/>
                <w:sz w:val="24"/>
                <w:szCs w:val="24"/>
              </w:rPr>
            </w:pPr>
            <w:r>
              <w:rPr>
                <w:rFonts w:hint="eastAsia" w:ascii="宋体" w:hAnsi="宋体" w:cs="宋体"/>
                <w:b/>
                <w:kern w:val="0"/>
                <w:sz w:val="24"/>
                <w:szCs w:val="24"/>
                <w:lang w:bidi="ar"/>
              </w:rPr>
              <w:t>（一）围绕建设法治政府全面推进政务公开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1" w:hRule="atLeast"/>
        </w:trPr>
        <w:tc>
          <w:tcPr>
            <w:tcW w:w="2566" w:type="dxa"/>
            <w:noWrap w:val="0"/>
            <w:tcMar>
              <w:left w:w="28" w:type="dxa"/>
              <w:right w:w="28" w:type="dxa"/>
            </w:tcMar>
            <w:vAlign w:val="center"/>
          </w:tcPr>
          <w:p>
            <w:pPr>
              <w:widowControl/>
              <w:spacing w:before="75" w:after="75" w:line="360" w:lineRule="exact"/>
              <w:jc w:val="left"/>
              <w:rPr>
                <w:rFonts w:hint="eastAsia" w:ascii="宋体" w:hAnsi="宋体" w:eastAsia="宋体" w:cs="宋体"/>
                <w:kern w:val="2"/>
                <w:sz w:val="24"/>
                <w:szCs w:val="24"/>
                <w:lang w:val="en-US" w:eastAsia="zh-CN" w:bidi="ar-SA"/>
              </w:rPr>
            </w:pPr>
            <w:r>
              <w:rPr>
                <w:rFonts w:hint="eastAsia" w:ascii="宋体" w:hAnsi="宋体" w:cs="宋体"/>
                <w:kern w:val="0"/>
                <w:sz w:val="24"/>
                <w:szCs w:val="24"/>
                <w:lang w:bidi="ar"/>
              </w:rPr>
              <w:t>1.政府工作要做到公开透明</w:t>
            </w:r>
          </w:p>
        </w:tc>
        <w:tc>
          <w:tcPr>
            <w:tcW w:w="1067" w:type="dxa"/>
            <w:noWrap w:val="0"/>
            <w:tcMar>
              <w:left w:w="28" w:type="dxa"/>
              <w:right w:w="28" w:type="dxa"/>
            </w:tcMar>
            <w:vAlign w:val="center"/>
          </w:tcPr>
          <w:p>
            <w:pPr>
              <w:widowControl/>
              <w:spacing w:before="75" w:after="75" w:line="360" w:lineRule="exact"/>
              <w:jc w:val="left"/>
              <w:rPr>
                <w:rFonts w:hint="eastAsia" w:ascii="宋体" w:hAnsi="宋体" w:eastAsia="宋体" w:cs="宋体"/>
                <w:kern w:val="2"/>
                <w:sz w:val="24"/>
                <w:szCs w:val="24"/>
                <w:lang w:val="en-US" w:eastAsia="zh-CN" w:bidi="ar-SA"/>
              </w:rPr>
            </w:pPr>
            <w:r>
              <w:rPr>
                <w:rFonts w:hint="eastAsia" w:ascii="宋体" w:hAnsi="宋体" w:cs="宋体"/>
                <w:kern w:val="0"/>
                <w:sz w:val="24"/>
                <w:szCs w:val="24"/>
                <w:lang w:bidi="ar"/>
              </w:rPr>
              <w:t> </w:t>
            </w:r>
          </w:p>
        </w:tc>
        <w:tc>
          <w:tcPr>
            <w:tcW w:w="1391" w:type="dxa"/>
            <w:noWrap w:val="0"/>
            <w:tcMar>
              <w:left w:w="28" w:type="dxa"/>
              <w:right w:w="28" w:type="dxa"/>
            </w:tcMar>
            <w:vAlign w:val="center"/>
          </w:tcPr>
          <w:p>
            <w:pPr>
              <w:widowControl/>
              <w:spacing w:before="75" w:after="75" w:line="360" w:lineRule="exact"/>
              <w:jc w:val="left"/>
              <w:rPr>
                <w:rFonts w:hint="eastAsia" w:ascii="宋体" w:hAnsi="宋体" w:eastAsia="宋体" w:cs="宋体"/>
                <w:kern w:val="2"/>
                <w:sz w:val="24"/>
                <w:szCs w:val="24"/>
                <w:lang w:val="en-US" w:eastAsia="zh-CN" w:bidi="ar-SA"/>
              </w:rPr>
            </w:pPr>
            <w:r>
              <w:rPr>
                <w:rFonts w:hint="eastAsia" w:ascii="方正仿宋简体" w:hAnsi="宋体" w:eastAsia="方正仿宋简体" w:cs="宋体"/>
                <w:color w:val="000000"/>
                <w:kern w:val="0"/>
                <w:sz w:val="24"/>
                <w:szCs w:val="24"/>
              </w:rPr>
              <w:t>街道各部门</w:t>
            </w:r>
          </w:p>
        </w:tc>
        <w:tc>
          <w:tcPr>
            <w:tcW w:w="4746" w:type="dxa"/>
            <w:noWrap w:val="0"/>
            <w:tcMar>
              <w:left w:w="28" w:type="dxa"/>
              <w:right w:w="28" w:type="dxa"/>
            </w:tcMar>
            <w:vAlign w:val="center"/>
          </w:tcPr>
          <w:p>
            <w:pPr>
              <w:widowControl/>
              <w:spacing w:before="75" w:after="75" w:line="360" w:lineRule="exact"/>
              <w:jc w:val="left"/>
              <w:rPr>
                <w:rFonts w:hint="eastAsia" w:ascii="宋体" w:hAnsi="宋体" w:eastAsia="宋体" w:cs="宋体"/>
                <w:kern w:val="2"/>
                <w:sz w:val="24"/>
                <w:szCs w:val="24"/>
                <w:lang w:val="en-US" w:eastAsia="zh-CN" w:bidi="ar-SA"/>
              </w:rPr>
            </w:pPr>
            <w:r>
              <w:rPr>
                <w:rFonts w:hint="eastAsia" w:ascii="宋体" w:hAnsi="宋体" w:cs="宋体"/>
                <w:kern w:val="0"/>
                <w:sz w:val="24"/>
                <w:szCs w:val="24"/>
                <w:lang w:bidi="ar"/>
              </w:rPr>
              <w:t>坚持以公开为常态、不公开为例外，政府全体会议和常务会议讨论决定的事项、政府及其部门制定的政策，除依法需要保密的外应及时公开，以公开促进依法行政和政策落地见效。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1" w:hRule="atLeast"/>
        </w:trPr>
        <w:tc>
          <w:tcPr>
            <w:tcW w:w="2566" w:type="dxa"/>
            <w:noWrap w:val="0"/>
            <w:tcMar>
              <w:left w:w="28" w:type="dxa"/>
              <w:right w:w="28" w:type="dxa"/>
            </w:tcMar>
            <w:vAlign w:val="center"/>
          </w:tcPr>
          <w:p>
            <w:pPr>
              <w:widowControl/>
              <w:spacing w:before="75" w:after="75" w:line="360" w:lineRule="exact"/>
              <w:jc w:val="left"/>
              <w:rPr>
                <w:rFonts w:hint="eastAsia" w:ascii="宋体" w:hAnsi="宋体" w:eastAsia="宋体" w:cs="宋体"/>
                <w:kern w:val="2"/>
                <w:sz w:val="24"/>
                <w:szCs w:val="24"/>
                <w:lang w:val="en-US" w:eastAsia="zh-CN" w:bidi="ar-SA"/>
              </w:rPr>
            </w:pPr>
            <w:r>
              <w:rPr>
                <w:rFonts w:hint="eastAsia" w:ascii="宋体" w:hAnsi="宋体" w:cs="宋体"/>
                <w:kern w:val="0"/>
                <w:sz w:val="24"/>
                <w:szCs w:val="24"/>
                <w:lang w:bidi="ar"/>
              </w:rPr>
              <w:t>2.推进政策执行阳光透明</w:t>
            </w:r>
          </w:p>
        </w:tc>
        <w:tc>
          <w:tcPr>
            <w:tcW w:w="1067" w:type="dxa"/>
            <w:noWrap w:val="0"/>
            <w:tcMar>
              <w:left w:w="28" w:type="dxa"/>
              <w:right w:w="28" w:type="dxa"/>
            </w:tcMar>
            <w:vAlign w:val="center"/>
          </w:tcPr>
          <w:p>
            <w:pPr>
              <w:widowControl/>
              <w:spacing w:before="75" w:after="75" w:line="360" w:lineRule="exact"/>
              <w:jc w:val="left"/>
              <w:rPr>
                <w:rFonts w:hint="eastAsia" w:ascii="宋体" w:hAnsi="宋体" w:eastAsia="宋体" w:cs="宋体"/>
                <w:kern w:val="2"/>
                <w:sz w:val="24"/>
                <w:szCs w:val="24"/>
                <w:lang w:val="en-US" w:eastAsia="zh-CN" w:bidi="ar-SA"/>
              </w:rPr>
            </w:pPr>
            <w:r>
              <w:rPr>
                <w:rFonts w:hint="eastAsia" w:ascii="宋体" w:hAnsi="宋体" w:cs="宋体"/>
                <w:kern w:val="0"/>
                <w:sz w:val="24"/>
                <w:szCs w:val="24"/>
                <w:lang w:bidi="ar"/>
              </w:rPr>
              <w:t> </w:t>
            </w:r>
          </w:p>
        </w:tc>
        <w:tc>
          <w:tcPr>
            <w:tcW w:w="1391" w:type="dxa"/>
            <w:noWrap w:val="0"/>
            <w:tcMar>
              <w:left w:w="28" w:type="dxa"/>
              <w:right w:w="28" w:type="dxa"/>
            </w:tcMar>
            <w:vAlign w:val="center"/>
          </w:tcPr>
          <w:p>
            <w:pPr>
              <w:widowControl/>
              <w:spacing w:before="75" w:after="75" w:line="360" w:lineRule="exact"/>
              <w:jc w:val="left"/>
              <w:rPr>
                <w:rFonts w:hint="eastAsia" w:ascii="宋体" w:hAnsi="宋体" w:eastAsia="宋体" w:cs="宋体"/>
                <w:kern w:val="2"/>
                <w:sz w:val="24"/>
                <w:szCs w:val="24"/>
                <w:lang w:val="en-US" w:eastAsia="zh-CN" w:bidi="ar-SA"/>
              </w:rPr>
            </w:pPr>
            <w:r>
              <w:rPr>
                <w:rFonts w:hint="eastAsia" w:ascii="方正仿宋简体" w:hAnsi="宋体" w:eastAsia="方正仿宋简体" w:cs="宋体"/>
                <w:color w:val="000000"/>
                <w:kern w:val="0"/>
                <w:sz w:val="24"/>
                <w:szCs w:val="24"/>
              </w:rPr>
              <w:t>街道各部门</w:t>
            </w:r>
          </w:p>
        </w:tc>
        <w:tc>
          <w:tcPr>
            <w:tcW w:w="4746" w:type="dxa"/>
            <w:noWrap w:val="0"/>
            <w:tcMar>
              <w:left w:w="28" w:type="dxa"/>
              <w:right w:w="28" w:type="dxa"/>
            </w:tcMar>
            <w:vAlign w:val="center"/>
          </w:tcPr>
          <w:p>
            <w:pPr>
              <w:widowControl/>
              <w:spacing w:before="75" w:after="75" w:line="360" w:lineRule="exact"/>
              <w:jc w:val="left"/>
              <w:rPr>
                <w:rFonts w:hint="eastAsia" w:ascii="宋体" w:hAnsi="宋体" w:eastAsia="宋体" w:cs="宋体"/>
                <w:kern w:val="2"/>
                <w:sz w:val="24"/>
                <w:szCs w:val="24"/>
                <w:lang w:val="en-US" w:eastAsia="zh-CN" w:bidi="ar-SA"/>
              </w:rPr>
            </w:pPr>
            <w:r>
              <w:rPr>
                <w:rFonts w:hint="eastAsia" w:ascii="宋体" w:hAnsi="宋体" w:cs="宋体"/>
                <w:kern w:val="0"/>
                <w:sz w:val="24"/>
                <w:szCs w:val="24"/>
                <w:lang w:bidi="ar"/>
              </w:rPr>
              <w:t>制定出台涉及公共利益、公众权益的政策文件，要对公开相关信息作出明确规定，使政策执行更加阳光透明，做到让企业和群众“快知晓、会运用、多受益”。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1" w:hRule="atLeast"/>
        </w:trPr>
        <w:tc>
          <w:tcPr>
            <w:tcW w:w="2566" w:type="dxa"/>
            <w:noWrap w:val="0"/>
            <w:tcMar>
              <w:left w:w="28" w:type="dxa"/>
              <w:right w:w="28" w:type="dxa"/>
            </w:tcMar>
            <w:vAlign w:val="center"/>
          </w:tcPr>
          <w:p>
            <w:pPr>
              <w:widowControl/>
              <w:spacing w:before="75" w:after="75" w:line="360" w:lineRule="exact"/>
              <w:jc w:val="left"/>
              <w:rPr>
                <w:rFonts w:hint="eastAsia" w:ascii="宋体" w:hAnsi="宋体" w:eastAsia="宋体" w:cs="宋体"/>
                <w:kern w:val="2"/>
                <w:sz w:val="24"/>
                <w:szCs w:val="24"/>
                <w:lang w:val="en-US" w:eastAsia="zh-CN" w:bidi="ar-SA"/>
              </w:rPr>
            </w:pPr>
            <w:r>
              <w:rPr>
                <w:rFonts w:hint="eastAsia" w:ascii="宋体" w:hAnsi="宋体" w:cs="宋体"/>
                <w:kern w:val="0"/>
                <w:sz w:val="24"/>
                <w:szCs w:val="24"/>
                <w:lang w:val="en-US" w:eastAsia="zh-CN" w:bidi="ar"/>
              </w:rPr>
              <w:t>3</w:t>
            </w:r>
            <w:r>
              <w:rPr>
                <w:rFonts w:hint="eastAsia" w:ascii="宋体" w:hAnsi="宋体" w:cs="宋体"/>
                <w:kern w:val="0"/>
                <w:sz w:val="24"/>
                <w:szCs w:val="24"/>
                <w:lang w:bidi="ar"/>
              </w:rPr>
              <w:t>.推动人大代表建议和政协委员提案办理结果公开</w:t>
            </w:r>
          </w:p>
        </w:tc>
        <w:tc>
          <w:tcPr>
            <w:tcW w:w="1067" w:type="dxa"/>
            <w:noWrap w:val="0"/>
            <w:tcMar>
              <w:left w:w="28" w:type="dxa"/>
              <w:right w:w="28" w:type="dxa"/>
            </w:tcMar>
            <w:vAlign w:val="center"/>
          </w:tcPr>
          <w:p>
            <w:pPr>
              <w:widowControl/>
              <w:spacing w:before="75" w:after="75" w:line="360" w:lineRule="exact"/>
              <w:jc w:val="left"/>
              <w:rPr>
                <w:rFonts w:hint="eastAsia" w:ascii="宋体" w:hAnsi="宋体" w:eastAsia="宋体" w:cs="宋体"/>
                <w:kern w:val="2"/>
                <w:sz w:val="24"/>
                <w:szCs w:val="24"/>
                <w:lang w:val="en-US" w:eastAsia="zh-CN" w:bidi="ar-SA"/>
              </w:rPr>
            </w:pPr>
            <w:r>
              <w:rPr>
                <w:rFonts w:hint="eastAsia" w:ascii="宋体" w:hAnsi="宋体" w:cs="宋体"/>
                <w:kern w:val="0"/>
                <w:sz w:val="24"/>
                <w:szCs w:val="24"/>
                <w:lang w:bidi="ar"/>
              </w:rPr>
              <w:t> </w:t>
            </w:r>
          </w:p>
        </w:tc>
        <w:tc>
          <w:tcPr>
            <w:tcW w:w="1391" w:type="dxa"/>
            <w:noWrap w:val="0"/>
            <w:tcMar>
              <w:left w:w="28" w:type="dxa"/>
              <w:right w:w="28" w:type="dxa"/>
            </w:tcMar>
            <w:vAlign w:val="center"/>
          </w:tcPr>
          <w:p>
            <w:pPr>
              <w:widowControl/>
              <w:spacing w:before="75" w:after="75" w:line="360" w:lineRule="exact"/>
              <w:jc w:val="left"/>
              <w:rPr>
                <w:rFonts w:hint="eastAsia" w:ascii="宋体" w:hAnsi="宋体" w:eastAsia="方正仿宋简体" w:cs="宋体"/>
                <w:kern w:val="2"/>
                <w:sz w:val="24"/>
                <w:szCs w:val="24"/>
                <w:lang w:val="en-US" w:eastAsia="zh-CN" w:bidi="ar-SA"/>
              </w:rPr>
            </w:pPr>
            <w:r>
              <w:rPr>
                <w:rFonts w:hint="eastAsia" w:ascii="方正仿宋简体" w:hAnsi="宋体" w:eastAsia="方正仿宋简体" w:cs="宋体"/>
                <w:color w:val="000000"/>
                <w:kern w:val="0"/>
                <w:sz w:val="24"/>
                <w:szCs w:val="24"/>
              </w:rPr>
              <w:t>街道人大工委街道</w:t>
            </w:r>
            <w:r>
              <w:rPr>
                <w:rFonts w:hint="eastAsia" w:ascii="方正仿宋简体" w:hAnsi="宋体" w:eastAsia="方正仿宋简体" w:cs="宋体"/>
                <w:color w:val="000000"/>
                <w:kern w:val="0"/>
                <w:sz w:val="24"/>
                <w:szCs w:val="24"/>
                <w:lang w:eastAsia="zh-CN"/>
              </w:rPr>
              <w:t>政协</w:t>
            </w:r>
          </w:p>
        </w:tc>
        <w:tc>
          <w:tcPr>
            <w:tcW w:w="4746" w:type="dxa"/>
            <w:noWrap w:val="0"/>
            <w:tcMar>
              <w:left w:w="28" w:type="dxa"/>
              <w:right w:w="28" w:type="dxa"/>
            </w:tcMar>
            <w:vAlign w:val="center"/>
          </w:tcPr>
          <w:p>
            <w:pPr>
              <w:widowControl/>
              <w:spacing w:before="75" w:after="75" w:line="360" w:lineRule="exact"/>
              <w:jc w:val="left"/>
              <w:rPr>
                <w:rFonts w:hint="eastAsia" w:ascii="宋体" w:hAnsi="宋体" w:eastAsia="宋体" w:cs="宋体"/>
                <w:kern w:val="2"/>
                <w:sz w:val="24"/>
                <w:szCs w:val="24"/>
                <w:lang w:val="en-US" w:eastAsia="zh-CN" w:bidi="ar-SA"/>
              </w:rPr>
            </w:pPr>
            <w:r>
              <w:rPr>
                <w:rFonts w:hint="eastAsia" w:ascii="宋体" w:hAnsi="宋体" w:cs="宋体"/>
                <w:kern w:val="0"/>
                <w:sz w:val="24"/>
                <w:szCs w:val="24"/>
                <w:lang w:bidi="ar"/>
              </w:rPr>
              <w:t>对于涉及公共利益、公众权益、社会关切及需要社会广泛知晓的建议和提案办理复文，原则上都应全文公开。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3" w:hRule="atLeast"/>
        </w:trPr>
        <w:tc>
          <w:tcPr>
            <w:tcW w:w="9770" w:type="dxa"/>
            <w:gridSpan w:val="4"/>
            <w:noWrap w:val="0"/>
            <w:tcMar>
              <w:left w:w="28" w:type="dxa"/>
              <w:right w:w="28" w:type="dxa"/>
            </w:tcMar>
            <w:vAlign w:val="center"/>
          </w:tcPr>
          <w:p>
            <w:pPr>
              <w:widowControl/>
              <w:spacing w:line="240" w:lineRule="atLeast"/>
              <w:textAlignment w:val="center"/>
              <w:rPr>
                <w:rFonts w:hint="eastAsia"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w:t>
            </w:r>
            <w:r>
              <w:rPr>
                <w:rFonts w:hint="eastAsia" w:ascii="方正仿宋简体" w:hAnsi="宋体" w:eastAsia="方正仿宋简体" w:cs="宋体"/>
                <w:color w:val="000000"/>
                <w:kern w:val="0"/>
                <w:sz w:val="24"/>
                <w:szCs w:val="24"/>
                <w:lang w:eastAsia="zh-CN"/>
              </w:rPr>
              <w:t>二</w:t>
            </w:r>
            <w:r>
              <w:rPr>
                <w:rFonts w:hint="eastAsia" w:ascii="方正仿宋简体" w:hAnsi="宋体" w:eastAsia="方正仿宋简体" w:cs="宋体"/>
                <w:color w:val="000000"/>
                <w:kern w:val="0"/>
                <w:sz w:val="24"/>
                <w:szCs w:val="24"/>
              </w:rPr>
              <w:t>）做好财政信息公开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2566" w:type="dxa"/>
            <w:noWrap w:val="0"/>
            <w:tcMar>
              <w:left w:w="28" w:type="dxa"/>
              <w:right w:w="28" w:type="dxa"/>
            </w:tcMar>
            <w:vAlign w:val="center"/>
          </w:tcPr>
          <w:p>
            <w:pPr>
              <w:widowControl/>
              <w:spacing w:line="240" w:lineRule="atLeast"/>
              <w:textAlignment w:val="center"/>
              <w:rPr>
                <w:rFonts w:hint="eastAsia" w:ascii="宋体" w:hAnsi="宋体" w:eastAsia="宋体" w:cs="宋体"/>
                <w:kern w:val="2"/>
                <w:sz w:val="24"/>
                <w:szCs w:val="24"/>
                <w:lang w:val="en-US" w:eastAsia="zh-CN" w:bidi="ar-SA"/>
              </w:rPr>
            </w:pPr>
            <w:r>
              <w:rPr>
                <w:rFonts w:hint="eastAsia" w:ascii="方正仿宋简体" w:hAnsi="宋体" w:eastAsia="方正仿宋简体" w:cs="宋体"/>
                <w:color w:val="000000"/>
                <w:kern w:val="0"/>
                <w:sz w:val="24"/>
                <w:szCs w:val="24"/>
              </w:rPr>
              <w:t>6</w:t>
            </w:r>
            <w:r>
              <w:rPr>
                <w:rFonts w:ascii="方正仿宋简体" w:hAnsi="宋体" w:eastAsia="方正仿宋简体" w:cs="宋体"/>
                <w:color w:val="000000"/>
                <w:kern w:val="0"/>
                <w:sz w:val="24"/>
                <w:szCs w:val="24"/>
              </w:rPr>
              <w:t>.</w:t>
            </w:r>
            <w:r>
              <w:rPr>
                <w:rFonts w:hint="eastAsia" w:ascii="方正仿宋简体" w:hAnsi="宋体" w:eastAsia="方正仿宋简体" w:cs="宋体"/>
                <w:color w:val="000000"/>
                <w:kern w:val="0"/>
                <w:sz w:val="24"/>
                <w:szCs w:val="24"/>
              </w:rPr>
              <w:t>稳步扩大预决算公开范围。</w:t>
            </w:r>
          </w:p>
        </w:tc>
        <w:tc>
          <w:tcPr>
            <w:tcW w:w="1067" w:type="dxa"/>
            <w:noWrap w:val="0"/>
            <w:tcMar>
              <w:left w:w="28" w:type="dxa"/>
              <w:right w:w="28" w:type="dxa"/>
            </w:tcMar>
            <w:vAlign w:val="center"/>
          </w:tcPr>
          <w:p>
            <w:pPr>
              <w:widowControl/>
              <w:spacing w:line="240" w:lineRule="atLeast"/>
              <w:textAlignment w:val="center"/>
              <w:rPr>
                <w:rFonts w:hint="eastAsia" w:ascii="宋体" w:hAnsi="宋体" w:eastAsia="宋体" w:cs="宋体"/>
                <w:kern w:val="2"/>
                <w:sz w:val="24"/>
                <w:szCs w:val="24"/>
                <w:lang w:val="en-US" w:eastAsia="zh-CN" w:bidi="ar-SA"/>
              </w:rPr>
            </w:pPr>
            <w:r>
              <w:rPr>
                <w:rFonts w:hint="eastAsia" w:ascii="方正仿宋简体" w:hAnsi="宋体" w:eastAsia="方正仿宋简体" w:cs="宋体"/>
                <w:color w:val="000000"/>
                <w:kern w:val="0"/>
                <w:sz w:val="24"/>
                <w:szCs w:val="24"/>
              </w:rPr>
              <w:t>区财政局</w:t>
            </w:r>
          </w:p>
        </w:tc>
        <w:tc>
          <w:tcPr>
            <w:tcW w:w="1391" w:type="dxa"/>
            <w:noWrap w:val="0"/>
            <w:tcMar>
              <w:left w:w="28" w:type="dxa"/>
              <w:right w:w="28" w:type="dxa"/>
            </w:tcMar>
            <w:vAlign w:val="center"/>
          </w:tcPr>
          <w:p>
            <w:pPr>
              <w:widowControl/>
              <w:spacing w:line="240" w:lineRule="atLeast"/>
              <w:jc w:val="center"/>
              <w:textAlignment w:val="center"/>
              <w:rPr>
                <w:rFonts w:hint="eastAsia" w:ascii="宋体" w:hAnsi="宋体" w:eastAsia="方正仿宋简体" w:cs="宋体"/>
                <w:kern w:val="2"/>
                <w:sz w:val="24"/>
                <w:szCs w:val="24"/>
                <w:lang w:val="en-US" w:eastAsia="zh-CN" w:bidi="ar-SA"/>
              </w:rPr>
            </w:pPr>
            <w:r>
              <w:rPr>
                <w:rFonts w:hint="eastAsia" w:ascii="方正仿宋简体" w:hAnsi="宋体" w:eastAsia="方正仿宋简体" w:cs="宋体"/>
                <w:color w:val="000000"/>
                <w:kern w:val="0"/>
                <w:sz w:val="24"/>
                <w:szCs w:val="24"/>
              </w:rPr>
              <w:t>街道</w:t>
            </w:r>
            <w:r>
              <w:rPr>
                <w:rFonts w:hint="eastAsia" w:ascii="方正仿宋简体" w:hAnsi="宋体" w:eastAsia="方正仿宋简体" w:cs="宋体"/>
                <w:color w:val="000000"/>
                <w:kern w:val="0"/>
                <w:sz w:val="24"/>
                <w:szCs w:val="24"/>
                <w:lang w:eastAsia="zh-CN"/>
              </w:rPr>
              <w:t>经济发展办（财政所）</w:t>
            </w:r>
          </w:p>
        </w:tc>
        <w:tc>
          <w:tcPr>
            <w:tcW w:w="4746" w:type="dxa"/>
            <w:noWrap w:val="0"/>
            <w:tcMar>
              <w:left w:w="28" w:type="dxa"/>
              <w:right w:w="28" w:type="dxa"/>
            </w:tcMar>
            <w:vAlign w:val="center"/>
          </w:tcPr>
          <w:p>
            <w:pPr>
              <w:widowControl/>
              <w:spacing w:line="240" w:lineRule="atLeast"/>
              <w:textAlignment w:val="center"/>
              <w:rPr>
                <w:rFonts w:hint="eastAsia" w:ascii="Calibri" w:hAnsi="Calibri" w:eastAsia="宋体" w:cs="Times New Roman"/>
                <w:kern w:val="2"/>
                <w:sz w:val="21"/>
                <w:szCs w:val="22"/>
                <w:lang w:val="en-US" w:eastAsia="zh-CN" w:bidi="ar-SA"/>
              </w:rPr>
            </w:pPr>
            <w:r>
              <w:rPr>
                <w:rFonts w:hint="eastAsia" w:ascii="方正仿宋简体" w:hAnsi="宋体" w:eastAsia="方正仿宋简体" w:cs="宋体"/>
                <w:color w:val="000000"/>
                <w:kern w:val="0"/>
                <w:sz w:val="24"/>
                <w:szCs w:val="24"/>
              </w:rPr>
              <w:t>推进部门所属单位预算、决算及相关报表公开。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1" w:hRule="atLeast"/>
        </w:trPr>
        <w:tc>
          <w:tcPr>
            <w:tcW w:w="2566" w:type="dxa"/>
            <w:noWrap w:val="0"/>
            <w:tcMar>
              <w:left w:w="28" w:type="dxa"/>
              <w:right w:w="28" w:type="dxa"/>
            </w:tcMar>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7</w:t>
            </w:r>
            <w:r>
              <w:rPr>
                <w:rFonts w:ascii="方正仿宋简体" w:hAnsi="宋体" w:eastAsia="方正仿宋简体" w:cs="宋体"/>
                <w:color w:val="000000"/>
                <w:kern w:val="0"/>
                <w:sz w:val="24"/>
                <w:szCs w:val="24"/>
              </w:rPr>
              <w:t>.</w:t>
            </w:r>
            <w:r>
              <w:rPr>
                <w:rFonts w:hint="eastAsia" w:ascii="方正仿宋简体" w:hAnsi="宋体" w:eastAsia="方正仿宋简体" w:cs="宋体"/>
                <w:color w:val="000000"/>
                <w:kern w:val="0"/>
                <w:sz w:val="24"/>
                <w:szCs w:val="24"/>
              </w:rPr>
              <w:t>深化地方政府债务信息公开。</w:t>
            </w:r>
          </w:p>
        </w:tc>
        <w:tc>
          <w:tcPr>
            <w:tcW w:w="1067" w:type="dxa"/>
            <w:noWrap w:val="0"/>
            <w:tcMar>
              <w:left w:w="28" w:type="dxa"/>
              <w:right w:w="28" w:type="dxa"/>
            </w:tcMar>
            <w:vAlign w:val="center"/>
          </w:tcPr>
          <w:p>
            <w:pPr>
              <w:widowControl/>
              <w:spacing w:line="240" w:lineRule="atLeast"/>
              <w:jc w:val="center"/>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区财政局</w:t>
            </w:r>
          </w:p>
        </w:tc>
        <w:tc>
          <w:tcPr>
            <w:tcW w:w="1391" w:type="dxa"/>
            <w:noWrap w:val="0"/>
            <w:tcMar>
              <w:left w:w="28" w:type="dxa"/>
              <w:right w:w="28" w:type="dxa"/>
            </w:tcMar>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街道</w:t>
            </w:r>
            <w:r>
              <w:rPr>
                <w:rFonts w:hint="eastAsia" w:ascii="方正仿宋简体" w:hAnsi="宋体" w:eastAsia="方正仿宋简体" w:cs="宋体"/>
                <w:color w:val="000000"/>
                <w:kern w:val="0"/>
                <w:sz w:val="24"/>
                <w:szCs w:val="24"/>
                <w:lang w:eastAsia="zh-CN"/>
              </w:rPr>
              <w:t>经济发展办（财政所）</w:t>
            </w:r>
          </w:p>
        </w:tc>
        <w:tc>
          <w:tcPr>
            <w:tcW w:w="4746" w:type="dxa"/>
            <w:noWrap w:val="0"/>
            <w:tcMar>
              <w:left w:w="28" w:type="dxa"/>
              <w:right w:w="28" w:type="dxa"/>
            </w:tcMar>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通过集中统一平台定期公开地方政府债务限额、余额、发行、品种、期限、利率、偿还计划、偿债资金来源等信息。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1" w:hRule="atLeast"/>
        </w:trPr>
        <w:tc>
          <w:tcPr>
            <w:tcW w:w="2566" w:type="dxa"/>
            <w:noWrap w:val="0"/>
            <w:tcMar>
              <w:left w:w="28" w:type="dxa"/>
              <w:right w:w="28" w:type="dxa"/>
            </w:tcMar>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8</w:t>
            </w:r>
            <w:r>
              <w:rPr>
                <w:rFonts w:ascii="方正仿宋简体" w:hAnsi="宋体" w:eastAsia="方正仿宋简体" w:cs="宋体"/>
                <w:color w:val="000000"/>
                <w:kern w:val="0"/>
                <w:sz w:val="24"/>
                <w:szCs w:val="24"/>
              </w:rPr>
              <w:t>.</w:t>
            </w:r>
            <w:r>
              <w:rPr>
                <w:rFonts w:hint="eastAsia" w:ascii="方正仿宋简体" w:hAnsi="宋体" w:eastAsia="方正仿宋简体" w:cs="宋体"/>
                <w:color w:val="000000"/>
                <w:kern w:val="0"/>
                <w:sz w:val="24"/>
                <w:szCs w:val="24"/>
              </w:rPr>
              <w:t>加大惠民惠农政策和资金发放信息公开力度。</w:t>
            </w:r>
          </w:p>
        </w:tc>
        <w:tc>
          <w:tcPr>
            <w:tcW w:w="1067" w:type="dxa"/>
            <w:noWrap w:val="0"/>
            <w:tcMar>
              <w:left w:w="28" w:type="dxa"/>
              <w:right w:w="28" w:type="dxa"/>
            </w:tcMar>
            <w:vAlign w:val="center"/>
          </w:tcPr>
          <w:p>
            <w:pPr>
              <w:widowControl/>
              <w:spacing w:line="240" w:lineRule="atLeast"/>
              <w:jc w:val="center"/>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区财政局</w:t>
            </w:r>
          </w:p>
        </w:tc>
        <w:tc>
          <w:tcPr>
            <w:tcW w:w="1391" w:type="dxa"/>
            <w:noWrap w:val="0"/>
            <w:tcMar>
              <w:left w:w="28" w:type="dxa"/>
              <w:right w:w="28" w:type="dxa"/>
            </w:tcMar>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街道</w:t>
            </w:r>
            <w:r>
              <w:rPr>
                <w:rFonts w:hint="eastAsia" w:ascii="方正仿宋简体" w:hAnsi="宋体" w:eastAsia="方正仿宋简体" w:cs="宋体"/>
                <w:color w:val="000000"/>
                <w:kern w:val="0"/>
                <w:sz w:val="24"/>
                <w:szCs w:val="24"/>
                <w:lang w:eastAsia="zh-CN"/>
              </w:rPr>
              <w:t>经济发展办（财政所）</w:t>
            </w:r>
          </w:p>
        </w:tc>
        <w:tc>
          <w:tcPr>
            <w:tcW w:w="4746" w:type="dxa"/>
            <w:noWrap w:val="0"/>
            <w:tcMar>
              <w:left w:w="28" w:type="dxa"/>
              <w:right w:w="28" w:type="dxa"/>
            </w:tcMar>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做好惠民惠农资金发放信息公开工作。推动补贴信息公开向村和社区延伸，与村（居）务公开有效衔接。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566" w:type="dxa"/>
            <w:noWrap w:val="0"/>
            <w:tcMar>
              <w:left w:w="28" w:type="dxa"/>
              <w:right w:w="28" w:type="dxa"/>
            </w:tcMar>
            <w:vAlign w:val="center"/>
          </w:tcPr>
          <w:p>
            <w:pPr>
              <w:widowControl/>
              <w:spacing w:before="75" w:after="75" w:line="360" w:lineRule="atLeast"/>
              <w:jc w:val="center"/>
              <w:rPr>
                <w:rFonts w:hint="eastAsia" w:ascii="宋体" w:hAnsi="宋体" w:cs="宋体"/>
                <w:sz w:val="24"/>
                <w:szCs w:val="24"/>
              </w:rPr>
            </w:pPr>
            <w:r>
              <w:rPr>
                <w:rFonts w:hint="eastAsia" w:ascii="宋体" w:hAnsi="宋体" w:cs="宋体"/>
                <w:b/>
                <w:kern w:val="0"/>
                <w:sz w:val="24"/>
                <w:szCs w:val="24"/>
                <w:lang w:bidi="ar"/>
              </w:rPr>
              <w:t>工作任务</w:t>
            </w:r>
          </w:p>
        </w:tc>
        <w:tc>
          <w:tcPr>
            <w:tcW w:w="1067" w:type="dxa"/>
            <w:noWrap w:val="0"/>
            <w:tcMar>
              <w:left w:w="28" w:type="dxa"/>
              <w:right w:w="28" w:type="dxa"/>
            </w:tcMar>
            <w:vAlign w:val="center"/>
          </w:tcPr>
          <w:p>
            <w:pPr>
              <w:widowControl/>
              <w:spacing w:before="75" w:after="75" w:line="360" w:lineRule="atLeast"/>
              <w:jc w:val="center"/>
              <w:rPr>
                <w:rFonts w:hint="eastAsia" w:ascii="宋体" w:hAnsi="宋体" w:cs="宋体"/>
                <w:sz w:val="24"/>
                <w:szCs w:val="24"/>
              </w:rPr>
            </w:pPr>
            <w:r>
              <w:rPr>
                <w:rFonts w:hint="eastAsia" w:ascii="宋体" w:hAnsi="宋体" w:cs="宋体"/>
                <w:b/>
                <w:kern w:val="0"/>
                <w:sz w:val="24"/>
                <w:szCs w:val="24"/>
                <w:lang w:bidi="ar"/>
              </w:rPr>
              <w:t>牵头单位</w:t>
            </w:r>
          </w:p>
        </w:tc>
        <w:tc>
          <w:tcPr>
            <w:tcW w:w="1391" w:type="dxa"/>
            <w:noWrap w:val="0"/>
            <w:tcMar>
              <w:left w:w="28" w:type="dxa"/>
              <w:right w:w="28" w:type="dxa"/>
            </w:tcMar>
            <w:vAlign w:val="center"/>
          </w:tcPr>
          <w:p>
            <w:pPr>
              <w:widowControl/>
              <w:spacing w:before="75" w:after="75" w:line="360" w:lineRule="atLeast"/>
              <w:jc w:val="center"/>
              <w:rPr>
                <w:rFonts w:hint="eastAsia" w:ascii="宋体" w:hAnsi="宋体" w:cs="宋体"/>
                <w:sz w:val="24"/>
                <w:szCs w:val="24"/>
              </w:rPr>
            </w:pPr>
            <w:r>
              <w:rPr>
                <w:rFonts w:hint="eastAsia" w:ascii="宋体" w:hAnsi="宋体" w:cs="宋体"/>
                <w:b/>
                <w:kern w:val="0"/>
                <w:sz w:val="24"/>
                <w:szCs w:val="24"/>
                <w:lang w:bidi="ar"/>
              </w:rPr>
              <w:t>责任部门</w:t>
            </w:r>
          </w:p>
        </w:tc>
        <w:tc>
          <w:tcPr>
            <w:tcW w:w="4746" w:type="dxa"/>
            <w:noWrap w:val="0"/>
            <w:tcMar>
              <w:left w:w="28" w:type="dxa"/>
              <w:right w:w="28" w:type="dxa"/>
            </w:tcMar>
            <w:vAlign w:val="center"/>
          </w:tcPr>
          <w:p>
            <w:pPr>
              <w:widowControl/>
              <w:spacing w:before="75" w:after="75" w:line="360" w:lineRule="atLeast"/>
              <w:jc w:val="center"/>
              <w:rPr>
                <w:rFonts w:hint="eastAsia" w:ascii="宋体" w:hAnsi="宋体" w:cs="宋体"/>
                <w:sz w:val="24"/>
                <w:szCs w:val="24"/>
              </w:rPr>
            </w:pPr>
            <w:r>
              <w:rPr>
                <w:rFonts w:hint="eastAsia" w:ascii="宋体" w:hAnsi="宋体" w:cs="宋体"/>
                <w:b/>
                <w:kern w:val="0"/>
                <w:sz w:val="24"/>
                <w:szCs w:val="24"/>
                <w:lang w:bidi="ar"/>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770" w:type="dxa"/>
            <w:gridSpan w:val="4"/>
            <w:noWrap w:val="0"/>
            <w:tcMar>
              <w:left w:w="28" w:type="dxa"/>
              <w:right w:w="28" w:type="dxa"/>
            </w:tcMar>
            <w:vAlign w:val="center"/>
          </w:tcPr>
          <w:p>
            <w:pPr>
              <w:widowControl/>
              <w:spacing w:before="75" w:after="75" w:line="360" w:lineRule="atLeast"/>
              <w:jc w:val="center"/>
              <w:rPr>
                <w:rFonts w:hint="eastAsia" w:ascii="宋体" w:hAnsi="宋体" w:cs="宋体"/>
                <w:b/>
                <w:kern w:val="0"/>
                <w:sz w:val="24"/>
                <w:szCs w:val="24"/>
                <w:lang w:bidi="ar"/>
              </w:rPr>
            </w:pPr>
            <w:r>
              <w:rPr>
                <w:rFonts w:hint="eastAsia" w:ascii="方正仿宋简体" w:hAnsi="宋体" w:eastAsia="方正仿宋简体" w:cs="宋体"/>
                <w:b/>
                <w:bCs/>
                <w:color w:val="000000"/>
                <w:kern w:val="0"/>
                <w:sz w:val="24"/>
                <w:szCs w:val="24"/>
              </w:rPr>
              <w:t>二、紧扣宏观政策落地见效深化政务公开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770" w:type="dxa"/>
            <w:gridSpan w:val="4"/>
            <w:noWrap w:val="0"/>
            <w:tcMar>
              <w:left w:w="28" w:type="dxa"/>
              <w:right w:w="28" w:type="dxa"/>
            </w:tcMar>
            <w:vAlign w:val="center"/>
          </w:tcPr>
          <w:p>
            <w:pPr>
              <w:widowControl/>
              <w:spacing w:before="75" w:after="75" w:line="360" w:lineRule="atLeast"/>
              <w:jc w:val="center"/>
              <w:rPr>
                <w:rFonts w:hint="eastAsia" w:ascii="宋体" w:hAnsi="宋体" w:cs="宋体"/>
                <w:b/>
                <w:kern w:val="0"/>
                <w:sz w:val="24"/>
                <w:szCs w:val="24"/>
                <w:lang w:bidi="ar"/>
              </w:rPr>
            </w:pPr>
            <w:r>
              <w:rPr>
                <w:rFonts w:hint="eastAsia" w:ascii="方正仿宋简体" w:hAnsi="宋体" w:eastAsia="方正仿宋简体" w:cs="宋体"/>
                <w:color w:val="000000"/>
                <w:kern w:val="0"/>
                <w:sz w:val="24"/>
                <w:szCs w:val="24"/>
              </w:rPr>
              <w:t>（一）持续加强重大政策发布解读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566" w:type="dxa"/>
            <w:noWrap w:val="0"/>
            <w:tcMar>
              <w:left w:w="28" w:type="dxa"/>
              <w:right w:w="28" w:type="dxa"/>
            </w:tcMar>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ascii="方正仿宋简体" w:hAnsi="宋体" w:eastAsia="方正仿宋简体" w:cs="宋体"/>
                <w:color w:val="000000"/>
                <w:kern w:val="0"/>
                <w:sz w:val="24"/>
                <w:szCs w:val="24"/>
              </w:rPr>
              <w:t>1</w:t>
            </w:r>
            <w:r>
              <w:rPr>
                <w:rFonts w:hint="eastAsia" w:ascii="方正仿宋简体" w:hAnsi="宋体" w:eastAsia="方正仿宋简体" w:cs="宋体"/>
                <w:color w:val="000000"/>
                <w:kern w:val="0"/>
                <w:sz w:val="24"/>
                <w:szCs w:val="24"/>
              </w:rPr>
              <w:t>2</w:t>
            </w:r>
            <w:r>
              <w:rPr>
                <w:rFonts w:ascii="方正仿宋简体" w:hAnsi="宋体" w:eastAsia="方正仿宋简体" w:cs="宋体"/>
                <w:color w:val="000000"/>
                <w:kern w:val="0"/>
                <w:sz w:val="24"/>
                <w:szCs w:val="24"/>
              </w:rPr>
              <w:t>.</w:t>
            </w:r>
            <w:r>
              <w:rPr>
                <w:rFonts w:hint="eastAsia" w:ascii="方正仿宋简体" w:hAnsi="宋体" w:eastAsia="方正仿宋简体" w:cs="宋体"/>
                <w:color w:val="000000"/>
                <w:kern w:val="0"/>
                <w:sz w:val="24"/>
                <w:szCs w:val="24"/>
              </w:rPr>
              <w:t>以扎实做好“六稳”工作、全面落实“六保”任务以及统筹抓好“五促一保一防一控”工作为重点，做好政策解读发布工作。</w:t>
            </w:r>
          </w:p>
        </w:tc>
        <w:tc>
          <w:tcPr>
            <w:tcW w:w="1067" w:type="dxa"/>
            <w:noWrap w:val="0"/>
            <w:tcMar>
              <w:left w:w="28" w:type="dxa"/>
              <w:right w:w="28" w:type="dxa"/>
            </w:tcMar>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p>
        </w:tc>
        <w:tc>
          <w:tcPr>
            <w:tcW w:w="1391" w:type="dxa"/>
            <w:noWrap w:val="0"/>
            <w:tcMar>
              <w:left w:w="28" w:type="dxa"/>
              <w:right w:w="28" w:type="dxa"/>
            </w:tcMar>
            <w:vAlign w:val="center"/>
          </w:tcPr>
          <w:p>
            <w:pPr>
              <w:widowControl/>
              <w:spacing w:line="240" w:lineRule="atLeast"/>
              <w:jc w:val="center"/>
              <w:rPr>
                <w:rFonts w:hint="eastAsia" w:ascii="方正仿宋简体" w:hAnsi="宋体" w:eastAsia="方正仿宋简体" w:cs="宋体"/>
                <w:color w:val="000000"/>
                <w:kern w:val="0"/>
                <w:sz w:val="24"/>
                <w:szCs w:val="24"/>
                <w:lang w:val="en-US" w:eastAsia="zh-CN" w:bidi="ar-SA"/>
              </w:rPr>
            </w:pPr>
            <w:r>
              <w:rPr>
                <w:rFonts w:ascii="宋体" w:hAnsi="宋体" w:eastAsia="方正仿宋简体" w:cs="宋体"/>
                <w:color w:val="000000"/>
                <w:kern w:val="0"/>
                <w:sz w:val="24"/>
                <w:szCs w:val="24"/>
              </w:rPr>
              <w:t> </w:t>
            </w:r>
            <w:r>
              <w:rPr>
                <w:rFonts w:hint="eastAsia" w:ascii="方正仿宋简体" w:hAnsi="宋体" w:eastAsia="方正仿宋简体" w:cs="宋体"/>
                <w:color w:val="000000"/>
                <w:kern w:val="0"/>
                <w:sz w:val="24"/>
                <w:szCs w:val="24"/>
              </w:rPr>
              <w:t>街道各部门</w:t>
            </w:r>
          </w:p>
        </w:tc>
        <w:tc>
          <w:tcPr>
            <w:tcW w:w="4746" w:type="dxa"/>
            <w:noWrap w:val="0"/>
            <w:tcMar>
              <w:left w:w="28" w:type="dxa"/>
              <w:right w:w="28" w:type="dxa"/>
            </w:tcMar>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及时发布保持宏观政策连续性稳定性可持续性、促进经济运行在合理区间，深入推进重点领域改革、更大激发市场主体活力，依靠创新推动实体经济高质量发展、培育壮大新动能，坚持扩大内需战略基点、充分挖掘国内市场潜力，全面实施乡村振兴战略，实行高水平对外开放，加强污染防治和生态建设，切实增进民生福祉，以及促生产、促消费、促项目建设、促外经贸、促旅游、保基本、防风险、控疫情等方面出台的重大政策，及时发布权威信息，开展深入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566" w:type="dxa"/>
            <w:noWrap w:val="0"/>
            <w:tcMar>
              <w:left w:w="28" w:type="dxa"/>
              <w:right w:w="28" w:type="dxa"/>
            </w:tcMar>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ascii="方正仿宋简体" w:hAnsi="宋体" w:eastAsia="方正仿宋简体" w:cs="宋体"/>
                <w:color w:val="000000"/>
                <w:kern w:val="0"/>
                <w:sz w:val="24"/>
                <w:szCs w:val="24"/>
              </w:rPr>
              <w:t>1</w:t>
            </w:r>
            <w:r>
              <w:rPr>
                <w:rFonts w:hint="eastAsia" w:ascii="方正仿宋简体" w:hAnsi="宋体" w:eastAsia="方正仿宋简体" w:cs="宋体"/>
                <w:color w:val="000000"/>
                <w:kern w:val="0"/>
                <w:sz w:val="24"/>
                <w:szCs w:val="24"/>
              </w:rPr>
              <w:t>3</w:t>
            </w:r>
            <w:r>
              <w:rPr>
                <w:rFonts w:ascii="方正仿宋简体" w:hAnsi="宋体" w:eastAsia="方正仿宋简体" w:cs="宋体"/>
                <w:color w:val="000000"/>
                <w:kern w:val="0"/>
                <w:sz w:val="24"/>
                <w:szCs w:val="24"/>
              </w:rPr>
              <w:t>.</w:t>
            </w:r>
            <w:r>
              <w:rPr>
                <w:rFonts w:hint="eastAsia" w:ascii="方正仿宋简体" w:hAnsi="宋体" w:eastAsia="方正仿宋简体" w:cs="宋体"/>
                <w:color w:val="000000"/>
                <w:kern w:val="0"/>
                <w:sz w:val="24"/>
                <w:szCs w:val="24"/>
              </w:rPr>
              <w:t>做好区政府门户网站政策文件解读发布工作。</w:t>
            </w:r>
          </w:p>
        </w:tc>
        <w:tc>
          <w:tcPr>
            <w:tcW w:w="1067" w:type="dxa"/>
            <w:noWrap w:val="0"/>
            <w:tcMar>
              <w:left w:w="28" w:type="dxa"/>
              <w:right w:w="28" w:type="dxa"/>
            </w:tcMar>
            <w:vAlign w:val="center"/>
          </w:tcPr>
          <w:p>
            <w:pPr>
              <w:widowControl/>
              <w:spacing w:line="240" w:lineRule="atLeast"/>
              <w:jc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区政府办</w:t>
            </w:r>
          </w:p>
        </w:tc>
        <w:tc>
          <w:tcPr>
            <w:tcW w:w="1391" w:type="dxa"/>
            <w:noWrap w:val="0"/>
            <w:tcMar>
              <w:left w:w="28" w:type="dxa"/>
              <w:right w:w="28" w:type="dxa"/>
            </w:tcMar>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街道各部门</w:t>
            </w:r>
          </w:p>
        </w:tc>
        <w:tc>
          <w:tcPr>
            <w:tcW w:w="4746" w:type="dxa"/>
            <w:noWrap w:val="0"/>
            <w:tcMar>
              <w:left w:w="28" w:type="dxa"/>
              <w:right w:w="28" w:type="dxa"/>
            </w:tcMar>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按照《泉州市丰泽区人民政府办公厅关于进一步加强区政府门户网站政策文件解读发布工作的通知》（泉丰政办明电〔</w:t>
            </w:r>
            <w:r>
              <w:rPr>
                <w:rFonts w:ascii="方正仿宋简体" w:hAnsi="宋体" w:eastAsia="方正仿宋简体" w:cs="宋体"/>
                <w:color w:val="000000"/>
                <w:kern w:val="0"/>
                <w:sz w:val="24"/>
                <w:szCs w:val="24"/>
              </w:rPr>
              <w:t>2021</w:t>
            </w:r>
            <w:r>
              <w:rPr>
                <w:rFonts w:hint="eastAsia" w:ascii="方正仿宋简体" w:hAnsi="宋体" w:eastAsia="方正仿宋简体" w:cs="宋体"/>
                <w:color w:val="000000"/>
                <w:kern w:val="0"/>
                <w:sz w:val="24"/>
                <w:szCs w:val="24"/>
              </w:rPr>
              <w:t>〕15号）要求，明确解读责任，落实解读机制，对政策文件做到应解读、尽解读。解读方案、解读材料与政策文件同步组织、同步审签、同步部署，有效引导预期，为实现今年经济社会发展主要预期目标营造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770" w:type="dxa"/>
            <w:gridSpan w:val="4"/>
            <w:noWrap w:val="0"/>
            <w:tcMar>
              <w:left w:w="28" w:type="dxa"/>
              <w:right w:w="28" w:type="dxa"/>
            </w:tcMar>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（二）不断改进政策解读工作方式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566" w:type="dxa"/>
            <w:noWrap w:val="0"/>
            <w:tcMar>
              <w:left w:w="28" w:type="dxa"/>
              <w:right w:w="28" w:type="dxa"/>
            </w:tcMar>
            <w:vAlign w:val="center"/>
          </w:tcPr>
          <w:p>
            <w:pPr>
              <w:widowControl/>
              <w:spacing w:line="240" w:lineRule="atLeast"/>
              <w:textAlignment w:val="center"/>
              <w:rPr>
                <w:rFonts w:ascii="方正仿宋简体" w:hAnsi="宋体" w:eastAsia="方正仿宋简体" w:cs="宋体"/>
                <w:color w:val="000000"/>
                <w:kern w:val="0"/>
                <w:sz w:val="24"/>
                <w:szCs w:val="24"/>
                <w:lang w:val="en-US" w:eastAsia="zh-CN" w:bidi="ar-SA"/>
              </w:rPr>
            </w:pPr>
            <w:r>
              <w:rPr>
                <w:rFonts w:ascii="方正仿宋简体" w:hAnsi="宋体" w:eastAsia="方正仿宋简体" w:cs="宋体"/>
                <w:color w:val="000000"/>
                <w:kern w:val="0"/>
                <w:sz w:val="24"/>
                <w:szCs w:val="24"/>
              </w:rPr>
              <w:t>1</w:t>
            </w:r>
            <w:r>
              <w:rPr>
                <w:rFonts w:hint="eastAsia" w:ascii="方正仿宋简体" w:hAnsi="宋体" w:eastAsia="方正仿宋简体" w:cs="宋体"/>
                <w:color w:val="000000"/>
                <w:kern w:val="0"/>
                <w:sz w:val="24"/>
                <w:szCs w:val="24"/>
              </w:rPr>
              <w:t>4</w:t>
            </w:r>
            <w:r>
              <w:rPr>
                <w:rFonts w:ascii="方正仿宋简体" w:hAnsi="宋体" w:eastAsia="方正仿宋简体" w:cs="宋体"/>
                <w:color w:val="000000"/>
                <w:kern w:val="0"/>
                <w:sz w:val="24"/>
                <w:szCs w:val="24"/>
              </w:rPr>
              <w:t>.</w:t>
            </w:r>
            <w:r>
              <w:rPr>
                <w:rFonts w:hint="eastAsia" w:ascii="方正仿宋简体" w:hAnsi="宋体" w:eastAsia="方正仿宋简体" w:cs="宋体"/>
                <w:color w:val="000000"/>
                <w:kern w:val="0"/>
                <w:sz w:val="24"/>
                <w:szCs w:val="24"/>
              </w:rPr>
              <w:t>加强政策咨询服务。</w:t>
            </w:r>
          </w:p>
        </w:tc>
        <w:tc>
          <w:tcPr>
            <w:tcW w:w="1067" w:type="dxa"/>
            <w:noWrap w:val="0"/>
            <w:tcMar>
              <w:left w:w="28" w:type="dxa"/>
              <w:right w:w="28" w:type="dxa"/>
            </w:tcMar>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p>
        </w:tc>
        <w:tc>
          <w:tcPr>
            <w:tcW w:w="1391" w:type="dxa"/>
            <w:noWrap w:val="0"/>
            <w:tcMar>
              <w:left w:w="28" w:type="dxa"/>
              <w:right w:w="28" w:type="dxa"/>
            </w:tcMar>
            <w:vAlign w:val="center"/>
          </w:tcPr>
          <w:p>
            <w:pPr>
              <w:widowControl/>
              <w:spacing w:line="240" w:lineRule="atLeast"/>
              <w:jc w:val="center"/>
              <w:rPr>
                <w:rFonts w:hint="eastAsia" w:ascii="方正仿宋简体" w:hAnsi="宋体" w:eastAsia="方正仿宋简体" w:cs="宋体"/>
                <w:color w:val="000000"/>
                <w:kern w:val="0"/>
                <w:sz w:val="24"/>
                <w:szCs w:val="24"/>
                <w:lang w:val="en-US" w:eastAsia="zh-CN" w:bidi="ar-SA"/>
              </w:rPr>
            </w:pPr>
            <w:r>
              <w:rPr>
                <w:rFonts w:ascii="宋体" w:hAnsi="宋体" w:eastAsia="方正仿宋简体" w:cs="宋体"/>
                <w:color w:val="000000"/>
                <w:kern w:val="0"/>
                <w:sz w:val="24"/>
                <w:szCs w:val="24"/>
              </w:rPr>
              <w:t> </w:t>
            </w:r>
            <w:r>
              <w:rPr>
                <w:rFonts w:hint="eastAsia" w:ascii="方正仿宋简体" w:hAnsi="宋体" w:eastAsia="方正仿宋简体" w:cs="宋体"/>
                <w:color w:val="000000"/>
                <w:kern w:val="0"/>
                <w:sz w:val="24"/>
                <w:szCs w:val="24"/>
              </w:rPr>
              <w:t>街道各部门</w:t>
            </w:r>
          </w:p>
        </w:tc>
        <w:tc>
          <w:tcPr>
            <w:tcW w:w="4746" w:type="dxa"/>
            <w:noWrap w:val="0"/>
            <w:tcMar>
              <w:left w:w="28" w:type="dxa"/>
              <w:right w:w="28" w:type="dxa"/>
            </w:tcMar>
            <w:vAlign w:val="center"/>
          </w:tcPr>
          <w:tbl>
            <w:tblPr>
              <w:tblStyle w:val="5"/>
              <w:tblW w:w="9442"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0" w:type="auto"/>
                  <w:vAlign w:val="center"/>
                </w:tcPr>
                <w:p>
                  <w:pPr>
                    <w:widowControl/>
                    <w:spacing w:line="240" w:lineRule="atLeast"/>
                    <w:textAlignment w:val="center"/>
                    <w:rPr>
                      <w:rFonts w:hint="eastAsia"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畅通政策咨询渠道，用好“政企直通车”“</w:t>
                  </w:r>
                  <w:r>
                    <w:rPr>
                      <w:rFonts w:ascii="方正仿宋简体" w:hAnsi="宋体" w:eastAsia="方正仿宋简体" w:cs="宋体"/>
                      <w:color w:val="000000"/>
                      <w:kern w:val="0"/>
                      <w:sz w:val="24"/>
                      <w:szCs w:val="24"/>
                    </w:rPr>
                    <w:t>12345</w:t>
                  </w:r>
                  <w:r>
                    <w:rPr>
                      <w:rFonts w:hint="eastAsia" w:ascii="方正仿宋简体" w:hAnsi="宋体" w:eastAsia="方正仿宋简体" w:cs="宋体"/>
                      <w:color w:val="000000"/>
                      <w:kern w:val="0"/>
                      <w:sz w:val="24"/>
                      <w:szCs w:val="24"/>
                    </w:rPr>
                    <w:t>热线”等平台，为企业和群众提供“一号答”“一站式”的政策咨询服务，积极解答政策执行机关和企业、群众的咨询。</w:t>
                  </w:r>
                </w:p>
              </w:tc>
            </w:tr>
          </w:tbl>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566" w:type="dxa"/>
            <w:vAlign w:val="center"/>
          </w:tcPr>
          <w:p>
            <w:pPr>
              <w:widowControl/>
              <w:spacing w:line="240" w:lineRule="atLeast"/>
              <w:textAlignment w:val="center"/>
              <w:rPr>
                <w:rFonts w:ascii="方正仿宋简体" w:hAnsi="宋体" w:eastAsia="方正仿宋简体" w:cs="宋体"/>
                <w:color w:val="000000"/>
                <w:kern w:val="0"/>
                <w:sz w:val="24"/>
                <w:szCs w:val="24"/>
                <w:lang w:val="en-US" w:eastAsia="zh-CN" w:bidi="ar-SA"/>
              </w:rPr>
            </w:pPr>
            <w:r>
              <w:rPr>
                <w:rFonts w:ascii="方正仿宋简体" w:hAnsi="宋体" w:eastAsia="方正仿宋简体" w:cs="宋体"/>
                <w:color w:val="000000"/>
                <w:kern w:val="0"/>
                <w:sz w:val="24"/>
                <w:szCs w:val="24"/>
              </w:rPr>
              <w:t>1</w:t>
            </w:r>
            <w:r>
              <w:rPr>
                <w:rFonts w:hint="eastAsia" w:ascii="方正仿宋简体" w:hAnsi="宋体" w:eastAsia="方正仿宋简体" w:cs="宋体"/>
                <w:color w:val="000000"/>
                <w:kern w:val="0"/>
                <w:sz w:val="24"/>
                <w:szCs w:val="24"/>
              </w:rPr>
              <w:t>5</w:t>
            </w:r>
            <w:r>
              <w:rPr>
                <w:rFonts w:ascii="方正仿宋简体" w:hAnsi="宋体" w:eastAsia="方正仿宋简体" w:cs="宋体"/>
                <w:color w:val="000000"/>
                <w:kern w:val="0"/>
                <w:sz w:val="24"/>
                <w:szCs w:val="24"/>
              </w:rPr>
              <w:t>.</w:t>
            </w:r>
            <w:r>
              <w:rPr>
                <w:rFonts w:hint="eastAsia" w:ascii="方正仿宋简体" w:hAnsi="宋体" w:eastAsia="方正仿宋简体" w:cs="宋体"/>
                <w:color w:val="000000"/>
                <w:kern w:val="0"/>
                <w:sz w:val="24"/>
                <w:szCs w:val="24"/>
              </w:rPr>
              <w:t>创新解读形式。</w:t>
            </w:r>
          </w:p>
        </w:tc>
        <w:tc>
          <w:tcPr>
            <w:tcW w:w="1067"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p>
        </w:tc>
        <w:tc>
          <w:tcPr>
            <w:tcW w:w="1391" w:type="dxa"/>
            <w:vAlign w:val="center"/>
          </w:tcPr>
          <w:p>
            <w:pPr>
              <w:widowControl/>
              <w:spacing w:line="240" w:lineRule="atLeast"/>
              <w:jc w:val="center"/>
              <w:rPr>
                <w:rFonts w:hint="eastAsia" w:ascii="方正仿宋简体" w:hAnsi="宋体" w:eastAsia="方正仿宋简体" w:cs="宋体"/>
                <w:color w:val="000000"/>
                <w:kern w:val="0"/>
                <w:sz w:val="24"/>
                <w:szCs w:val="24"/>
                <w:lang w:val="en-US" w:eastAsia="zh-CN" w:bidi="ar-SA"/>
              </w:rPr>
            </w:pPr>
            <w:r>
              <w:rPr>
                <w:rFonts w:ascii="宋体" w:hAnsi="宋体" w:eastAsia="方正仿宋简体" w:cs="宋体"/>
                <w:color w:val="000000"/>
                <w:kern w:val="0"/>
                <w:sz w:val="24"/>
                <w:szCs w:val="24"/>
              </w:rPr>
              <w:t> </w:t>
            </w:r>
            <w:r>
              <w:rPr>
                <w:rFonts w:hint="eastAsia" w:ascii="方正仿宋简体" w:hAnsi="宋体" w:eastAsia="方正仿宋简体" w:cs="宋体"/>
                <w:color w:val="000000"/>
                <w:kern w:val="0"/>
                <w:sz w:val="24"/>
                <w:szCs w:val="24"/>
              </w:rPr>
              <w:t>街道各部门</w:t>
            </w:r>
          </w:p>
        </w:tc>
        <w:tc>
          <w:tcPr>
            <w:tcW w:w="4746"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善于运用图表、动画、音频、视频、</w:t>
            </w:r>
            <w:r>
              <w:rPr>
                <w:rFonts w:ascii="方正仿宋简体" w:hAnsi="宋体" w:eastAsia="方正仿宋简体" w:cs="宋体"/>
                <w:color w:val="000000"/>
                <w:kern w:val="0"/>
                <w:sz w:val="24"/>
                <w:szCs w:val="24"/>
              </w:rPr>
              <w:t>H5</w:t>
            </w:r>
            <w:r>
              <w:rPr>
                <w:rFonts w:hint="eastAsia" w:ascii="方正仿宋简体" w:hAnsi="宋体" w:eastAsia="方正仿宋简体" w:cs="宋体"/>
                <w:color w:val="000000"/>
                <w:kern w:val="0"/>
                <w:sz w:val="24"/>
                <w:szCs w:val="24"/>
              </w:rPr>
              <w:t>等形式开展解读，加快形成各部门协同联动、对接共享的政策问答体系，增强政策解读效果。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566" w:type="dxa"/>
            <w:vAlign w:val="center"/>
          </w:tcPr>
          <w:p>
            <w:pPr>
              <w:widowControl/>
              <w:spacing w:line="240" w:lineRule="atLeast"/>
              <w:textAlignment w:val="center"/>
              <w:rPr>
                <w:rFonts w:ascii="方正仿宋简体" w:hAnsi="宋体" w:eastAsia="方正仿宋简体" w:cs="宋体"/>
                <w:color w:val="000000"/>
                <w:kern w:val="0"/>
                <w:sz w:val="24"/>
                <w:szCs w:val="24"/>
                <w:lang w:val="en-US" w:eastAsia="zh-CN" w:bidi="ar-SA"/>
              </w:rPr>
            </w:pPr>
            <w:r>
              <w:rPr>
                <w:rFonts w:ascii="方正仿宋简体" w:hAnsi="宋体" w:eastAsia="方正仿宋简体" w:cs="宋体"/>
                <w:color w:val="000000"/>
                <w:kern w:val="0"/>
                <w:sz w:val="24"/>
                <w:szCs w:val="24"/>
              </w:rPr>
              <w:t>1</w:t>
            </w:r>
            <w:r>
              <w:rPr>
                <w:rFonts w:hint="eastAsia" w:ascii="方正仿宋简体" w:hAnsi="宋体" w:eastAsia="方正仿宋简体" w:cs="宋体"/>
                <w:color w:val="000000"/>
                <w:kern w:val="0"/>
                <w:sz w:val="24"/>
                <w:szCs w:val="24"/>
              </w:rPr>
              <w:t>6</w:t>
            </w:r>
            <w:r>
              <w:rPr>
                <w:rFonts w:ascii="方正仿宋简体" w:hAnsi="宋体" w:eastAsia="方正仿宋简体" w:cs="宋体"/>
                <w:color w:val="000000"/>
                <w:kern w:val="0"/>
                <w:sz w:val="24"/>
                <w:szCs w:val="24"/>
              </w:rPr>
              <w:t>.</w:t>
            </w:r>
            <w:r>
              <w:rPr>
                <w:rFonts w:hint="eastAsia" w:ascii="方正仿宋简体" w:hAnsi="宋体" w:eastAsia="方正仿宋简体" w:cs="宋体"/>
                <w:color w:val="000000"/>
                <w:kern w:val="0"/>
                <w:sz w:val="24"/>
                <w:szCs w:val="24"/>
              </w:rPr>
              <w:t>积极采取新闻发布会形式做好重要政策文件的解读发布工作。</w:t>
            </w:r>
          </w:p>
        </w:tc>
        <w:tc>
          <w:tcPr>
            <w:tcW w:w="1067" w:type="dxa"/>
            <w:vAlign w:val="center"/>
          </w:tcPr>
          <w:p>
            <w:pPr>
              <w:widowControl/>
              <w:spacing w:line="240" w:lineRule="atLeast"/>
              <w:jc w:val="center"/>
              <w:textAlignment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区政府新闻办</w:t>
            </w:r>
          </w:p>
          <w:p>
            <w:pPr>
              <w:widowControl/>
              <w:spacing w:line="240" w:lineRule="atLeast"/>
              <w:jc w:val="center"/>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（区委宣传部）</w:t>
            </w:r>
          </w:p>
        </w:tc>
        <w:tc>
          <w:tcPr>
            <w:tcW w:w="1391"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街道各部门</w:t>
            </w:r>
          </w:p>
        </w:tc>
        <w:tc>
          <w:tcPr>
            <w:tcW w:w="4746"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依法依规公开适合新闻发布的、重大的政务信息及政策解读等，包括重要战略规划、重大决策、重要政策、重要规范性文件出台及执行情况，一个时期内经济社会发展情况等。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566" w:type="dxa"/>
            <w:vAlign w:val="center"/>
          </w:tcPr>
          <w:p>
            <w:pPr>
              <w:widowControl/>
              <w:spacing w:line="240" w:lineRule="atLeast"/>
              <w:textAlignment w:val="center"/>
              <w:rPr>
                <w:rFonts w:ascii="方正仿宋简体" w:hAnsi="宋体" w:eastAsia="方正仿宋简体" w:cs="宋体"/>
                <w:color w:val="000000"/>
                <w:kern w:val="0"/>
                <w:sz w:val="24"/>
                <w:szCs w:val="24"/>
                <w:lang w:val="en-US" w:eastAsia="zh-CN" w:bidi="ar-SA"/>
              </w:rPr>
            </w:pPr>
            <w:r>
              <w:rPr>
                <w:rFonts w:ascii="方正仿宋简体" w:hAnsi="宋体" w:eastAsia="方正仿宋简体" w:cs="宋体"/>
                <w:color w:val="000000"/>
                <w:kern w:val="0"/>
                <w:sz w:val="24"/>
                <w:szCs w:val="24"/>
              </w:rPr>
              <w:t>1</w:t>
            </w:r>
            <w:r>
              <w:rPr>
                <w:rFonts w:hint="eastAsia" w:ascii="方正仿宋简体" w:hAnsi="宋体" w:eastAsia="方正仿宋简体" w:cs="宋体"/>
                <w:color w:val="000000"/>
                <w:kern w:val="0"/>
                <w:sz w:val="24"/>
                <w:szCs w:val="24"/>
              </w:rPr>
              <w:t>7</w:t>
            </w:r>
            <w:r>
              <w:rPr>
                <w:rFonts w:ascii="方正仿宋简体" w:hAnsi="宋体" w:eastAsia="方正仿宋简体" w:cs="宋体"/>
                <w:color w:val="000000"/>
                <w:kern w:val="0"/>
                <w:sz w:val="24"/>
                <w:szCs w:val="24"/>
              </w:rPr>
              <w:t>.</w:t>
            </w:r>
            <w:r>
              <w:rPr>
                <w:rFonts w:hint="eastAsia" w:ascii="方正仿宋简体" w:hAnsi="宋体" w:eastAsia="方正仿宋简体" w:cs="宋体"/>
                <w:color w:val="000000"/>
                <w:kern w:val="0"/>
                <w:sz w:val="24"/>
                <w:szCs w:val="24"/>
              </w:rPr>
              <w:t>提升解读工作质量。</w:t>
            </w:r>
          </w:p>
        </w:tc>
        <w:tc>
          <w:tcPr>
            <w:tcW w:w="1067"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p>
        </w:tc>
        <w:tc>
          <w:tcPr>
            <w:tcW w:w="1391" w:type="dxa"/>
            <w:vAlign w:val="center"/>
          </w:tcPr>
          <w:p>
            <w:pPr>
              <w:widowControl/>
              <w:spacing w:line="240" w:lineRule="atLeast"/>
              <w:jc w:val="center"/>
              <w:rPr>
                <w:rFonts w:ascii="方正仿宋简体" w:hAnsi="宋体" w:eastAsia="方正仿宋简体" w:cs="宋体"/>
                <w:color w:val="000000"/>
                <w:kern w:val="0"/>
                <w:sz w:val="24"/>
                <w:szCs w:val="24"/>
                <w:lang w:val="en-US" w:eastAsia="zh-CN" w:bidi="ar-SA"/>
              </w:rPr>
            </w:pPr>
            <w:r>
              <w:rPr>
                <w:rFonts w:ascii="宋体" w:hAnsi="宋体" w:eastAsia="方正仿宋简体" w:cs="宋体"/>
                <w:color w:val="000000"/>
                <w:kern w:val="0"/>
                <w:sz w:val="24"/>
                <w:szCs w:val="24"/>
              </w:rPr>
              <w:t> </w:t>
            </w:r>
            <w:r>
              <w:rPr>
                <w:rFonts w:hint="eastAsia" w:ascii="方正仿宋简体" w:hAnsi="宋体" w:eastAsia="方正仿宋简体" w:cs="宋体"/>
                <w:color w:val="000000"/>
                <w:kern w:val="0"/>
                <w:sz w:val="24"/>
                <w:szCs w:val="24"/>
              </w:rPr>
              <w:t>街道各部门</w:t>
            </w:r>
          </w:p>
        </w:tc>
        <w:tc>
          <w:tcPr>
            <w:tcW w:w="4746"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注重对政策背景、出台目的、重要举措等方面的实质性解读，避免简单精简或摘抄政策文件，增强解读针对性，使用深入浅出、通俗易懂的语言，让群众能接受、广知晓、会运用、多受益。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566" w:type="dxa"/>
            <w:vAlign w:val="center"/>
          </w:tcPr>
          <w:p>
            <w:pPr>
              <w:widowControl/>
              <w:spacing w:before="75" w:after="75" w:line="360" w:lineRule="atLeast"/>
              <w:jc w:val="center"/>
              <w:rPr>
                <w:rFonts w:hint="eastAsia" w:ascii="宋体" w:hAnsi="宋体" w:eastAsia="宋体" w:cs="宋体"/>
                <w:kern w:val="2"/>
                <w:sz w:val="24"/>
                <w:szCs w:val="24"/>
                <w:lang w:val="en-US" w:eastAsia="zh-CN" w:bidi="ar-SA"/>
              </w:rPr>
            </w:pPr>
            <w:r>
              <w:rPr>
                <w:rFonts w:hint="eastAsia" w:ascii="宋体" w:hAnsi="宋体" w:cs="宋体"/>
                <w:b/>
                <w:kern w:val="0"/>
                <w:sz w:val="24"/>
                <w:szCs w:val="24"/>
                <w:lang w:bidi="ar"/>
              </w:rPr>
              <w:t>工作任务</w:t>
            </w:r>
          </w:p>
        </w:tc>
        <w:tc>
          <w:tcPr>
            <w:tcW w:w="1067" w:type="dxa"/>
            <w:vAlign w:val="center"/>
          </w:tcPr>
          <w:p>
            <w:pPr>
              <w:widowControl/>
              <w:spacing w:before="75" w:after="75" w:line="360" w:lineRule="atLeast"/>
              <w:jc w:val="center"/>
              <w:rPr>
                <w:rFonts w:hint="eastAsia" w:ascii="宋体" w:hAnsi="宋体" w:eastAsia="宋体" w:cs="宋体"/>
                <w:kern w:val="2"/>
                <w:sz w:val="24"/>
                <w:szCs w:val="24"/>
                <w:lang w:val="en-US" w:eastAsia="zh-CN" w:bidi="ar-SA"/>
              </w:rPr>
            </w:pPr>
            <w:r>
              <w:rPr>
                <w:rFonts w:hint="eastAsia" w:ascii="宋体" w:hAnsi="宋体" w:cs="宋体"/>
                <w:b/>
                <w:kern w:val="0"/>
                <w:sz w:val="24"/>
                <w:szCs w:val="24"/>
                <w:lang w:bidi="ar"/>
              </w:rPr>
              <w:t>牵头单位</w:t>
            </w:r>
          </w:p>
        </w:tc>
        <w:tc>
          <w:tcPr>
            <w:tcW w:w="1391" w:type="dxa"/>
            <w:vAlign w:val="center"/>
          </w:tcPr>
          <w:p>
            <w:pPr>
              <w:widowControl/>
              <w:spacing w:before="75" w:after="75" w:line="360" w:lineRule="atLeast"/>
              <w:jc w:val="center"/>
              <w:rPr>
                <w:rFonts w:hint="eastAsia" w:ascii="宋体" w:hAnsi="宋体" w:eastAsia="宋体" w:cs="宋体"/>
                <w:kern w:val="2"/>
                <w:sz w:val="24"/>
                <w:szCs w:val="24"/>
                <w:lang w:val="en-US" w:eastAsia="zh-CN" w:bidi="ar-SA"/>
              </w:rPr>
            </w:pPr>
            <w:r>
              <w:rPr>
                <w:rFonts w:hint="eastAsia" w:ascii="宋体" w:hAnsi="宋体" w:cs="宋体"/>
                <w:b/>
                <w:kern w:val="0"/>
                <w:sz w:val="24"/>
                <w:szCs w:val="24"/>
                <w:lang w:bidi="ar"/>
              </w:rPr>
              <w:t>责任部门</w:t>
            </w:r>
          </w:p>
        </w:tc>
        <w:tc>
          <w:tcPr>
            <w:tcW w:w="4746" w:type="dxa"/>
            <w:vAlign w:val="center"/>
          </w:tcPr>
          <w:p>
            <w:pPr>
              <w:widowControl/>
              <w:spacing w:before="75" w:after="75" w:line="360" w:lineRule="atLeast"/>
              <w:jc w:val="center"/>
              <w:rPr>
                <w:rFonts w:hint="eastAsia" w:ascii="宋体" w:hAnsi="宋体" w:eastAsia="宋体" w:cs="宋体"/>
                <w:kern w:val="2"/>
                <w:sz w:val="24"/>
                <w:szCs w:val="24"/>
                <w:lang w:val="en-US" w:eastAsia="zh-CN" w:bidi="ar-SA"/>
              </w:rPr>
            </w:pPr>
            <w:r>
              <w:rPr>
                <w:rFonts w:hint="eastAsia" w:ascii="宋体" w:hAnsi="宋体" w:cs="宋体"/>
                <w:b/>
                <w:kern w:val="0"/>
                <w:sz w:val="24"/>
                <w:szCs w:val="24"/>
                <w:lang w:bidi="ar"/>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770" w:type="dxa"/>
            <w:gridSpan w:val="4"/>
            <w:vAlign w:val="center"/>
          </w:tcPr>
          <w:p>
            <w:pPr>
              <w:widowControl/>
              <w:spacing w:line="240" w:lineRule="atLeast"/>
              <w:textAlignment w:val="center"/>
              <w:rPr>
                <w:rFonts w:hint="eastAsia"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（三）切实增强回应关切效果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566" w:type="dxa"/>
            <w:vAlign w:val="center"/>
          </w:tcPr>
          <w:p>
            <w:pPr>
              <w:widowControl/>
              <w:spacing w:line="240" w:lineRule="atLeast"/>
              <w:textAlignment w:val="center"/>
              <w:rPr>
                <w:rFonts w:ascii="方正仿宋简体" w:hAnsi="宋体" w:eastAsia="方正仿宋简体" w:cs="宋体"/>
                <w:color w:val="000000"/>
                <w:kern w:val="0"/>
                <w:sz w:val="24"/>
                <w:szCs w:val="24"/>
                <w:lang w:val="en-US" w:eastAsia="zh-CN" w:bidi="ar-SA"/>
              </w:rPr>
            </w:pPr>
            <w:r>
              <w:rPr>
                <w:rFonts w:ascii="方正仿宋简体" w:hAnsi="宋体" w:eastAsia="方正仿宋简体" w:cs="宋体"/>
                <w:color w:val="000000"/>
                <w:kern w:val="0"/>
                <w:sz w:val="24"/>
                <w:szCs w:val="24"/>
              </w:rPr>
              <w:t>1</w:t>
            </w:r>
            <w:r>
              <w:rPr>
                <w:rFonts w:hint="eastAsia" w:ascii="方正仿宋简体" w:hAnsi="宋体" w:eastAsia="方正仿宋简体" w:cs="宋体"/>
                <w:color w:val="000000"/>
                <w:kern w:val="0"/>
                <w:sz w:val="24"/>
                <w:szCs w:val="24"/>
              </w:rPr>
              <w:t>8</w:t>
            </w:r>
            <w:r>
              <w:rPr>
                <w:rFonts w:ascii="方正仿宋简体" w:hAnsi="宋体" w:eastAsia="方正仿宋简体" w:cs="宋体"/>
                <w:color w:val="000000"/>
                <w:kern w:val="0"/>
                <w:sz w:val="24"/>
                <w:szCs w:val="24"/>
              </w:rPr>
              <w:t>.</w:t>
            </w:r>
            <w:r>
              <w:rPr>
                <w:rFonts w:hint="eastAsia" w:ascii="方正仿宋简体" w:hAnsi="宋体" w:eastAsia="方正仿宋简体" w:cs="宋体"/>
                <w:color w:val="000000"/>
                <w:kern w:val="0"/>
                <w:sz w:val="24"/>
                <w:szCs w:val="24"/>
              </w:rPr>
              <w:t>加强舆情回应台账管理。</w:t>
            </w:r>
          </w:p>
        </w:tc>
        <w:tc>
          <w:tcPr>
            <w:tcW w:w="1067"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p>
        </w:tc>
        <w:tc>
          <w:tcPr>
            <w:tcW w:w="1391" w:type="dxa"/>
            <w:vAlign w:val="center"/>
          </w:tcPr>
          <w:p>
            <w:pPr>
              <w:widowControl/>
              <w:spacing w:line="240" w:lineRule="atLeast"/>
              <w:jc w:val="center"/>
              <w:rPr>
                <w:rFonts w:ascii="方正仿宋简体" w:hAnsi="宋体" w:eastAsia="方正仿宋简体" w:cs="宋体"/>
                <w:color w:val="000000"/>
                <w:kern w:val="0"/>
                <w:sz w:val="24"/>
                <w:szCs w:val="24"/>
                <w:lang w:val="en-US" w:eastAsia="zh-CN" w:bidi="ar-SA"/>
              </w:rPr>
            </w:pPr>
            <w:r>
              <w:rPr>
                <w:rFonts w:ascii="宋体" w:hAnsi="宋体" w:eastAsia="方正仿宋简体" w:cs="宋体"/>
                <w:color w:val="000000"/>
                <w:kern w:val="0"/>
                <w:sz w:val="24"/>
                <w:szCs w:val="24"/>
              </w:rPr>
              <w:t> </w:t>
            </w:r>
            <w:r>
              <w:rPr>
                <w:rFonts w:hint="eastAsia" w:ascii="方正仿宋简体" w:hAnsi="宋体" w:eastAsia="方正仿宋简体" w:cs="宋体"/>
                <w:color w:val="000000"/>
                <w:kern w:val="0"/>
                <w:sz w:val="24"/>
                <w:szCs w:val="24"/>
              </w:rPr>
              <w:t>街道各部门</w:t>
            </w:r>
          </w:p>
        </w:tc>
        <w:tc>
          <w:tcPr>
            <w:tcW w:w="4746"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紧紧围绕政务舆情背后的实际问题，以解决问题的具体举措实质性回应社会关切。认真核查已作出的承诺落实及公开情况，切实维护政府公信力。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2566" w:type="dxa"/>
            <w:vAlign w:val="center"/>
          </w:tcPr>
          <w:p>
            <w:pPr>
              <w:widowControl/>
              <w:spacing w:line="240" w:lineRule="atLeast"/>
              <w:textAlignment w:val="center"/>
              <w:rPr>
                <w:rFonts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19</w:t>
            </w:r>
            <w:r>
              <w:rPr>
                <w:rFonts w:ascii="方正仿宋简体" w:hAnsi="宋体" w:eastAsia="方正仿宋简体" w:cs="宋体"/>
                <w:color w:val="000000"/>
                <w:spacing w:val="-6"/>
                <w:kern w:val="0"/>
                <w:sz w:val="24"/>
                <w:szCs w:val="24"/>
              </w:rPr>
              <w:t>.</w:t>
            </w:r>
            <w:r>
              <w:rPr>
                <w:rFonts w:hint="eastAsia" w:ascii="方正仿宋简体" w:hAnsi="宋体" w:eastAsia="方正仿宋简体" w:cs="宋体"/>
                <w:color w:val="000000"/>
                <w:spacing w:val="-6"/>
                <w:kern w:val="0"/>
                <w:sz w:val="24"/>
                <w:szCs w:val="24"/>
              </w:rPr>
              <w:t>及时了解掌握政策执行效果。</w:t>
            </w:r>
          </w:p>
        </w:tc>
        <w:tc>
          <w:tcPr>
            <w:tcW w:w="1067"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p>
        </w:tc>
        <w:tc>
          <w:tcPr>
            <w:tcW w:w="1391" w:type="dxa"/>
            <w:vAlign w:val="center"/>
          </w:tcPr>
          <w:p>
            <w:pPr>
              <w:widowControl/>
              <w:spacing w:line="240" w:lineRule="atLeast"/>
              <w:jc w:val="center"/>
              <w:rPr>
                <w:rFonts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街道各部门</w:t>
            </w:r>
            <w:r>
              <w:rPr>
                <w:rFonts w:ascii="宋体" w:hAnsi="宋体" w:eastAsia="方正仿宋简体" w:cs="宋体"/>
                <w:color w:val="000000"/>
                <w:kern w:val="0"/>
                <w:sz w:val="24"/>
                <w:szCs w:val="24"/>
              </w:rPr>
              <w:t> </w:t>
            </w:r>
          </w:p>
        </w:tc>
        <w:tc>
          <w:tcPr>
            <w:tcW w:w="4746"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通过网上调研等方式，了解掌握社会公众对政策执行效果的反馈与评价，主动回应存在的共性问题，助力政策完善。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566"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ascii="方正仿宋简体" w:hAnsi="宋体" w:eastAsia="方正仿宋简体" w:cs="宋体"/>
                <w:color w:val="000000"/>
                <w:kern w:val="0"/>
                <w:sz w:val="24"/>
                <w:szCs w:val="24"/>
              </w:rPr>
              <w:t>2</w:t>
            </w:r>
            <w:r>
              <w:rPr>
                <w:rFonts w:hint="eastAsia" w:ascii="方正仿宋简体" w:hAnsi="宋体" w:eastAsia="方正仿宋简体" w:cs="宋体"/>
                <w:color w:val="000000"/>
                <w:kern w:val="0"/>
                <w:sz w:val="24"/>
                <w:szCs w:val="24"/>
              </w:rPr>
              <w:t>0</w:t>
            </w:r>
            <w:r>
              <w:rPr>
                <w:rFonts w:ascii="方正仿宋简体" w:hAnsi="宋体" w:eastAsia="方正仿宋简体" w:cs="宋体"/>
                <w:color w:val="000000"/>
                <w:kern w:val="0"/>
                <w:sz w:val="24"/>
                <w:szCs w:val="24"/>
              </w:rPr>
              <w:t>.</w:t>
            </w:r>
            <w:r>
              <w:rPr>
                <w:rFonts w:hint="eastAsia" w:ascii="方正仿宋简体" w:hAnsi="宋体" w:eastAsia="方正仿宋简体" w:cs="宋体"/>
                <w:color w:val="000000"/>
                <w:kern w:val="0"/>
                <w:sz w:val="24"/>
                <w:szCs w:val="24"/>
              </w:rPr>
              <w:t>密切关注、及时回应重点舆情</w:t>
            </w:r>
          </w:p>
        </w:tc>
        <w:tc>
          <w:tcPr>
            <w:tcW w:w="1067" w:type="dxa"/>
            <w:vAlign w:val="center"/>
          </w:tcPr>
          <w:p>
            <w:pPr>
              <w:widowControl/>
              <w:spacing w:line="240" w:lineRule="atLeast"/>
              <w:jc w:val="center"/>
              <w:textAlignment w:val="center"/>
              <w:rPr>
                <w:rFonts w:hint="eastAsia"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区政府新闻办</w:t>
            </w:r>
          </w:p>
          <w:p>
            <w:pPr>
              <w:widowControl/>
              <w:spacing w:line="240" w:lineRule="atLeast"/>
              <w:jc w:val="center"/>
              <w:textAlignment w:val="center"/>
              <w:rPr>
                <w:rFonts w:hint="eastAsia"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（区委宣传部）</w:t>
            </w:r>
          </w:p>
          <w:p>
            <w:pPr>
              <w:widowControl/>
              <w:spacing w:line="240" w:lineRule="atLeast"/>
              <w:jc w:val="center"/>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区委网信办</w:t>
            </w:r>
          </w:p>
        </w:tc>
        <w:tc>
          <w:tcPr>
            <w:tcW w:w="1391"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街道各部门</w:t>
            </w:r>
          </w:p>
        </w:tc>
        <w:tc>
          <w:tcPr>
            <w:tcW w:w="4746"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重点关注涉及疫情防控、房地产金融、工资拖欠、环境污染和生态破坏、食品药品安全、教育医疗养老、安全生产、困难群众生活等方面的舆情并及时作出回应。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770" w:type="dxa"/>
            <w:gridSpan w:val="4"/>
            <w:vAlign w:val="center"/>
          </w:tcPr>
          <w:p>
            <w:pPr>
              <w:widowControl/>
              <w:spacing w:line="240" w:lineRule="atLeast"/>
              <w:jc w:val="center"/>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b/>
                <w:bCs/>
                <w:color w:val="000000"/>
                <w:kern w:val="0"/>
                <w:sz w:val="24"/>
                <w:szCs w:val="24"/>
              </w:rPr>
              <w:t>三、紧扣强基础抓基层深化政务公开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770" w:type="dxa"/>
            <w:gridSpan w:val="4"/>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（一）做好政务信息管理工作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566" w:type="dxa"/>
            <w:vAlign w:val="center"/>
          </w:tcPr>
          <w:p>
            <w:pPr>
              <w:widowControl/>
              <w:spacing w:line="240" w:lineRule="atLeast"/>
              <w:textAlignment w:val="center"/>
              <w:rPr>
                <w:rFonts w:ascii="方正仿宋简体" w:hAnsi="宋体" w:eastAsia="方正仿宋简体" w:cs="宋体"/>
                <w:color w:val="000000"/>
                <w:kern w:val="0"/>
                <w:sz w:val="24"/>
                <w:szCs w:val="24"/>
                <w:lang w:val="en-US" w:eastAsia="zh-CN" w:bidi="ar-SA"/>
              </w:rPr>
            </w:pPr>
            <w:r>
              <w:rPr>
                <w:rFonts w:ascii="方正仿宋简体" w:hAnsi="宋体" w:eastAsia="方正仿宋简体" w:cs="宋体"/>
                <w:color w:val="000000"/>
                <w:kern w:val="0"/>
                <w:sz w:val="24"/>
                <w:szCs w:val="24"/>
              </w:rPr>
              <w:t>2</w:t>
            </w:r>
            <w:r>
              <w:rPr>
                <w:rFonts w:hint="eastAsia" w:ascii="方正仿宋简体" w:hAnsi="宋体" w:eastAsia="方正仿宋简体" w:cs="宋体"/>
                <w:color w:val="000000"/>
                <w:kern w:val="0"/>
                <w:sz w:val="24"/>
                <w:szCs w:val="24"/>
              </w:rPr>
              <w:t>1</w:t>
            </w:r>
            <w:r>
              <w:rPr>
                <w:rFonts w:ascii="方正仿宋简体" w:hAnsi="宋体" w:eastAsia="方正仿宋简体" w:cs="宋体"/>
                <w:color w:val="000000"/>
                <w:kern w:val="0"/>
                <w:sz w:val="24"/>
                <w:szCs w:val="24"/>
              </w:rPr>
              <w:t>.</w:t>
            </w:r>
            <w:r>
              <w:rPr>
                <w:rFonts w:hint="eastAsia" w:ascii="方正仿宋简体" w:hAnsi="宋体" w:eastAsia="方正仿宋简体" w:cs="宋体"/>
                <w:color w:val="000000"/>
                <w:kern w:val="0"/>
                <w:sz w:val="24"/>
                <w:szCs w:val="24"/>
              </w:rPr>
              <w:t>及时更新本机关网站行政法规文本。</w:t>
            </w:r>
          </w:p>
        </w:tc>
        <w:tc>
          <w:tcPr>
            <w:tcW w:w="1067"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p>
        </w:tc>
        <w:tc>
          <w:tcPr>
            <w:tcW w:w="1391" w:type="dxa"/>
            <w:vAlign w:val="center"/>
          </w:tcPr>
          <w:p>
            <w:pPr>
              <w:widowControl/>
              <w:spacing w:line="240" w:lineRule="atLeast"/>
              <w:textAlignment w:val="center"/>
              <w:rPr>
                <w:rFonts w:hint="eastAsia"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街道各部</w:t>
            </w:r>
          </w:p>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门 </w:t>
            </w:r>
          </w:p>
        </w:tc>
        <w:tc>
          <w:tcPr>
            <w:tcW w:w="4746"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用好行政法规集中统一公开成果，对照中国政府法制信息网行政法规库公布的行政法规国家正式版本，更新本机关网站上的行政法规文本。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566" w:type="dxa"/>
            <w:vAlign w:val="center"/>
          </w:tcPr>
          <w:p>
            <w:pPr>
              <w:widowControl/>
              <w:spacing w:line="240" w:lineRule="atLeast"/>
              <w:textAlignment w:val="center"/>
              <w:rPr>
                <w:rFonts w:ascii="方正仿宋简体" w:hAnsi="宋体" w:eastAsia="方正仿宋简体" w:cs="宋体"/>
                <w:color w:val="000000"/>
                <w:kern w:val="0"/>
                <w:sz w:val="24"/>
                <w:szCs w:val="24"/>
                <w:lang w:val="en-US" w:eastAsia="zh-CN" w:bidi="ar-SA"/>
              </w:rPr>
            </w:pPr>
            <w:r>
              <w:rPr>
                <w:rFonts w:ascii="方正仿宋简体" w:hAnsi="宋体" w:eastAsia="方正仿宋简体" w:cs="宋体"/>
                <w:color w:val="000000"/>
                <w:spacing w:val="-6"/>
                <w:kern w:val="0"/>
                <w:sz w:val="24"/>
                <w:szCs w:val="24"/>
              </w:rPr>
              <w:t>2</w:t>
            </w:r>
            <w:r>
              <w:rPr>
                <w:rFonts w:hint="eastAsia" w:ascii="方正仿宋简体" w:hAnsi="宋体" w:eastAsia="方正仿宋简体" w:cs="宋体"/>
                <w:color w:val="000000"/>
                <w:spacing w:val="-6"/>
                <w:kern w:val="0"/>
                <w:sz w:val="24"/>
                <w:szCs w:val="24"/>
              </w:rPr>
              <w:t>3</w:t>
            </w:r>
            <w:r>
              <w:rPr>
                <w:rFonts w:ascii="方正仿宋简体" w:hAnsi="宋体" w:eastAsia="方正仿宋简体" w:cs="宋体"/>
                <w:color w:val="000000"/>
                <w:spacing w:val="-6"/>
                <w:kern w:val="0"/>
                <w:sz w:val="24"/>
                <w:szCs w:val="24"/>
              </w:rPr>
              <w:t>.</w:t>
            </w:r>
            <w:r>
              <w:rPr>
                <w:rFonts w:hint="eastAsia" w:ascii="方正仿宋简体" w:hAnsi="宋体" w:eastAsia="方正仿宋简体" w:cs="宋体"/>
                <w:color w:val="000000"/>
                <w:spacing w:val="-6"/>
                <w:kern w:val="0"/>
                <w:sz w:val="24"/>
                <w:szCs w:val="24"/>
              </w:rPr>
              <w:t>系统梳理本机关规范性文件。</w:t>
            </w:r>
          </w:p>
        </w:tc>
        <w:tc>
          <w:tcPr>
            <w:tcW w:w="1067" w:type="dxa"/>
            <w:vAlign w:val="center"/>
          </w:tcPr>
          <w:p>
            <w:pPr>
              <w:widowControl/>
              <w:spacing w:line="240" w:lineRule="atLeast"/>
              <w:jc w:val="center"/>
              <w:rPr>
                <w:rFonts w:hint="eastAsia" w:ascii="方正仿宋简体" w:hAnsi="宋体" w:eastAsia="方正仿宋简体" w:cs="宋体"/>
                <w:color w:val="000000"/>
                <w:kern w:val="0"/>
                <w:sz w:val="24"/>
                <w:szCs w:val="24"/>
                <w:lang w:val="en-US" w:eastAsia="zh-CN" w:bidi="ar-SA"/>
              </w:rPr>
            </w:pPr>
            <w:r>
              <w:rPr>
                <w:rFonts w:ascii="宋体" w:hAnsi="宋体" w:eastAsia="方正仿宋简体" w:cs="宋体"/>
                <w:color w:val="000000"/>
                <w:kern w:val="0"/>
                <w:sz w:val="24"/>
                <w:szCs w:val="24"/>
              </w:rPr>
              <w:t> </w:t>
            </w:r>
            <w:r>
              <w:rPr>
                <w:rFonts w:hint="eastAsia" w:ascii="宋体" w:hAnsi="宋体" w:eastAsia="方正仿宋简体" w:cs="宋体"/>
                <w:color w:val="000000"/>
                <w:kern w:val="0"/>
                <w:sz w:val="24"/>
                <w:szCs w:val="24"/>
              </w:rPr>
              <w:t>区司法局</w:t>
            </w:r>
          </w:p>
        </w:tc>
        <w:tc>
          <w:tcPr>
            <w:tcW w:w="1391"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街道各部门</w:t>
            </w:r>
          </w:p>
        </w:tc>
        <w:tc>
          <w:tcPr>
            <w:tcW w:w="4746"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梳理本机关制发的现行有效规范性文件，按照“放管服”改革要求及时立改废，集中统一对外公开并动态更新，有效解决底数不清问题。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770" w:type="dxa"/>
            <w:gridSpan w:val="4"/>
            <w:vAlign w:val="center"/>
          </w:tcPr>
          <w:p>
            <w:pPr>
              <w:widowControl/>
              <w:spacing w:line="240" w:lineRule="atLeast"/>
              <w:textAlignment w:val="center"/>
              <w:rPr>
                <w:rFonts w:hint="eastAsia"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（二）完善政务公开平台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566" w:type="dxa"/>
            <w:vAlign w:val="center"/>
          </w:tcPr>
          <w:p>
            <w:pPr>
              <w:widowControl/>
              <w:spacing w:line="240" w:lineRule="atLeast"/>
              <w:textAlignment w:val="center"/>
              <w:rPr>
                <w:rFonts w:ascii="方正仿宋简体" w:hAnsi="宋体" w:eastAsia="方正仿宋简体" w:cs="宋体"/>
                <w:color w:val="000000"/>
                <w:kern w:val="0"/>
                <w:sz w:val="24"/>
                <w:szCs w:val="24"/>
                <w:lang w:val="en-US" w:eastAsia="zh-CN" w:bidi="ar-SA"/>
              </w:rPr>
            </w:pPr>
            <w:r>
              <w:rPr>
                <w:rFonts w:ascii="方正仿宋简体" w:hAnsi="宋体" w:eastAsia="方正仿宋简体" w:cs="宋体"/>
                <w:color w:val="000000"/>
                <w:kern w:val="0"/>
                <w:sz w:val="24"/>
                <w:szCs w:val="24"/>
              </w:rPr>
              <w:t>2</w:t>
            </w:r>
            <w:r>
              <w:rPr>
                <w:rFonts w:hint="eastAsia" w:ascii="方正仿宋简体" w:hAnsi="宋体" w:eastAsia="方正仿宋简体" w:cs="宋体"/>
                <w:color w:val="000000"/>
                <w:kern w:val="0"/>
                <w:sz w:val="24"/>
                <w:szCs w:val="24"/>
              </w:rPr>
              <w:t>5</w:t>
            </w:r>
            <w:r>
              <w:rPr>
                <w:rFonts w:ascii="方正仿宋简体" w:hAnsi="宋体" w:eastAsia="方正仿宋简体" w:cs="宋体"/>
                <w:color w:val="000000"/>
                <w:kern w:val="0"/>
                <w:sz w:val="24"/>
                <w:szCs w:val="24"/>
              </w:rPr>
              <w:t>.</w:t>
            </w:r>
            <w:r>
              <w:rPr>
                <w:rFonts w:hint="eastAsia" w:ascii="方正仿宋简体" w:hAnsi="宋体" w:eastAsia="方正仿宋简体" w:cs="宋体"/>
                <w:color w:val="000000"/>
                <w:kern w:val="0"/>
                <w:sz w:val="24"/>
                <w:szCs w:val="24"/>
              </w:rPr>
              <w:t>健全政务新媒体监管机制。</w:t>
            </w:r>
          </w:p>
        </w:tc>
        <w:tc>
          <w:tcPr>
            <w:tcW w:w="1067" w:type="dxa"/>
            <w:vAlign w:val="center"/>
          </w:tcPr>
          <w:p>
            <w:pPr>
              <w:widowControl/>
              <w:spacing w:line="240" w:lineRule="atLeast"/>
              <w:jc w:val="center"/>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区政府办</w:t>
            </w:r>
          </w:p>
        </w:tc>
        <w:tc>
          <w:tcPr>
            <w:tcW w:w="1391"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街道各部门</w:t>
            </w:r>
          </w:p>
        </w:tc>
        <w:tc>
          <w:tcPr>
            <w:tcW w:w="4746"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针对政务新媒体建设一哄而上、重复建设、“娱乐化”“空壳”等问题有序开展清理整合。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566" w:type="dxa"/>
            <w:vAlign w:val="center"/>
          </w:tcPr>
          <w:p>
            <w:pPr>
              <w:widowControl/>
              <w:spacing w:line="240" w:lineRule="atLeast"/>
              <w:textAlignment w:val="center"/>
              <w:rPr>
                <w:rFonts w:ascii="方正仿宋简体" w:hAnsi="宋体" w:eastAsia="方正仿宋简体" w:cs="宋体"/>
                <w:color w:val="000000"/>
                <w:kern w:val="0"/>
                <w:sz w:val="24"/>
                <w:szCs w:val="24"/>
                <w:lang w:val="en-US" w:eastAsia="zh-CN" w:bidi="ar-SA"/>
              </w:rPr>
            </w:pPr>
            <w:r>
              <w:rPr>
                <w:rFonts w:ascii="方正仿宋简体" w:hAnsi="宋体" w:eastAsia="方正仿宋简体" w:cs="宋体"/>
                <w:color w:val="000000"/>
                <w:kern w:val="0"/>
                <w:sz w:val="24"/>
                <w:szCs w:val="24"/>
              </w:rPr>
              <w:t>2</w:t>
            </w:r>
            <w:r>
              <w:rPr>
                <w:rFonts w:hint="eastAsia" w:ascii="方正仿宋简体" w:hAnsi="宋体" w:eastAsia="方正仿宋简体" w:cs="宋体"/>
                <w:color w:val="000000"/>
                <w:kern w:val="0"/>
                <w:sz w:val="24"/>
                <w:szCs w:val="24"/>
              </w:rPr>
              <w:t>6</w:t>
            </w:r>
            <w:r>
              <w:rPr>
                <w:rFonts w:ascii="方正仿宋简体" w:hAnsi="宋体" w:eastAsia="方正仿宋简体" w:cs="宋体"/>
                <w:color w:val="000000"/>
                <w:kern w:val="0"/>
                <w:sz w:val="24"/>
                <w:szCs w:val="24"/>
              </w:rPr>
              <w:t>.</w:t>
            </w:r>
            <w:r>
              <w:rPr>
                <w:rFonts w:hint="eastAsia" w:ascii="方正仿宋简体" w:hAnsi="宋体" w:eastAsia="方正仿宋简体" w:cs="宋体"/>
                <w:color w:val="000000"/>
                <w:kern w:val="0"/>
                <w:sz w:val="24"/>
                <w:szCs w:val="24"/>
              </w:rPr>
              <w:t>开展政府信息公开专栏建设情况专项检查。</w:t>
            </w:r>
          </w:p>
        </w:tc>
        <w:tc>
          <w:tcPr>
            <w:tcW w:w="1067" w:type="dxa"/>
            <w:vAlign w:val="center"/>
          </w:tcPr>
          <w:p>
            <w:pPr>
              <w:widowControl/>
              <w:spacing w:line="240" w:lineRule="atLeast"/>
              <w:jc w:val="center"/>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区政府办</w:t>
            </w:r>
          </w:p>
        </w:tc>
        <w:tc>
          <w:tcPr>
            <w:tcW w:w="1391"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街道各部门</w:t>
            </w:r>
          </w:p>
        </w:tc>
        <w:tc>
          <w:tcPr>
            <w:tcW w:w="4746"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各单位政府信息公开专栏应完成规范化改造，统一名称和格式，实现法定内容全部公开到位。对未按要求完成的，依据有关规定督促整改、通报批评。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770" w:type="dxa"/>
            <w:gridSpan w:val="4"/>
            <w:vAlign w:val="center"/>
          </w:tcPr>
          <w:p>
            <w:pPr>
              <w:widowControl/>
              <w:spacing w:line="240" w:lineRule="atLeast"/>
              <w:textAlignment w:val="center"/>
              <w:rPr>
                <w:rFonts w:hint="eastAsia"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（三）推进基层政务公开标准化规范化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566" w:type="dxa"/>
            <w:vAlign w:val="center"/>
          </w:tcPr>
          <w:p>
            <w:pPr>
              <w:widowControl/>
              <w:spacing w:line="240" w:lineRule="atLeast"/>
              <w:textAlignment w:val="center"/>
              <w:rPr>
                <w:rFonts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27</w:t>
            </w:r>
            <w:r>
              <w:rPr>
                <w:rFonts w:ascii="方正仿宋简体" w:hAnsi="宋体" w:eastAsia="方正仿宋简体" w:cs="宋体"/>
                <w:color w:val="000000"/>
                <w:kern w:val="0"/>
                <w:sz w:val="24"/>
                <w:szCs w:val="24"/>
              </w:rPr>
              <w:t>.</w:t>
            </w:r>
            <w:r>
              <w:rPr>
                <w:rFonts w:hint="eastAsia" w:ascii="方正仿宋简体" w:hAnsi="宋体" w:eastAsia="方正仿宋简体" w:cs="宋体"/>
                <w:color w:val="000000"/>
                <w:kern w:val="0"/>
                <w:sz w:val="24"/>
                <w:szCs w:val="24"/>
              </w:rPr>
              <w:t>完善基层政务公开事项标准目录。</w:t>
            </w:r>
          </w:p>
        </w:tc>
        <w:tc>
          <w:tcPr>
            <w:tcW w:w="1067"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p>
        </w:tc>
        <w:tc>
          <w:tcPr>
            <w:tcW w:w="1391" w:type="dxa"/>
            <w:vAlign w:val="center"/>
          </w:tcPr>
          <w:p>
            <w:pPr>
              <w:widowControl/>
              <w:spacing w:line="240" w:lineRule="atLeast"/>
              <w:jc w:val="center"/>
              <w:rPr>
                <w:rFonts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街道各部门</w:t>
            </w:r>
          </w:p>
        </w:tc>
        <w:tc>
          <w:tcPr>
            <w:tcW w:w="4746" w:type="dxa"/>
            <w:vAlign w:val="center"/>
          </w:tcPr>
          <w:p>
            <w:pPr>
              <w:widowControl/>
              <w:spacing w:line="240" w:lineRule="atLeast"/>
              <w:textAlignment w:val="center"/>
              <w:rPr>
                <w:rFonts w:hint="eastAsia"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szCs w:val="24"/>
              </w:rPr>
              <w:t>跟踪评估政务公开事项标准目录编制情况，以基层群众实际需求为导向，对照标准指引及时调整完善本级政务公开事项标准目录。推进乡镇街道编制本级政务公开事项标准目录。按照目录要求及时完整公开政务过程和结果信息。</w:t>
            </w:r>
          </w:p>
        </w:tc>
      </w:tr>
    </w:tbl>
    <w:p>
      <w:pPr>
        <w:rPr>
          <w:rFonts w:hint="default" w:ascii="仿宋_GB2312" w:hAnsi="宋体" w:eastAsia="仿宋_GB2312" w:cs="宋体"/>
          <w:b w:val="0"/>
          <w:bCs w:val="0"/>
          <w:color w:val="000000"/>
          <w:kern w:val="2"/>
          <w:sz w:val="32"/>
          <w:szCs w:val="32"/>
          <w:lang w:val="en-US" w:eastAsia="zh-CN" w:bidi="ar"/>
        </w:rPr>
      </w:pPr>
      <w:bookmarkStart w:id="0" w:name="_GoBack"/>
      <w:bookmarkEnd w:id="0"/>
    </w:p>
    <w:sectPr>
      <w:pgSz w:w="11906" w:h="16838"/>
      <w:pgMar w:top="132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方正仿宋简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75951"/>
    <w:rsid w:val="0A494765"/>
    <w:rsid w:val="10B06D7D"/>
    <w:rsid w:val="699459A0"/>
    <w:rsid w:val="7E375951"/>
    <w:rsid w:val="7E464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2021-06-28T09:51:00Z</dcterms:created>
  <dc:creator>Administrator</dc:creator>
  <cp:lastModifiedBy>Administrator</cp:lastModifiedBy>
  <cp:lastPrinted>2021-06-30T01:28:00Z</cp:lastPrinted>
  <dcterms:modified xsi:type="dcterms:W3CDTF">2021-09-30T09:58:39Z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66821729CFE940D6B4C6B79C2D10DED9</vt:lpwstr>
  </property>
</Properties>
</file>