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2880" w:firstLineChars="900"/>
        <w:jc w:val="both"/>
        <w:rPr>
          <w:rFonts w:hint="eastAsia" w:ascii="仿宋_GB2312" w:eastAsia="仿宋_GB2312"/>
          <w:sz w:val="32"/>
          <w:szCs w:val="32"/>
        </w:rPr>
      </w:pPr>
    </w:p>
    <w:p>
      <w:pPr>
        <w:pStyle w:val="2"/>
        <w:ind w:firstLine="2880" w:firstLineChars="900"/>
        <w:jc w:val="both"/>
        <w:rPr>
          <w:rFonts w:hint="eastAsia" w:ascii="仿宋_GB2312" w:eastAsia="仿宋_GB2312"/>
          <w:sz w:val="32"/>
          <w:szCs w:val="32"/>
        </w:rPr>
      </w:pPr>
    </w:p>
    <w:p>
      <w:pPr>
        <w:pStyle w:val="2"/>
        <w:ind w:firstLine="2880" w:firstLineChars="900"/>
        <w:jc w:val="both"/>
        <w:rPr>
          <w:rFonts w:hint="eastAsia" w:ascii="仿宋_GB2312" w:eastAsia="仿宋_GB2312"/>
          <w:sz w:val="32"/>
          <w:szCs w:val="32"/>
        </w:rPr>
      </w:pPr>
    </w:p>
    <w:p>
      <w:pPr>
        <w:pStyle w:val="2"/>
        <w:ind w:firstLine="2560" w:firstLineChars="800"/>
        <w:jc w:val="both"/>
        <w:rPr>
          <w:rFonts w:hint="eastAsia" w:ascii="仿宋_GB2312" w:eastAsia="仿宋_GB2312"/>
          <w:sz w:val="32"/>
          <w:szCs w:val="32"/>
        </w:rPr>
      </w:pPr>
      <w:r>
        <w:rPr>
          <w:rFonts w:hint="eastAsia" w:ascii="仿宋_GB2312" w:eastAsia="仿宋_GB2312"/>
          <w:sz w:val="32"/>
          <w:szCs w:val="32"/>
        </w:rPr>
        <w:t>泉丰</w:t>
      </w:r>
      <w:r>
        <w:rPr>
          <w:rFonts w:hint="eastAsia" w:ascii="仿宋_GB2312" w:eastAsia="仿宋_GB2312"/>
          <w:sz w:val="32"/>
          <w:szCs w:val="32"/>
          <w:lang w:eastAsia="zh-CN"/>
        </w:rPr>
        <w:t>东办</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w:t>
      </w:r>
      <w:r>
        <w:rPr>
          <w:rFonts w:hint="eastAsia" w:ascii="仿宋_GB2312" w:eastAsia="仿宋_GB2312"/>
          <w:sz w:val="32"/>
          <w:szCs w:val="32"/>
          <w:lang w:val="en-US" w:eastAsia="zh-CN"/>
        </w:rPr>
        <w:t xml:space="preserve"> 1 </w:t>
      </w:r>
      <w:r>
        <w:rPr>
          <w:rFonts w:hint="eastAsia" w:ascii="仿宋_GB2312" w:eastAsia="仿宋_GB2312"/>
          <w:sz w:val="32"/>
          <w:szCs w:val="32"/>
        </w:rPr>
        <w:t>号</w:t>
      </w:r>
    </w:p>
    <w:p>
      <w:pPr>
        <w:widowControl/>
        <w:jc w:val="center"/>
        <w:rPr>
          <w:rFonts w:hint="eastAsia" w:ascii="Times New Roman" w:hAnsi="Times New Roman" w:eastAsia="方正小标宋简体" w:cs="Times New Roman"/>
          <w:bCs/>
          <w:color w:val="000000"/>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color w:val="000000"/>
          <w:kern w:val="0"/>
          <w:sz w:val="44"/>
          <w:szCs w:val="44"/>
          <w:lang w:eastAsia="zh-CN"/>
        </w:rPr>
      </w:pPr>
      <w:r>
        <w:rPr>
          <w:rFonts w:hint="eastAsia" w:ascii="Times New Roman" w:hAnsi="Times New Roman" w:eastAsia="方正小标宋简体" w:cs="Times New Roman"/>
          <w:bCs/>
          <w:color w:val="000000"/>
          <w:kern w:val="0"/>
          <w:sz w:val="44"/>
          <w:szCs w:val="44"/>
          <w:lang w:eastAsia="zh-CN"/>
        </w:rPr>
        <w:t>丰泽区人民政府东湖街道办事处</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color w:val="000000"/>
          <w:kern w:val="0"/>
          <w:sz w:val="44"/>
          <w:szCs w:val="44"/>
        </w:rPr>
      </w:pPr>
      <w:r>
        <w:rPr>
          <w:rFonts w:hint="eastAsia" w:ascii="Times New Roman" w:hAnsi="Times New Roman" w:eastAsia="方正小标宋简体" w:cs="Times New Roman"/>
          <w:bCs/>
          <w:color w:val="000000"/>
          <w:kern w:val="0"/>
          <w:sz w:val="44"/>
          <w:szCs w:val="44"/>
          <w:lang w:val="en-US" w:eastAsia="zh-CN"/>
        </w:rPr>
        <w:t>2022年</w:t>
      </w:r>
      <w:r>
        <w:rPr>
          <w:rFonts w:ascii="Times New Roman" w:hAnsi="Times New Roman" w:eastAsia="方正小标宋简体" w:cs="Times New Roman"/>
          <w:bCs/>
          <w:color w:val="000000"/>
          <w:kern w:val="0"/>
          <w:sz w:val="44"/>
          <w:szCs w:val="44"/>
        </w:rPr>
        <w:t>政府信息公开工作年度报告</w:t>
      </w:r>
    </w:p>
    <w:p>
      <w:pPr>
        <w:pStyle w:val="4"/>
        <w:spacing w:before="0" w:beforeAutospacing="0" w:after="0" w:afterAutospacing="0" w:line="580" w:lineRule="exact"/>
        <w:ind w:firstLine="600" w:firstLineChars="200"/>
        <w:jc w:val="both"/>
        <w:rPr>
          <w:rFonts w:hint="default" w:eastAsia="方正小标宋简体" w:cs="Calibri Light" w:asciiTheme="minorAscii" w:hAnsiTheme="minorAscii"/>
          <w:bCs/>
          <w:color w:val="000000"/>
          <w:sz w:val="30"/>
          <w:szCs w:val="30"/>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本年度报告</w:t>
      </w:r>
      <w:r>
        <w:rPr>
          <w:rFonts w:hint="eastAsia" w:ascii="仿宋_GB2312" w:hAnsi="仿宋_GB2312" w:eastAsia="仿宋_GB2312" w:cs="仿宋_GB2312"/>
          <w:kern w:val="2"/>
          <w:sz w:val="32"/>
          <w:szCs w:val="32"/>
        </w:rPr>
        <w:t>根据</w:t>
      </w:r>
      <w:r>
        <w:rPr>
          <w:rFonts w:hint="eastAsia" w:ascii="仿宋_GB2312" w:hAnsi="仿宋_GB2312" w:eastAsia="仿宋_GB2312" w:cs="仿宋_GB2312"/>
          <w:color w:val="000000"/>
          <w:kern w:val="0"/>
          <w:sz w:val="32"/>
          <w:szCs w:val="32"/>
          <w:shd w:val="clear" w:fill="FFFFFF"/>
          <w:lang w:val="en-US" w:eastAsia="zh-CN" w:bidi="ar"/>
        </w:rPr>
        <w:t>《中华人民共和国政府信息公开条例》和《福建省政府信息公开办法》</w:t>
      </w:r>
      <w:r>
        <w:rPr>
          <w:rFonts w:hint="eastAsia" w:ascii="仿宋_GB2312" w:hAnsi="仿宋_GB2312" w:eastAsia="仿宋_GB2312" w:cs="仿宋_GB2312"/>
          <w:kern w:val="2"/>
          <w:sz w:val="32"/>
          <w:szCs w:val="32"/>
        </w:rPr>
        <w:t>要求，搭建完成政府信息公开网络系统，并录入了大量信息。截至20</w:t>
      </w:r>
      <w:r>
        <w:rPr>
          <w:rFonts w:hint="eastAsia" w:ascii="仿宋_GB2312" w:hAnsi="仿宋_GB2312" w:eastAsia="仿宋_GB2312" w:cs="仿宋_GB2312"/>
          <w:kern w:val="2"/>
          <w:sz w:val="32"/>
          <w:szCs w:val="32"/>
          <w:lang w:val="en-US" w:eastAsia="zh-CN"/>
        </w:rPr>
        <w:t>22</w:t>
      </w:r>
      <w:r>
        <w:rPr>
          <w:rFonts w:hint="eastAsia" w:ascii="仿宋_GB2312" w:hAnsi="仿宋_GB2312" w:eastAsia="仿宋_GB2312" w:cs="仿宋_GB2312"/>
          <w:kern w:val="2"/>
          <w:sz w:val="32"/>
          <w:szCs w:val="32"/>
        </w:rPr>
        <w:t>年底，本单位政府信息公开工作运行正常，政府信息公开工作顺利开展。</w:t>
      </w:r>
      <w:r>
        <w:rPr>
          <w:rFonts w:hint="eastAsia" w:ascii="仿宋_GB2312" w:hAnsi="仿宋_GB2312" w:eastAsia="仿宋_GB2312" w:cs="仿宋_GB2312"/>
          <w:color w:val="000000"/>
          <w:kern w:val="0"/>
          <w:sz w:val="32"/>
          <w:szCs w:val="32"/>
          <w:shd w:val="clear" w:fill="FFFFFF"/>
          <w:lang w:val="en-US" w:eastAsia="zh-CN" w:bidi="ar"/>
        </w:rPr>
        <w:t>本年报的电子版可在丰泽区政府网站（www.qzfz.gov.cn）信息公开专栏的街道信息公开栏中下载。如对本年报有疑问，请与丰泽区人民政府东湖街道办事处联系（地址：东湖街东仁路1号，邮编：362000，电话：22985539，电子邮箱：dzb22985539@163.com）</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textAlignment w:val="auto"/>
        <w:rPr>
          <w:rFonts w:hint="eastAsia" w:ascii="方正小标宋简体" w:hAnsi="方正小标宋简体" w:eastAsia="方正小标宋简体" w:cs="方正小标宋简体"/>
          <w:kern w:val="2"/>
          <w:sz w:val="32"/>
          <w:szCs w:val="32"/>
          <w:lang w:val="en-US" w:eastAsia="zh-CN"/>
        </w:rPr>
      </w:pPr>
      <w:r>
        <w:rPr>
          <w:rFonts w:hint="eastAsia" w:ascii="方正小标宋简体" w:hAnsi="方正小标宋简体" w:eastAsia="方正小标宋简体" w:cs="方正小标宋简体"/>
          <w:kern w:val="2"/>
          <w:sz w:val="32"/>
          <w:szCs w:val="32"/>
          <w:lang w:eastAsia="zh-CN"/>
        </w:rPr>
        <w:t>一、总体情况</w:t>
      </w:r>
      <w:r>
        <w:rPr>
          <w:rFonts w:hint="eastAsia" w:ascii="方正小标宋简体" w:hAnsi="方正小标宋简体" w:eastAsia="方正小标宋简体" w:cs="方正小标宋简体"/>
          <w:kern w:val="2"/>
          <w:sz w:val="32"/>
          <w:szCs w:val="32"/>
          <w:lang w:val="en-US" w:eastAsia="zh-CN"/>
        </w:rPr>
        <w:t xml:space="preserve"> </w:t>
      </w:r>
    </w:p>
    <w:p>
      <w:pPr>
        <w:pStyle w:val="4"/>
        <w:keepNext w:val="0"/>
        <w:keepLines w:val="0"/>
        <w:pageBreakBefore w:val="0"/>
        <w:kinsoku/>
        <w:wordWrap/>
        <w:overflowPunct/>
        <w:topLinePunct w:val="0"/>
        <w:autoSpaceDE/>
        <w:autoSpaceDN/>
        <w:bidi w:val="0"/>
        <w:adjustRightInd/>
        <w:snapToGrid/>
        <w:spacing w:before="0" w:beforeAutospacing="0" w:after="0" w:afterAutospacing="0" w:line="55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东湖街道</w:t>
      </w:r>
      <w:r>
        <w:rPr>
          <w:rFonts w:hint="eastAsia" w:ascii="仿宋_GB2312" w:hAnsi="仿宋_GB2312" w:eastAsia="仿宋_GB2312" w:cs="仿宋_GB2312"/>
          <w:color w:val="000000"/>
          <w:sz w:val="32"/>
          <w:szCs w:val="32"/>
        </w:rPr>
        <w:t>坚持“严格依法、全面真实、注重实效、及时便民”的政府信息公开原则，根据不同阶段工作的重点，深入推行政府信息公开工作，努力提高工作透明度。逐步制定《政府信息主动公开制度》、《依申请公开制度》、《保密审查制度》、《工作台账制度》、《责任追究制度》等相关工作制度，组织全体干部集中进行学习培训，推动政府信息公开工作逐步走向规范化、科学化。</w:t>
      </w:r>
    </w:p>
    <w:p>
      <w:pPr>
        <w:keepNext w:val="0"/>
        <w:keepLines w:val="0"/>
        <w:pageBreakBefore w:val="0"/>
        <w:widowControl/>
        <w:numPr>
          <w:ilvl w:val="0"/>
          <w:numId w:val="0"/>
        </w:numPr>
        <w:kinsoku/>
        <w:wordWrap/>
        <w:overflowPunct/>
        <w:topLinePunct w:val="0"/>
        <w:autoSpaceDE/>
        <w:autoSpaceDN/>
        <w:bidi w:val="0"/>
        <w:adjustRightInd/>
        <w:snapToGrid/>
        <w:spacing w:line="55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kern w:val="2"/>
          <w:sz w:val="32"/>
          <w:szCs w:val="32"/>
        </w:rPr>
        <w:t>（一）主动公开情况。街道坚持以公开透明、服务中心、方便群众为立足点，依法及时准确地公开工作动态和政府信息。</w:t>
      </w:r>
      <w:r>
        <w:rPr>
          <w:rFonts w:hint="default" w:ascii="仿宋_GB2312" w:hAnsi="仿宋_GB2312" w:eastAsia="仿宋_GB2312" w:cs="仿宋_GB2312"/>
          <w:kern w:val="2"/>
          <w:sz w:val="32"/>
          <w:szCs w:val="32"/>
        </w:rPr>
        <w:t>202</w:t>
      </w:r>
      <w:r>
        <w:rPr>
          <w:rFonts w:hint="eastAsia" w:ascii="仿宋_GB2312" w:hAnsi="仿宋_GB2312" w:eastAsia="仿宋_GB2312" w:cs="仿宋_GB2312"/>
          <w:kern w:val="2"/>
          <w:sz w:val="32"/>
          <w:szCs w:val="32"/>
        </w:rPr>
        <w:t>2年，</w:t>
      </w:r>
      <w:r>
        <w:rPr>
          <w:rFonts w:hint="eastAsia" w:ascii="仿宋_GB2312" w:hAnsi="仿宋_GB2312" w:eastAsia="仿宋_GB2312" w:cs="仿宋_GB2312"/>
          <w:color w:val="000000"/>
          <w:kern w:val="0"/>
          <w:sz w:val="32"/>
          <w:szCs w:val="32"/>
          <w:lang w:val="en-US" w:eastAsia="zh-CN" w:bidi="ar-SA"/>
        </w:rPr>
        <w:t>街道2022年共主动公开政府信息5条，历年累计主动公开信息311条，全文电子化率达100%。其中，工作情况信息4条，政府信息公开年度报告1条。街道对涉及地区群众切身利益和需要社会公众广泛知晓或者参与的重要信息均做到了及时、准确的公开。</w:t>
      </w:r>
    </w:p>
    <w:p>
      <w:pPr>
        <w:pStyle w:val="4"/>
        <w:keepNext w:val="0"/>
        <w:keepLines w:val="0"/>
        <w:pageBreakBefore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（二）依申请公开情况。</w:t>
      </w:r>
      <w:r>
        <w:rPr>
          <w:rFonts w:hint="default" w:ascii="仿宋_GB2312" w:hAnsi="仿宋_GB2312" w:eastAsia="仿宋_GB2312" w:cs="仿宋_GB2312"/>
          <w:kern w:val="2"/>
          <w:sz w:val="32"/>
          <w:szCs w:val="32"/>
        </w:rPr>
        <w:t>202</w:t>
      </w:r>
      <w:r>
        <w:rPr>
          <w:rFonts w:hint="eastAsia" w:ascii="仿宋_GB2312" w:hAnsi="仿宋_GB2312" w:eastAsia="仿宋_GB2312" w:cs="仿宋_GB2312"/>
          <w:kern w:val="2"/>
          <w:sz w:val="32"/>
          <w:szCs w:val="32"/>
        </w:rPr>
        <w:t>2年，</w:t>
      </w:r>
      <w:r>
        <w:rPr>
          <w:rFonts w:hint="eastAsia" w:ascii="仿宋_GB2312" w:hAnsi="仿宋_GB2312" w:eastAsia="仿宋_GB2312" w:cs="仿宋_GB2312"/>
          <w:kern w:val="2"/>
          <w:sz w:val="32"/>
          <w:szCs w:val="32"/>
          <w:lang w:eastAsia="zh-CN"/>
        </w:rPr>
        <w:t>东湖</w:t>
      </w:r>
      <w:r>
        <w:rPr>
          <w:rFonts w:hint="eastAsia" w:ascii="仿宋_GB2312" w:hAnsi="仿宋_GB2312" w:eastAsia="仿宋_GB2312" w:cs="仿宋_GB2312"/>
          <w:kern w:val="2"/>
          <w:sz w:val="32"/>
          <w:szCs w:val="32"/>
        </w:rPr>
        <w:t>街道共受理依申请</w:t>
      </w:r>
    </w:p>
    <w:p>
      <w:pPr>
        <w:pStyle w:val="4"/>
        <w:keepNext w:val="0"/>
        <w:keepLines w:val="0"/>
        <w:pageBreakBefore w:val="0"/>
        <w:kinsoku/>
        <w:wordWrap/>
        <w:overflowPunct/>
        <w:topLinePunct w:val="0"/>
        <w:autoSpaceDE/>
        <w:autoSpaceDN/>
        <w:bidi w:val="0"/>
        <w:adjustRightInd/>
        <w:snapToGrid/>
        <w:spacing w:before="0" w:beforeAutospacing="0" w:after="0" w:afterAutospacing="0" w:line="556" w:lineRule="exact"/>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公开政府信息0件。</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rPr>
        <w:t>（三）政府信息管理情况。根据上级有关文件规定，街道加强信息管理，做好监督审核，在公开基本内容的基础上，重点公开与群众切身利益密切相关的事项，</w:t>
      </w:r>
      <w:r>
        <w:rPr>
          <w:rFonts w:hint="eastAsia" w:ascii="仿宋_GB2312" w:hAnsi="仿宋_GB2312" w:eastAsia="仿宋_GB2312" w:cs="仿宋_GB2312"/>
          <w:sz w:val="32"/>
          <w:szCs w:val="32"/>
          <w:lang w:val="en-US" w:eastAsia="zh-CN"/>
        </w:rPr>
        <w:t>组织各部门落实政府工作做到公开</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透明，推进政策报告阳光透明。1、街道对</w:t>
      </w:r>
      <w:r>
        <w:rPr>
          <w:rFonts w:hint="eastAsia" w:ascii="仿宋_GB2312" w:hAnsi="仿宋_GB2312" w:eastAsia="仿宋_GB2312" w:cs="仿宋_GB2312"/>
          <w:sz w:val="32"/>
          <w:szCs w:val="32"/>
        </w:rPr>
        <w:t>2022年丰泽区政务公开工作台账涉及东湖街道任务</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分解</w:t>
      </w:r>
      <w:r>
        <w:rPr>
          <w:rFonts w:hint="eastAsia" w:ascii="仿宋_GB2312" w:hAnsi="仿宋_GB2312" w:eastAsia="仿宋_GB2312" w:cs="仿宋_GB2312"/>
          <w:sz w:val="32"/>
          <w:szCs w:val="32"/>
          <w:lang w:val="en-US" w:eastAsia="zh-CN"/>
        </w:rPr>
        <w:t>和公布，进一步细化职责分工，跟进推动。2、为推动人大代表建议和政协委员提案办理力度，对2022年市、区两级人大会议建议和政协会议提案交办内容进行分解并公布，今年我街道承办的21项市、区两级的政协提案已全部办理完成，并对于涉及公共利益、公众权益、社会关切及需要社会广泛知晓的建议和提案办理答复文进行全文公开。3、对东湖街道2022年度机关各部门各社区辖区企事业单位学法安排，进行通知并公开，还有对在全街道公民中开展法治宣传教育的第八个五年规划(2021-2025年)进行了通知并公开。</w:t>
      </w:r>
    </w:p>
    <w:p>
      <w:pPr>
        <w:pStyle w:val="4"/>
        <w:keepNext w:val="0"/>
        <w:keepLines w:val="0"/>
        <w:pageBreakBefore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（四）政府信息公开平台建设情况。根据街道便民服务中心政务公开专区建设规范要求，建成</w:t>
      </w:r>
      <w:r>
        <w:rPr>
          <w:rFonts w:hint="eastAsia" w:ascii="仿宋_GB2312" w:hAnsi="仿宋_GB2312" w:eastAsia="仿宋_GB2312" w:cs="仿宋_GB2312"/>
          <w:kern w:val="2"/>
          <w:sz w:val="32"/>
          <w:szCs w:val="32"/>
          <w:lang w:eastAsia="zh-CN"/>
        </w:rPr>
        <w:t>东湖</w:t>
      </w:r>
      <w:r>
        <w:rPr>
          <w:rFonts w:hint="eastAsia" w:ascii="仿宋_GB2312" w:hAnsi="仿宋_GB2312" w:eastAsia="仿宋_GB2312" w:cs="仿宋_GB2312"/>
          <w:kern w:val="2"/>
          <w:sz w:val="32"/>
          <w:szCs w:val="32"/>
        </w:rPr>
        <w:t>街道</w:t>
      </w:r>
      <w:r>
        <w:rPr>
          <w:rFonts w:hint="eastAsia" w:ascii="仿宋_GB2312" w:hAnsi="仿宋_GB2312" w:eastAsia="仿宋_GB2312" w:cs="仿宋_GB2312"/>
          <w:kern w:val="2"/>
          <w:sz w:val="32"/>
          <w:szCs w:val="32"/>
          <w:lang w:eastAsia="zh-CN"/>
        </w:rPr>
        <w:t>综合</w:t>
      </w:r>
      <w:r>
        <w:rPr>
          <w:rFonts w:hint="eastAsia" w:ascii="仿宋_GB2312" w:hAnsi="仿宋_GB2312" w:eastAsia="仿宋_GB2312" w:cs="仿宋_GB2312"/>
          <w:kern w:val="2"/>
          <w:sz w:val="32"/>
          <w:szCs w:val="32"/>
        </w:rPr>
        <w:t>便民服务中心政务公开专区。</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1.专区基本情况。东湖街道综合便民服中心政务公开专区设置在便民服务中心一楼大厅左侧区域，包括线上政务公开便民体验系统和线下实体专区。</w:t>
      </w:r>
    </w:p>
    <w:p>
      <w:pPr>
        <w:pStyle w:val="4"/>
        <w:keepNext w:val="0"/>
        <w:keepLines w:val="0"/>
        <w:pageBreakBefore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2.功能区基本情况。根据实际情况对专区进行合理规划，划分为自助查询区、资料阅览区、依申请公开接收区、政策咨询区等不同功能区域。</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（1）自助查询区:配备2台触摸查询一体机，保证网络畅通，接入“丰泽区人民政府网站”，提供政务公开、政府信息公开专栏、政务服务等信息查询；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（2）资料查阅区:配备政务公开资料展示架，展示党报党刊、政府公报、办事指南、各类政策宣传册等资料，资料要分类摆放并定期更新，方便群众查阅；</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（3）依申请公开接收区：提供《政府信息公开申请表》样表（也可通过区政府门户网站政府信息公开专栏在线申请），为群众填写信息公开申请表提供指导帮助和咨询服务；</w:t>
      </w:r>
    </w:p>
    <w:p>
      <w:pPr>
        <w:numPr>
          <w:ilvl w:val="0"/>
          <w:numId w:val="0"/>
        </w:numPr>
        <w:ind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（4）政策咨询区：设置政策咨询窗口或政策咨询台，配备至少1名工作人员，提供政策咨询服务。实现政务公开和政务服务资源共享互通。</w:t>
      </w:r>
    </w:p>
    <w:p>
      <w:pPr>
        <w:pStyle w:val="4"/>
        <w:keepNext w:val="0"/>
        <w:keepLines w:val="0"/>
        <w:pageBreakBefore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保障监督情况。严格按照区政府和街道有关规定落实政务信息公开保障监督，明确政务公开职能部门，落实信息公开主体责任，保证专人专责，提高信息公开的针对性、严谨性和时效性。加强对政府信息公开工作的自我监督检查，对发现的问题及时整改，不断提高政务公开工作质量。</w:t>
      </w:r>
    </w:p>
    <w:p>
      <w:pPr>
        <w:pStyle w:val="4"/>
        <w:keepNext w:val="0"/>
        <w:keepLines w:val="0"/>
        <w:pageBreakBefore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t>二、主动公开政府信息情况</w:t>
      </w:r>
    </w:p>
    <w:p>
      <w:pPr>
        <w:pStyle w:val="4"/>
        <w:keepNext w:val="0"/>
        <w:keepLines w:val="0"/>
        <w:pageBreakBefore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仿宋_GB2312" w:hAnsi="仿宋_GB2312" w:eastAsia="仿宋_GB2312" w:cs="仿宋_GB2312"/>
          <w:bCs/>
          <w:color w:val="000000"/>
          <w:sz w:val="32"/>
          <w:szCs w:val="32"/>
        </w:rPr>
      </w:pP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信息内容</w:t>
            </w:r>
          </w:p>
        </w:tc>
        <w:tc>
          <w:tcPr>
            <w:tcW w:w="7305" w:type="dxa"/>
            <w:gridSpan w:val="3"/>
            <w:tcBorders>
              <w:top w:val="nil"/>
              <w:left w:val="nil"/>
              <w:bottom w:val="single" w:color="auto" w:sz="4"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行政事业性收费</w:t>
            </w:r>
          </w:p>
        </w:tc>
        <w:tc>
          <w:tcPr>
            <w:tcW w:w="7305" w:type="dxa"/>
            <w:gridSpan w:val="3"/>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line="556" w:lineRule="exact"/>
        <w:jc w:val="left"/>
        <w:textAlignment w:val="auto"/>
        <w:rPr>
          <w:rFonts w:hint="eastAsia" w:ascii="仿宋_GB2312" w:hAnsi="仿宋_GB2312" w:eastAsia="仿宋_GB2312" w:cs="仿宋_GB2312"/>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t>三、收到和处理政府信息公开申请情况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81"/>
        <w:gridCol w:w="1074"/>
        <w:gridCol w:w="3112"/>
        <w:gridCol w:w="683"/>
        <w:gridCol w:w="683"/>
        <w:gridCol w:w="683"/>
        <w:gridCol w:w="683"/>
        <w:gridCol w:w="683"/>
        <w:gridCol w:w="683"/>
        <w:gridCol w:w="68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67"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（本列数据的勾稽关系为：第一项加第二项之和，等于第三项加第四项之和）</w:t>
            </w:r>
          </w:p>
        </w:tc>
        <w:tc>
          <w:tcPr>
            <w:tcW w:w="4781"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67"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683"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自然人</w:t>
            </w:r>
          </w:p>
        </w:tc>
        <w:tc>
          <w:tcPr>
            <w:tcW w:w="3415"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法人或其他组织</w:t>
            </w:r>
          </w:p>
        </w:tc>
        <w:tc>
          <w:tcPr>
            <w:tcW w:w="683"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67" w:type="dxa"/>
            <w:gridSpan w:val="3"/>
            <w:vMerge w:val="continue"/>
            <w:tcBorders>
              <w:top w:val="single" w:color="auto" w:sz="8" w:space="0"/>
              <w:left w:val="single" w:color="auto" w:sz="8" w:space="0"/>
              <w:bottom w:val="single" w:color="auto" w:sz="4"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683" w:type="dxa"/>
            <w:vMerge w:val="continue"/>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683"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企业</w:t>
            </w:r>
          </w:p>
        </w:tc>
        <w:tc>
          <w:tcPr>
            <w:tcW w:w="683"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机构</w:t>
            </w:r>
          </w:p>
        </w:tc>
        <w:tc>
          <w:tcPr>
            <w:tcW w:w="683" w:type="dxa"/>
            <w:tcBorders>
              <w:top w:val="single" w:color="auto" w:sz="8" w:space="0"/>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社会公益组织</w:t>
            </w:r>
          </w:p>
        </w:tc>
        <w:tc>
          <w:tcPr>
            <w:tcW w:w="683" w:type="dxa"/>
            <w:tcBorders>
              <w:top w:val="single" w:color="auto" w:sz="8" w:space="0"/>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法律服务机构</w:t>
            </w:r>
          </w:p>
        </w:tc>
        <w:tc>
          <w:tcPr>
            <w:tcW w:w="683" w:type="dxa"/>
            <w:tcBorders>
              <w:top w:val="single" w:color="auto" w:sz="8" w:space="0"/>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其他</w:t>
            </w:r>
          </w:p>
        </w:tc>
        <w:tc>
          <w:tcPr>
            <w:tcW w:w="683" w:type="dxa"/>
            <w:vMerge w:val="continue"/>
            <w:tcBorders>
              <w:top w:val="single" w:color="auto" w:sz="8" w:space="0"/>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4967" w:type="dxa"/>
            <w:gridSpan w:val="3"/>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一、本年新收政府信息公开申请数量</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67" w:type="dxa"/>
            <w:gridSpan w:val="3"/>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二、上年结转政府信息公开申请数量</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三、本年度办理结果</w:t>
            </w:r>
          </w:p>
        </w:tc>
        <w:tc>
          <w:tcPr>
            <w:tcW w:w="4186"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（一）予以公开</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4186"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（二）部分公开（区分处理的，只计这一情形，不计其他情形）</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1074"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（三）不予公开</w:t>
            </w:r>
          </w:p>
        </w:tc>
        <w:tc>
          <w:tcPr>
            <w:tcW w:w="311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1.属于国家秘密</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1074"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311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2.其他法律行政法规禁止公开</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1074"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311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3.危及“三安全一稳定”</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1074"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311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4.保护第三方合法权益</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1074"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311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5.属于三类内部事务信息</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1074"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311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6.属于四类过程性信息</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1074"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311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7.属于行政执法案卷</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1074"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311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8.属于行政查询事项</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1074"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（四）无法提供</w:t>
            </w:r>
          </w:p>
        </w:tc>
        <w:tc>
          <w:tcPr>
            <w:tcW w:w="311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1.本机关不掌握相关政府信息</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1074"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311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2.没有现成信息需要另行制作</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1074"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311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3.补正后申请内容仍不明确</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1074"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（五）不予处理</w:t>
            </w:r>
          </w:p>
        </w:tc>
        <w:tc>
          <w:tcPr>
            <w:tcW w:w="311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1.信访举报投诉类申请</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1074"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311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2.重复申请</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1074"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311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3.要求提供公开出版物</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1074"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311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4.无正当理由大量反复申请</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1"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1074"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311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5.要求行政机关确认或重新出具已获取信息</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1074"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（六）其他处理</w:t>
            </w:r>
          </w:p>
        </w:tc>
        <w:tc>
          <w:tcPr>
            <w:tcW w:w="311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1.申请人无正当理由逾期不补正、行政机关不再处理其政府信息公开申请</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single" w:color="auto" w:sz="4" w:space="0"/>
              <w:left w:val="single" w:color="auto" w:sz="4"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1074" w:type="dxa"/>
            <w:vMerge w:val="continue"/>
            <w:tcBorders>
              <w:top w:val="single" w:color="auto" w:sz="4"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3112"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2.申请人逾期未按收费通知要求缴纳费用、行政机关不再处理其政府信息公开申请</w:t>
            </w:r>
          </w:p>
        </w:tc>
        <w:tc>
          <w:tcPr>
            <w:tcW w:w="683"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1074"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3112"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3.其他</w:t>
            </w:r>
          </w:p>
        </w:tc>
        <w:tc>
          <w:tcPr>
            <w:tcW w:w="68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1"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4186"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（七）总计</w:t>
            </w:r>
          </w:p>
        </w:tc>
        <w:tc>
          <w:tcPr>
            <w:tcW w:w="68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67"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四、结转下年度继续办理</w:t>
            </w:r>
          </w:p>
        </w:tc>
        <w:tc>
          <w:tcPr>
            <w:tcW w:w="68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83"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t>四、政府信息公开行政复议、行政诉讼情况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default"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default"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0</w:t>
            </w:r>
            <w:bookmarkStart w:id="0" w:name="_GoBack"/>
            <w:bookmarkEnd w:id="0"/>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0" w:line="579" w:lineRule="atLeast"/>
              <w:ind w:left="0" w:right="0"/>
              <w:jc w:val="center"/>
              <w:rPr>
                <w:rFonts w:hint="eastAsia" w:ascii="微软雅黑" w:hAnsi="微软雅黑" w:eastAsia="微软雅黑" w:cs="微软雅黑"/>
                <w:i w:val="0"/>
                <w:iCs w:val="0"/>
                <w:kern w:val="0"/>
                <w:sz w:val="20"/>
                <w:szCs w:val="20"/>
                <w:lang w:val="en-US" w:eastAsia="zh-CN" w:bidi="ar"/>
              </w:rPr>
            </w:pPr>
            <w:r>
              <w:rPr>
                <w:rFonts w:hint="eastAsia" w:ascii="微软雅黑" w:hAnsi="微软雅黑" w:eastAsia="微软雅黑" w:cs="微软雅黑"/>
                <w:i w:val="0"/>
                <w:iCs w:val="0"/>
                <w:kern w:val="0"/>
                <w:sz w:val="20"/>
                <w:szCs w:val="20"/>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line="556" w:lineRule="exact"/>
        <w:jc w:val="left"/>
        <w:textAlignment w:val="auto"/>
        <w:rPr>
          <w:rFonts w:hint="eastAsia" w:ascii="仿宋_GB2312" w:hAnsi="仿宋_GB2312" w:eastAsia="仿宋_GB2312" w:cs="仿宋_GB2312"/>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56" w:lineRule="exact"/>
        <w:ind w:firstLine="640" w:firstLineChars="200"/>
        <w:jc w:val="both"/>
        <w:textAlignment w:val="auto"/>
        <w:rPr>
          <w:rFonts w:hint="eastAsia"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t>五、存在的主要问题及改进情况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56" w:lineRule="exact"/>
        <w:ind w:left="0" w:right="0" w:firstLine="643"/>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454545"/>
          <w:sz w:val="32"/>
          <w:szCs w:val="32"/>
        </w:rPr>
        <w:t>2</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年度我街道政府信息公开工作取得了一定成绩，但仍存在着一些问题和困难，主要是：街道各部门依法公开、主动公开意识有待进一步加强；</w:t>
      </w:r>
      <w:r>
        <w:rPr>
          <w:rFonts w:hint="eastAsia" w:ascii="仿宋_GB2312" w:hAnsi="仿宋_GB2312" w:eastAsia="仿宋_GB2312" w:cs="仿宋_GB2312"/>
          <w:color w:val="000000"/>
          <w:kern w:val="0"/>
          <w:sz w:val="32"/>
          <w:szCs w:val="32"/>
          <w:shd w:val="clear" w:fill="FFFFFF"/>
          <w:lang w:val="en-US" w:eastAsia="zh-CN" w:bidi="ar"/>
        </w:rPr>
        <w:t>信息公开的时效性有待进一步提升</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333333"/>
          <w:kern w:val="0"/>
          <w:sz w:val="32"/>
          <w:szCs w:val="32"/>
          <w:shd w:val="clear" w:fill="FFFFFF"/>
          <w:lang w:val="en-US" w:eastAsia="zh-CN" w:bidi="ar"/>
        </w:rPr>
        <w:t>需进一步加强宣传与引导社会公众对依申请信息公开的认识，宣传的</w:t>
      </w:r>
      <w:r>
        <w:rPr>
          <w:rFonts w:hint="eastAsia" w:ascii="仿宋_GB2312" w:hAnsi="仿宋_GB2312" w:eastAsia="仿宋_GB2312" w:cs="仿宋_GB2312"/>
          <w:color w:val="282E2E"/>
          <w:kern w:val="0"/>
          <w:sz w:val="32"/>
          <w:szCs w:val="32"/>
          <w:shd w:val="clear" w:fill="FFFFFF"/>
          <w:lang w:val="en-US" w:eastAsia="zh-CN" w:bidi="ar"/>
        </w:rPr>
        <w:t>形式、范围、力度等方面都有待进一步加强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改进措施如下：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56" w:lineRule="exact"/>
        <w:ind w:left="0" w:right="0" w:firstLine="643"/>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shd w:val="clear" w:fill="FFFFFF"/>
          <w:lang w:val="en-US" w:eastAsia="zh-CN" w:bidi="ar"/>
        </w:rPr>
        <w:t>1.强化业务培训。</w:t>
      </w:r>
      <w:r>
        <w:rPr>
          <w:rFonts w:hint="eastAsia" w:ascii="仿宋_GB2312" w:hAnsi="仿宋_GB2312" w:eastAsia="仿宋_GB2312" w:cs="仿宋_GB2312"/>
          <w:color w:val="333333"/>
          <w:kern w:val="0"/>
          <w:sz w:val="32"/>
          <w:szCs w:val="32"/>
          <w:shd w:val="clear" w:fill="FFFFFF"/>
          <w:lang w:val="en-US" w:eastAsia="zh-CN" w:bidi="ar"/>
        </w:rPr>
        <w:t>加强相关工作人员的业务水平，不断地学习交流新政策和法规，更大程度地满足群众的知情权。强化政府信息公开工作的责任。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56" w:lineRule="exact"/>
        <w:ind w:left="0" w:right="0"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shd w:val="clear" w:fill="FFFFFF"/>
          <w:lang w:val="en-US" w:eastAsia="zh-CN" w:bidi="ar"/>
        </w:rPr>
        <w:t>2.加强宣传活动。</w:t>
      </w:r>
      <w:r>
        <w:rPr>
          <w:rFonts w:hint="eastAsia" w:ascii="仿宋_GB2312" w:hAnsi="仿宋_GB2312" w:eastAsia="仿宋_GB2312" w:cs="仿宋_GB2312"/>
          <w:color w:val="333333"/>
          <w:kern w:val="0"/>
          <w:sz w:val="32"/>
          <w:szCs w:val="32"/>
          <w:shd w:val="clear" w:fill="FFFFFF"/>
          <w:lang w:val="en-US" w:eastAsia="zh-CN" w:bidi="ar"/>
        </w:rPr>
        <w:t>坚持以群众需求为导向，重点关注与社会发展和群众生活密切相关的政府信息内容公开，加大舆论和社会监督的力度，努力扩大政务的公众参与。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6" w:lineRule="exact"/>
        <w:ind w:left="0" w:right="0" w:firstLine="640"/>
        <w:jc w:val="both"/>
        <w:textAlignment w:val="auto"/>
        <w:rPr>
          <w:rFonts w:hint="eastAsia" w:ascii="方正小标宋简体" w:hAnsi="方正小标宋简体" w:eastAsia="方正小标宋简体" w:cs="方正小标宋简体"/>
          <w:color w:val="000000"/>
          <w:kern w:val="0"/>
          <w:sz w:val="32"/>
          <w:szCs w:val="32"/>
          <w:shd w:val="clear" w:fill="FFFFFF"/>
          <w:lang w:val="en-US" w:eastAsia="zh-CN" w:bidi="ar"/>
        </w:rPr>
      </w:pPr>
      <w:r>
        <w:rPr>
          <w:rFonts w:hint="eastAsia" w:ascii="方正小标宋简体" w:hAnsi="方正小标宋简体" w:eastAsia="方正小标宋简体" w:cs="方正小标宋简体"/>
          <w:color w:val="000000"/>
          <w:kern w:val="0"/>
          <w:sz w:val="32"/>
          <w:szCs w:val="32"/>
          <w:shd w:val="clear" w:fill="FFFFFF"/>
          <w:lang w:val="en-US" w:eastAsia="zh-CN" w:bidi="ar"/>
        </w:rPr>
        <w:t>六、其他需要报告的事项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6"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fill="FFFFFF"/>
          <w:lang w:val="en-US" w:eastAsia="zh-CN" w:bidi="ar"/>
        </w:rPr>
        <w:t>主动公开信息数来源于信息公开后台系统，政府信息公开专栏页面访问量数据来源于丰泽区信息公开专栏。</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丰泽区人民政府东湖街道办事处</w:t>
      </w:r>
    </w:p>
    <w:p>
      <w:pPr>
        <w:keepNext w:val="0"/>
        <w:keepLines w:val="0"/>
        <w:pageBreakBefore w:val="0"/>
        <w:widowControl/>
        <w:kinsoku/>
        <w:wordWrap/>
        <w:overflowPunct/>
        <w:topLinePunct w:val="0"/>
        <w:autoSpaceDE/>
        <w:autoSpaceDN/>
        <w:bidi w:val="0"/>
        <w:adjustRightInd/>
        <w:snapToGrid/>
        <w:spacing w:line="55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                                  2023年元月5日</w:t>
      </w:r>
    </w:p>
    <w:p>
      <w:pPr>
        <w:rPr>
          <w:rFonts w:hint="eastAsia" w:ascii="仿宋_GB2312" w:hAnsi="仿宋_GB2312" w:eastAsia="仿宋_GB2312" w:cs="仿宋_GB2312"/>
          <w:sz w:val="32"/>
          <w:szCs w:val="32"/>
        </w:rPr>
      </w:pPr>
    </w:p>
    <w:sectPr>
      <w:footerReference r:id="rId3" w:type="default"/>
      <w:pgSz w:w="11906" w:h="16838"/>
      <w:pgMar w:top="1440" w:right="1066"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xZDk2MjM1OWQ1MTU0Y2EyZDJkZGJiZWQ3MzYxZjMifQ=="/>
  </w:docVars>
  <w:rsids>
    <w:rsidRoot w:val="205463F0"/>
    <w:rsid w:val="18E735ED"/>
    <w:rsid w:val="205463F0"/>
    <w:rsid w:val="21772C75"/>
    <w:rsid w:val="27F13C4C"/>
    <w:rsid w:val="46713241"/>
    <w:rsid w:val="6CC81247"/>
    <w:rsid w:val="73A83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2636</Words>
  <Characters>2751</Characters>
  <Lines>0</Lines>
  <Paragraphs>0</Paragraphs>
  <TotalTime>15</TotalTime>
  <ScaleCrop>false</ScaleCrop>
  <LinksUpToDate>false</LinksUpToDate>
  <CharactersWithSpaces>3013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2023-01-05T08:35:00Z</dcterms:created>
  <dc:creator>Administrator</dc:creator>
  <cp:lastModifiedBy>Administrator</cp:lastModifiedBy>
  <cp:lastPrinted>2023-01-09T08:44:00Z</cp:lastPrinted>
  <dcterms:modified xsi:type="dcterms:W3CDTF">2023-01-11T07:29:32Z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7428FCB14EA64F018318D25AA79A554E</vt:lpwstr>
  </property>
</Properties>
</file>