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BD" w:rsidRDefault="005F05BD">
      <w:pPr>
        <w:spacing w:line="800" w:lineRule="exact"/>
        <w:jc w:val="center"/>
        <w:rPr>
          <w:rFonts w:ascii="宋体"/>
          <w:b/>
          <w:bCs/>
          <w:sz w:val="44"/>
          <w:szCs w:val="44"/>
        </w:rPr>
      </w:pPr>
    </w:p>
    <w:p w:rsidR="005F05BD" w:rsidRDefault="005F05BD">
      <w:pPr>
        <w:spacing w:line="800" w:lineRule="exact"/>
        <w:jc w:val="center"/>
        <w:rPr>
          <w:rFonts w:ascii="宋体"/>
          <w:b/>
          <w:bCs/>
          <w:sz w:val="44"/>
          <w:szCs w:val="44"/>
        </w:rPr>
      </w:pPr>
    </w:p>
    <w:p w:rsidR="005F05BD" w:rsidRDefault="005F05BD">
      <w:pPr>
        <w:spacing w:line="40" w:lineRule="atLeast"/>
        <w:jc w:val="center"/>
        <w:rPr>
          <w:rFonts w:ascii="仿宋_GB2312" w:eastAsia="仿宋_GB2312" w:hAnsi="宋体"/>
          <w:sz w:val="32"/>
          <w:szCs w:val="32"/>
        </w:rPr>
      </w:pPr>
    </w:p>
    <w:p w:rsidR="005F05BD" w:rsidRDefault="00D354FA">
      <w:pPr>
        <w:spacing w:line="40" w:lineRule="atLeast"/>
        <w:ind w:firstLineChars="100" w:firstLine="320"/>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泉丰泉办〔</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p>
    <w:p w:rsidR="005F05BD" w:rsidRDefault="005F05BD">
      <w:pPr>
        <w:spacing w:line="1300" w:lineRule="exact"/>
        <w:jc w:val="center"/>
        <w:rPr>
          <w:rFonts w:ascii="方正小标宋简体" w:eastAsia="方正小标宋简体" w:hAnsi="宋体"/>
          <w:b/>
          <w:bCs/>
          <w:sz w:val="44"/>
          <w:szCs w:val="44"/>
        </w:rPr>
      </w:pPr>
    </w:p>
    <w:p w:rsidR="005F05BD" w:rsidRDefault="00D354FA">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丰泽区人民政府泉秀街道办事处关于</w:t>
      </w:r>
    </w:p>
    <w:p w:rsidR="005F05BD" w:rsidRDefault="00D354FA">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印发泉秀街道</w:t>
      </w:r>
      <w:r>
        <w:rPr>
          <w:rFonts w:ascii="方正小标宋简体" w:eastAsia="方正小标宋简体" w:hAnsi="黑体" w:hint="eastAsia"/>
          <w:sz w:val="44"/>
          <w:szCs w:val="44"/>
        </w:rPr>
        <w:t>2021</w:t>
      </w:r>
      <w:r>
        <w:rPr>
          <w:rFonts w:ascii="方正小标宋简体" w:eastAsia="方正小标宋简体" w:hAnsi="黑体" w:hint="eastAsia"/>
          <w:sz w:val="44"/>
          <w:szCs w:val="44"/>
        </w:rPr>
        <w:t>年加快推进</w:t>
      </w:r>
    </w:p>
    <w:p w:rsidR="005F05BD" w:rsidRDefault="00D354FA">
      <w:pPr>
        <w:spacing w:line="579"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生活垃圾分类工作方案的通知</w:t>
      </w:r>
    </w:p>
    <w:p w:rsidR="005F05BD" w:rsidRDefault="005F05BD">
      <w:pPr>
        <w:spacing w:line="579" w:lineRule="exact"/>
        <w:rPr>
          <w:rFonts w:ascii="方正小标宋简体" w:eastAsia="方正小标宋简体"/>
          <w:sz w:val="44"/>
          <w:szCs w:val="44"/>
        </w:rPr>
      </w:pPr>
    </w:p>
    <w:p w:rsidR="005F05BD" w:rsidRDefault="00D354FA">
      <w:pPr>
        <w:spacing w:line="579" w:lineRule="exact"/>
        <w:rPr>
          <w:rFonts w:ascii="仿宋_GB2312" w:eastAsia="仿宋_GB2312"/>
          <w:sz w:val="32"/>
          <w:szCs w:val="32"/>
        </w:rPr>
      </w:pPr>
      <w:r>
        <w:rPr>
          <w:rFonts w:ascii="仿宋_GB2312" w:eastAsia="仿宋_GB2312" w:hint="eastAsia"/>
          <w:sz w:val="32"/>
          <w:szCs w:val="32"/>
        </w:rPr>
        <w:t>各社区居委会，机关各部门：</w:t>
      </w:r>
    </w:p>
    <w:p w:rsidR="005F05BD" w:rsidRDefault="00D354FA">
      <w:pPr>
        <w:spacing w:line="579" w:lineRule="exact"/>
        <w:ind w:firstLineChars="200" w:firstLine="640"/>
        <w:rPr>
          <w:rFonts w:ascii="仿宋_GB2312" w:eastAsia="仿宋_GB2312"/>
          <w:sz w:val="32"/>
          <w:szCs w:val="32"/>
        </w:rPr>
      </w:pPr>
      <w:r>
        <w:rPr>
          <w:rFonts w:ascii="仿宋_GB2312" w:eastAsia="仿宋_GB2312" w:hint="eastAsia"/>
          <w:sz w:val="32"/>
          <w:szCs w:val="32"/>
        </w:rPr>
        <w:t>现将《泉秀街道</w:t>
      </w:r>
      <w:r>
        <w:rPr>
          <w:rFonts w:ascii="仿宋_GB2312" w:eastAsia="仿宋_GB2312" w:hint="eastAsia"/>
          <w:sz w:val="32"/>
          <w:szCs w:val="32"/>
        </w:rPr>
        <w:t>2021</w:t>
      </w:r>
      <w:r>
        <w:rPr>
          <w:rFonts w:ascii="仿宋_GB2312" w:eastAsia="仿宋_GB2312" w:hint="eastAsia"/>
          <w:sz w:val="32"/>
          <w:szCs w:val="32"/>
        </w:rPr>
        <w:t>年加快推进生活垃圾分类工作方案》印发给你们，请认真组织实施。</w:t>
      </w:r>
    </w:p>
    <w:p w:rsidR="005F05BD" w:rsidRDefault="005F05BD">
      <w:pPr>
        <w:spacing w:line="579" w:lineRule="exact"/>
        <w:jc w:val="left"/>
        <w:rPr>
          <w:rFonts w:ascii="仿宋_GB2312" w:eastAsia="仿宋_GB2312"/>
          <w:sz w:val="32"/>
          <w:szCs w:val="32"/>
        </w:rPr>
      </w:pPr>
    </w:p>
    <w:p w:rsidR="005F05BD" w:rsidRDefault="005F05BD">
      <w:pPr>
        <w:spacing w:line="579" w:lineRule="exact"/>
        <w:rPr>
          <w:rFonts w:ascii="仿宋_GB2312" w:eastAsia="仿宋_GB2312"/>
          <w:sz w:val="32"/>
        </w:rPr>
      </w:pPr>
    </w:p>
    <w:p w:rsidR="005F05BD" w:rsidRDefault="00D354FA">
      <w:pPr>
        <w:spacing w:line="579" w:lineRule="exact"/>
        <w:ind w:firstLineChars="1200" w:firstLine="3840"/>
        <w:rPr>
          <w:rFonts w:ascii="仿宋_GB2312" w:eastAsia="仿宋_GB2312"/>
          <w:color w:val="000000"/>
          <w:sz w:val="32"/>
          <w:szCs w:val="32"/>
        </w:rPr>
      </w:pPr>
      <w:r>
        <w:rPr>
          <w:rFonts w:ascii="仿宋_GB2312" w:eastAsia="仿宋_GB2312" w:hint="eastAsia"/>
          <w:color w:val="000000"/>
          <w:sz w:val="32"/>
          <w:szCs w:val="32"/>
        </w:rPr>
        <w:t>丰泽区人民政府泉秀街道办事处</w:t>
      </w:r>
      <w:r>
        <w:rPr>
          <w:rFonts w:ascii="仿宋_GB2312" w:eastAsia="仿宋_GB2312" w:hint="eastAsia"/>
          <w:color w:val="000000"/>
          <w:sz w:val="32"/>
          <w:szCs w:val="32"/>
        </w:rPr>
        <w:t xml:space="preserve">    </w:t>
      </w:r>
    </w:p>
    <w:p w:rsidR="005F05BD" w:rsidRDefault="00D354FA">
      <w:pPr>
        <w:spacing w:line="579" w:lineRule="exact"/>
        <w:ind w:left="629"/>
        <w:jc w:val="lef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2021</w:t>
      </w:r>
      <w:r>
        <w:rPr>
          <w:rFonts w:ascii="仿宋_GB2312" w:eastAsia="仿宋_GB2312" w:hint="eastAsia"/>
          <w:color w:val="000000"/>
          <w:sz w:val="32"/>
          <w:szCs w:val="32"/>
        </w:rPr>
        <w:t>年</w:t>
      </w:r>
      <w:r>
        <w:rPr>
          <w:rFonts w:ascii="仿宋_GB2312" w:eastAsia="仿宋_GB2312" w:hint="eastAsia"/>
          <w:color w:val="000000"/>
          <w:sz w:val="32"/>
          <w:szCs w:val="32"/>
        </w:rPr>
        <w:t>7</w:t>
      </w:r>
      <w:r>
        <w:rPr>
          <w:rFonts w:ascii="仿宋_GB2312" w:eastAsia="仿宋_GB2312" w:hint="eastAsia"/>
          <w:color w:val="000000"/>
          <w:sz w:val="32"/>
          <w:szCs w:val="32"/>
        </w:rPr>
        <w:t>月</w:t>
      </w:r>
      <w:r>
        <w:rPr>
          <w:rFonts w:ascii="仿宋_GB2312" w:eastAsia="仿宋_GB2312" w:hint="eastAsia"/>
          <w:color w:val="000000"/>
          <w:sz w:val="32"/>
          <w:szCs w:val="32"/>
        </w:rPr>
        <w:t>20</w:t>
      </w:r>
      <w:r>
        <w:rPr>
          <w:rFonts w:ascii="仿宋_GB2312" w:eastAsia="仿宋_GB2312" w:hint="eastAsia"/>
          <w:color w:val="000000"/>
          <w:sz w:val="32"/>
          <w:szCs w:val="32"/>
        </w:rPr>
        <w:t>日</w:t>
      </w:r>
      <w:r>
        <w:rPr>
          <w:rFonts w:ascii="仿宋_GB2312" w:eastAsia="仿宋_GB2312" w:hint="eastAsia"/>
          <w:color w:val="000000"/>
          <w:sz w:val="32"/>
          <w:szCs w:val="32"/>
        </w:rPr>
        <w:t xml:space="preserve"> </w:t>
      </w:r>
    </w:p>
    <w:p w:rsidR="005F05BD" w:rsidRDefault="00D354FA">
      <w:pPr>
        <w:spacing w:line="579" w:lineRule="exact"/>
        <w:ind w:left="629"/>
        <w:jc w:val="left"/>
        <w:rPr>
          <w:rFonts w:ascii="仿宋_GB2312" w:eastAsia="仿宋_GB2312"/>
          <w:color w:val="000000"/>
          <w:sz w:val="32"/>
          <w:szCs w:val="32"/>
        </w:rPr>
      </w:pPr>
      <w:r>
        <w:rPr>
          <w:rFonts w:ascii="仿宋_GB2312" w:eastAsia="仿宋_GB2312" w:hint="eastAsia"/>
          <w:color w:val="000000"/>
          <w:sz w:val="32"/>
          <w:szCs w:val="32"/>
        </w:rPr>
        <w:t xml:space="preserve">      </w:t>
      </w:r>
    </w:p>
    <w:p w:rsidR="005F05BD" w:rsidRDefault="005F05BD">
      <w:pPr>
        <w:widowControl/>
        <w:shd w:val="clear" w:color="auto" w:fill="FFFFFF"/>
        <w:spacing w:line="579" w:lineRule="exact"/>
        <w:jc w:val="left"/>
        <w:rPr>
          <w:rFonts w:ascii="仿宋_GB2312" w:eastAsia="仿宋_GB2312" w:hAnsi="宋体" w:cs="宋体"/>
          <w:kern w:val="0"/>
          <w:sz w:val="32"/>
          <w:szCs w:val="32"/>
        </w:rPr>
      </w:pPr>
    </w:p>
    <w:p w:rsidR="005F05BD" w:rsidRDefault="005F05BD">
      <w:pPr>
        <w:spacing w:line="579" w:lineRule="exact"/>
        <w:jc w:val="left"/>
        <w:rPr>
          <w:rFonts w:ascii="仿宋_GB2312" w:eastAsia="仿宋_GB2312"/>
          <w:color w:val="000000"/>
          <w:sz w:val="32"/>
          <w:szCs w:val="32"/>
        </w:rPr>
      </w:pPr>
    </w:p>
    <w:p w:rsidR="005F05BD" w:rsidRDefault="00D354FA">
      <w:pPr>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泉秀街道</w:t>
      </w:r>
      <w:r>
        <w:rPr>
          <w:rFonts w:ascii="方正小标宋简体" w:eastAsia="方正小标宋简体" w:hAnsi="黑体" w:hint="eastAsia"/>
          <w:sz w:val="44"/>
          <w:szCs w:val="44"/>
        </w:rPr>
        <w:t>2021</w:t>
      </w:r>
      <w:r>
        <w:rPr>
          <w:rFonts w:ascii="方正小标宋简体" w:eastAsia="方正小标宋简体" w:hAnsi="黑体" w:hint="eastAsia"/>
          <w:sz w:val="44"/>
          <w:szCs w:val="44"/>
        </w:rPr>
        <w:t>年加快推进生活垃圾</w:t>
      </w:r>
    </w:p>
    <w:p w:rsidR="005F05BD" w:rsidRDefault="00D354FA">
      <w:pPr>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分类工作方案</w:t>
      </w:r>
    </w:p>
    <w:p w:rsidR="005F05BD" w:rsidRDefault="005F05BD">
      <w:pPr>
        <w:spacing w:line="540" w:lineRule="exact"/>
        <w:ind w:firstLineChars="200" w:firstLine="640"/>
        <w:rPr>
          <w:rFonts w:ascii="仿宋_GB2312" w:eastAsia="仿宋_GB2312"/>
          <w:sz w:val="32"/>
          <w:szCs w:val="32"/>
        </w:rPr>
      </w:pP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为深入贯彻习近平总书记关于生活垃圾分类工作的系列重要批示指示精神，进一步推进我街道生活垃圾分类工作，根据《关于印发泉州市丰泽区关于加快推进生活垃圾分类工作方案的通知精神》（泉丰分类办〔</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号）要求，结合我街道实际，提出如下工作方案：</w:t>
      </w:r>
    </w:p>
    <w:p w:rsidR="005F05BD" w:rsidRDefault="00D354FA">
      <w:pPr>
        <w:spacing w:line="54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在原有生活垃圾分类试点的基础上，实现全街道</w:t>
      </w:r>
      <w:r>
        <w:rPr>
          <w:rFonts w:ascii="仿宋_GB2312" w:eastAsia="仿宋_GB2312" w:hint="eastAsia"/>
          <w:sz w:val="32"/>
          <w:szCs w:val="32"/>
        </w:rPr>
        <w:t>7</w:t>
      </w:r>
      <w:r>
        <w:rPr>
          <w:rFonts w:ascii="仿宋_GB2312" w:eastAsia="仿宋_GB2312" w:hint="eastAsia"/>
          <w:sz w:val="32"/>
          <w:szCs w:val="32"/>
        </w:rPr>
        <w:t>个社区全覆盖生活垃圾推行“四分类”（有害垃圾、易腐垃圾、可回收物、其他垃圾），生活垃圾分类知识进教材、进课堂。</w:t>
      </w:r>
    </w:p>
    <w:p w:rsidR="005F05BD" w:rsidRDefault="00D354FA">
      <w:pPr>
        <w:spacing w:line="540" w:lineRule="exact"/>
        <w:ind w:firstLineChars="200" w:firstLine="640"/>
        <w:rPr>
          <w:rFonts w:ascii="黑体" w:eastAsia="黑体" w:hAnsi="黑体"/>
          <w:sz w:val="32"/>
          <w:szCs w:val="32"/>
        </w:rPr>
      </w:pPr>
      <w:r>
        <w:rPr>
          <w:rFonts w:ascii="黑体" w:eastAsia="黑体" w:hAnsi="黑体" w:hint="eastAsia"/>
          <w:sz w:val="32"/>
          <w:szCs w:val="32"/>
        </w:rPr>
        <w:t>二、工作内容</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街道按照属地原则，在巩固提升已建成试点、扩大生活垃圾分类覆盖范围、加强垃圾分类宣传引导</w:t>
      </w:r>
      <w:r>
        <w:rPr>
          <w:rFonts w:ascii="仿宋_GB2312" w:eastAsia="仿宋_GB2312" w:hint="eastAsia"/>
          <w:sz w:val="32"/>
          <w:szCs w:val="32"/>
        </w:rPr>
        <w:t>等方面入手，组织建立生活垃圾分类投放管理责任人制度，明确生活垃圾分类投放、收集责任，加快推进生活垃圾分类工作。</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（一）引导居民分类投放。</w:t>
      </w:r>
      <w:r>
        <w:rPr>
          <w:rFonts w:ascii="仿宋_GB2312" w:eastAsia="仿宋_GB2312" w:hint="eastAsia"/>
          <w:sz w:val="32"/>
          <w:szCs w:val="32"/>
        </w:rPr>
        <w:t>由街道牵头组织街道、社区干部和志愿者、分类督导员入户分发告知书，普及分类知识，引导居民将家中生活垃圾按分类类别做好源头分类。其中：有害垃圾投放至小区设置的红色有害垃圾桶；可回收物可在家中暂储，一定量后自行售卖，或集中投放到小区设置的蓝色可回收桶；各住户在厨房设置一个易腐垃圾桶，沥干厨余垃圾后投放至社区、小区</w:t>
      </w:r>
      <w:r>
        <w:rPr>
          <w:rFonts w:ascii="仿宋_GB2312" w:eastAsia="仿宋_GB2312" w:hint="eastAsia"/>
          <w:sz w:val="32"/>
          <w:szCs w:val="32"/>
        </w:rPr>
        <w:lastRenderedPageBreak/>
        <w:t>设置的绿色易腐垃圾桶（在全市餐厨垃圾处理厂或预处理站建成前，易腐垃圾</w:t>
      </w:r>
      <w:r>
        <w:rPr>
          <w:rFonts w:ascii="仿宋_GB2312" w:eastAsia="仿宋_GB2312" w:hint="eastAsia"/>
          <w:sz w:val="32"/>
          <w:szCs w:val="32"/>
        </w:rPr>
        <w:t>暂投放至橘黄色其他垃圾桶）；在客厅放置一个其他垃圾桶，日产日清投放至小区设置的橘黄色其他垃圾收集桶。</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（二）规范设置收集容器。</w:t>
      </w:r>
      <w:r>
        <w:rPr>
          <w:rFonts w:ascii="仿宋_GB2312" w:eastAsia="仿宋_GB2312" w:hint="eastAsia"/>
          <w:sz w:val="32"/>
          <w:szCs w:val="32"/>
        </w:rPr>
        <w:t>根据投放需求配置有害垃圾、可回收物、易腐垃圾、其他垃圾四类收集容器，垃圾分类收集容器桶身颜色、标识标志必须做到规范、清晰，颜色正确，外观干净、密闭。分类收集点应设置指示指引牌，做到地面硬化处理、环境整洁。可在小区环保驿站或物业管理处等设置一处有害垃圾收集点，做到专门收集、有人监管；可按每</w:t>
      </w:r>
      <w:r>
        <w:rPr>
          <w:rFonts w:ascii="仿宋_GB2312" w:eastAsia="仿宋_GB2312" w:hint="eastAsia"/>
          <w:sz w:val="32"/>
          <w:szCs w:val="32"/>
        </w:rPr>
        <w:t>300</w:t>
      </w:r>
      <w:r>
        <w:rPr>
          <w:rFonts w:ascii="仿宋_GB2312" w:eastAsia="仿宋_GB2312" w:hint="eastAsia"/>
          <w:sz w:val="32"/>
          <w:szCs w:val="32"/>
        </w:rPr>
        <w:t>户标准设置一处可回收物收集点；设置易腐垃圾和其他垃圾的收集点，服务半径不宜超过楼道口</w:t>
      </w:r>
      <w:r>
        <w:rPr>
          <w:rFonts w:ascii="仿宋_GB2312" w:eastAsia="仿宋_GB2312" w:hint="eastAsia"/>
          <w:sz w:val="32"/>
          <w:szCs w:val="32"/>
        </w:rPr>
        <w:t>70</w:t>
      </w:r>
      <w:r>
        <w:rPr>
          <w:rFonts w:ascii="仿宋_GB2312" w:eastAsia="仿宋_GB2312" w:hint="eastAsia"/>
          <w:sz w:val="32"/>
          <w:szCs w:val="32"/>
        </w:rPr>
        <w:t>米范</w:t>
      </w:r>
      <w:r>
        <w:rPr>
          <w:rFonts w:ascii="仿宋_GB2312" w:eastAsia="仿宋_GB2312" w:hint="eastAsia"/>
          <w:sz w:val="32"/>
          <w:szCs w:val="32"/>
        </w:rPr>
        <w:t>围。根据试点小区实际和居民投放需求，通过“楼道撤桶”、“撤桶并点”等举措，减少优化投放点位，逐步推行定时定点分类投放。</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（三）建立投放督导制度。</w:t>
      </w:r>
      <w:r>
        <w:rPr>
          <w:rFonts w:ascii="仿宋_GB2312" w:eastAsia="仿宋_GB2312" w:hint="eastAsia"/>
          <w:sz w:val="32"/>
          <w:szCs w:val="32"/>
        </w:rPr>
        <w:t>一是社区、小区每</w:t>
      </w:r>
      <w:r>
        <w:rPr>
          <w:rFonts w:ascii="仿宋_GB2312" w:eastAsia="仿宋_GB2312" w:hint="eastAsia"/>
          <w:sz w:val="32"/>
          <w:szCs w:val="32"/>
        </w:rPr>
        <w:t>300</w:t>
      </w:r>
      <w:r>
        <w:rPr>
          <w:rFonts w:ascii="仿宋_GB2312" w:eastAsia="仿宋_GB2312" w:hint="eastAsia"/>
          <w:sz w:val="32"/>
          <w:szCs w:val="32"/>
        </w:rPr>
        <w:t>户配</w:t>
      </w:r>
      <w:r>
        <w:rPr>
          <w:rFonts w:ascii="仿宋_GB2312" w:eastAsia="仿宋_GB2312" w:hint="eastAsia"/>
          <w:sz w:val="32"/>
          <w:szCs w:val="32"/>
        </w:rPr>
        <w:t>1</w:t>
      </w:r>
      <w:r>
        <w:rPr>
          <w:rFonts w:ascii="仿宋_GB2312" w:eastAsia="仿宋_GB2312" w:hint="eastAsia"/>
          <w:sz w:val="32"/>
          <w:szCs w:val="32"/>
        </w:rPr>
        <w:t>名督导员，开展入户宣传，实行桶边督导。重点对不按照分类要求投放垃圾的居民加以劝导和教育，对分类不准确的加以指导。二是建立生活垃圾分类台账制度，记录各类垃圾产生量及去处，以及分类收集、运输和处置各环节的责任主体、作业形式、作业时间等信息，按月汇总收集、存档。</w:t>
      </w:r>
    </w:p>
    <w:p w:rsidR="005F05BD" w:rsidRDefault="00D354FA">
      <w:pPr>
        <w:spacing w:line="540" w:lineRule="exact"/>
        <w:ind w:firstLineChars="200" w:firstLine="640"/>
        <w:rPr>
          <w:rFonts w:ascii="黑体" w:eastAsia="黑体" w:hAnsi="黑体"/>
          <w:sz w:val="32"/>
          <w:szCs w:val="32"/>
        </w:rPr>
      </w:pPr>
      <w:r>
        <w:rPr>
          <w:rFonts w:ascii="黑体" w:eastAsia="黑体" w:hAnsi="黑体" w:hint="eastAsia"/>
          <w:sz w:val="32"/>
          <w:szCs w:val="32"/>
        </w:rPr>
        <w:t>三、设置标准</w:t>
      </w:r>
    </w:p>
    <w:p w:rsidR="005F05BD" w:rsidRDefault="00D354FA">
      <w:pPr>
        <w:spacing w:line="540" w:lineRule="exact"/>
        <w:ind w:firstLineChars="200" w:firstLine="643"/>
        <w:rPr>
          <w:rFonts w:ascii="楷体_GB2312" w:eastAsia="楷体_GB2312"/>
          <w:b/>
          <w:sz w:val="32"/>
          <w:szCs w:val="32"/>
        </w:rPr>
      </w:pPr>
      <w:r>
        <w:rPr>
          <w:rFonts w:ascii="楷体_GB2312" w:eastAsia="楷体_GB2312" w:hint="eastAsia"/>
          <w:b/>
          <w:sz w:val="32"/>
          <w:szCs w:val="32"/>
        </w:rPr>
        <w:t>（一）有害垃圾</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w:t>
      </w:r>
      <w:r>
        <w:rPr>
          <w:rFonts w:ascii="仿宋_GB2312" w:eastAsia="仿宋_GB2312" w:hint="eastAsia"/>
          <w:b/>
          <w:sz w:val="32"/>
          <w:szCs w:val="32"/>
        </w:rPr>
        <w:t>主要品种。</w:t>
      </w:r>
      <w:r>
        <w:rPr>
          <w:rFonts w:ascii="仿宋_GB2312" w:eastAsia="仿宋_GB2312" w:hint="eastAsia"/>
          <w:sz w:val="32"/>
          <w:szCs w:val="32"/>
        </w:rPr>
        <w:t>包括：废电池（镉镍电池、氧化汞电池、铅</w:t>
      </w:r>
      <w:r>
        <w:rPr>
          <w:rFonts w:ascii="仿宋_GB2312" w:eastAsia="仿宋_GB2312" w:hint="eastAsia"/>
          <w:sz w:val="32"/>
          <w:szCs w:val="32"/>
        </w:rPr>
        <w:t>蓄电池等），废荧光灯管（日光灯管、节能灯等），废温度计，废血</w:t>
      </w:r>
      <w:r>
        <w:rPr>
          <w:rFonts w:ascii="仿宋_GB2312" w:eastAsia="仿宋_GB2312" w:hint="eastAsia"/>
          <w:sz w:val="32"/>
          <w:szCs w:val="32"/>
        </w:rPr>
        <w:lastRenderedPageBreak/>
        <w:t>压计，废药品及其包装物，废油漆、溶剂及其包装物，废杀虫剂、消毒剂及其包装物，废胶片及废相纸等。</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int="eastAsia"/>
          <w:b/>
          <w:sz w:val="32"/>
          <w:szCs w:val="32"/>
        </w:rPr>
        <w:t>投放暂存。</w:t>
      </w:r>
      <w:r>
        <w:rPr>
          <w:rFonts w:ascii="仿宋_GB2312" w:eastAsia="仿宋_GB2312" w:hint="eastAsia"/>
          <w:sz w:val="32"/>
          <w:szCs w:val="32"/>
        </w:rPr>
        <w:t>按照便利、快捷、安全原则，设立专门场所或容器，对不同品种的有害垃圾进行分类投放、收集、暂存，并在醒目位置设置有害垃圾标志。按规定建立台账制度。</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收运处置。</w:t>
      </w:r>
      <w:r>
        <w:rPr>
          <w:rFonts w:ascii="仿宋_GB2312" w:eastAsia="仿宋_GB2312" w:hint="eastAsia"/>
          <w:sz w:val="32"/>
          <w:szCs w:val="32"/>
        </w:rPr>
        <w:t>根据有害垃圾的品种和产生数量，合理确定或约定收运频率，定时收运。有害垃圾分类收集后，先送至有害垃圾暂存点（北峰街道招丰社区），待达到一定量，委托相应资质的单位（企业）进行运输至具有危险废物经营处置资质单位（企业）进行处置。</w:t>
      </w:r>
      <w:r>
        <w:rPr>
          <w:rFonts w:ascii="仿宋_GB2312" w:eastAsia="仿宋_GB2312" w:hint="eastAsia"/>
          <w:sz w:val="32"/>
          <w:szCs w:val="32"/>
        </w:rPr>
        <w:t xml:space="preserve"> </w:t>
      </w:r>
    </w:p>
    <w:p w:rsidR="005F05BD" w:rsidRDefault="00D354FA">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（二）易腐垃圾</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w:t>
      </w:r>
      <w:r>
        <w:rPr>
          <w:rFonts w:ascii="仿宋_GB2312" w:eastAsia="仿宋_GB2312" w:hint="eastAsia"/>
          <w:b/>
          <w:sz w:val="32"/>
          <w:szCs w:val="32"/>
        </w:rPr>
        <w:t>主要品种。</w:t>
      </w:r>
      <w:r>
        <w:rPr>
          <w:rFonts w:ascii="仿宋_GB2312" w:eastAsia="仿宋_GB2312" w:hint="eastAsia"/>
          <w:sz w:val="32"/>
          <w:szCs w:val="32"/>
        </w:rPr>
        <w:t>包括：单位食堂、宾馆、饭店、酒楼等产生的餐厨垃圾，农贸市场、农产品批发市场产生的蔬菜瓜果垃圾、腐肉、肉碎骨、蛋壳、畜禽产品内脏，家庭产生的厨余垃圾等。</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int="eastAsia"/>
          <w:b/>
          <w:sz w:val="32"/>
          <w:szCs w:val="32"/>
        </w:rPr>
        <w:t>投放暂存。</w:t>
      </w:r>
      <w:r>
        <w:rPr>
          <w:rFonts w:ascii="仿宋_GB2312" w:eastAsia="仿宋_GB2312" w:hint="eastAsia"/>
          <w:sz w:val="32"/>
          <w:szCs w:val="32"/>
        </w:rPr>
        <w:t>设置专门容器单独投放，除农贸市场、农产品批发市场可设置敞开式容器外，其他场所原则上应采用密</w:t>
      </w:r>
      <w:r>
        <w:rPr>
          <w:rFonts w:ascii="仿宋_GB2312" w:eastAsia="仿宋_GB2312" w:hint="eastAsia"/>
          <w:sz w:val="32"/>
          <w:szCs w:val="32"/>
        </w:rPr>
        <w:t>闭容器存放。易腐垃圾可由专人清理，做到“日产日清”。</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收运处置。</w:t>
      </w:r>
      <w:r>
        <w:rPr>
          <w:rFonts w:ascii="仿宋_GB2312" w:eastAsia="仿宋_GB2312" w:hint="eastAsia"/>
          <w:sz w:val="32"/>
          <w:szCs w:val="32"/>
        </w:rPr>
        <w:t>易腐垃圾应采用密闭专用车辆运送至专业单位处理。在全市餐厨垃圾处理厂或预处理站建成之前，易腐垃圾暂纳入其他垃圾进行管理。</w:t>
      </w:r>
    </w:p>
    <w:p w:rsidR="005F05BD" w:rsidRDefault="00D354FA">
      <w:pPr>
        <w:spacing w:line="540" w:lineRule="exact"/>
        <w:ind w:firstLineChars="200" w:firstLine="643"/>
        <w:rPr>
          <w:rFonts w:ascii="楷体_GB2312" w:eastAsia="楷体_GB2312"/>
          <w:b/>
          <w:sz w:val="32"/>
          <w:szCs w:val="32"/>
        </w:rPr>
      </w:pPr>
      <w:r>
        <w:rPr>
          <w:rFonts w:ascii="楷体_GB2312" w:eastAsia="楷体_GB2312" w:hint="eastAsia"/>
          <w:b/>
          <w:sz w:val="32"/>
          <w:szCs w:val="32"/>
        </w:rPr>
        <w:t>（三）可回收物</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w:t>
      </w:r>
      <w:r>
        <w:rPr>
          <w:rFonts w:ascii="仿宋_GB2312" w:eastAsia="仿宋_GB2312" w:hint="eastAsia"/>
          <w:b/>
          <w:sz w:val="32"/>
          <w:szCs w:val="32"/>
        </w:rPr>
        <w:t>主要品种。</w:t>
      </w:r>
      <w:r>
        <w:rPr>
          <w:rFonts w:ascii="仿宋_GB2312" w:eastAsia="仿宋_GB2312" w:hint="eastAsia"/>
          <w:sz w:val="32"/>
          <w:szCs w:val="32"/>
        </w:rPr>
        <w:t>包括：废纸、废塑料、废金属、废包装物、废旧纺织物、废弃电器电子产品、废玻璃、废纸塑铝复合包装等。</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2</w:t>
      </w:r>
      <w:r>
        <w:rPr>
          <w:rFonts w:ascii="仿宋_GB2312" w:eastAsia="仿宋_GB2312" w:hint="eastAsia"/>
          <w:b/>
          <w:sz w:val="32"/>
          <w:szCs w:val="32"/>
        </w:rPr>
        <w:t>.</w:t>
      </w:r>
      <w:r>
        <w:rPr>
          <w:rFonts w:ascii="仿宋_GB2312" w:eastAsia="仿宋_GB2312" w:hint="eastAsia"/>
          <w:b/>
          <w:sz w:val="32"/>
          <w:szCs w:val="32"/>
        </w:rPr>
        <w:t>投放暂存。</w:t>
      </w:r>
      <w:r>
        <w:rPr>
          <w:rFonts w:ascii="仿宋_GB2312" w:eastAsia="仿宋_GB2312" w:hint="eastAsia"/>
          <w:sz w:val="32"/>
          <w:szCs w:val="32"/>
        </w:rPr>
        <w:t>根据可回收物的产生数量，设置容器或临时存储空间，实现单独分类、定点投放，必要时可设专人分拣打包。按规定建立台账制度。</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收运处置。</w:t>
      </w:r>
      <w:r>
        <w:rPr>
          <w:rFonts w:ascii="仿宋_GB2312" w:eastAsia="仿宋_GB2312" w:hint="eastAsia"/>
          <w:sz w:val="32"/>
          <w:szCs w:val="32"/>
        </w:rPr>
        <w:t>可回收物产生主体可自行运送，也可联系再生资源回收利用企业上门收集，进行资源化处理。</w:t>
      </w:r>
    </w:p>
    <w:p w:rsidR="005F05BD" w:rsidRDefault="00D354FA">
      <w:pPr>
        <w:spacing w:line="540" w:lineRule="exact"/>
        <w:ind w:firstLineChars="200" w:firstLine="643"/>
        <w:rPr>
          <w:rFonts w:ascii="楷体_GB2312" w:eastAsia="楷体_GB2312"/>
          <w:b/>
          <w:sz w:val="32"/>
          <w:szCs w:val="32"/>
        </w:rPr>
      </w:pPr>
      <w:r>
        <w:rPr>
          <w:rFonts w:ascii="楷体_GB2312" w:eastAsia="楷体_GB2312" w:hint="eastAsia"/>
          <w:b/>
          <w:sz w:val="32"/>
          <w:szCs w:val="32"/>
        </w:rPr>
        <w:t>（四）其他垃圾</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w:t>
      </w:r>
      <w:r>
        <w:rPr>
          <w:rFonts w:ascii="仿宋_GB2312" w:eastAsia="仿宋_GB2312" w:hint="eastAsia"/>
          <w:b/>
          <w:sz w:val="32"/>
          <w:szCs w:val="32"/>
        </w:rPr>
        <w:t>主要品种。</w:t>
      </w:r>
      <w:r>
        <w:rPr>
          <w:rFonts w:ascii="仿宋_GB2312" w:eastAsia="仿宋_GB2312" w:hint="eastAsia"/>
          <w:sz w:val="32"/>
          <w:szCs w:val="32"/>
        </w:rPr>
        <w:t>指受污染的餐巾纸、烟头、尘土、一次性餐具和陶瓷碎片等除有害垃圾、易腐垃圾、可回收物之外的生活垃圾。</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int="eastAsia"/>
          <w:b/>
          <w:sz w:val="32"/>
          <w:szCs w:val="32"/>
        </w:rPr>
        <w:t>投放暂存。</w:t>
      </w:r>
      <w:r>
        <w:rPr>
          <w:rFonts w:ascii="仿宋_GB2312" w:eastAsia="仿宋_GB2312" w:hint="eastAsia"/>
          <w:sz w:val="32"/>
          <w:szCs w:val="32"/>
        </w:rPr>
        <w:t>设置闭密容器，实现单独分类、“日产日清”。</w:t>
      </w:r>
    </w:p>
    <w:p w:rsidR="005F05BD" w:rsidRDefault="00D354FA">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收运处置。</w:t>
      </w:r>
      <w:r>
        <w:rPr>
          <w:rFonts w:ascii="仿宋_GB2312" w:eastAsia="仿宋_GB2312" w:hint="eastAsia"/>
          <w:sz w:val="32"/>
          <w:szCs w:val="32"/>
        </w:rPr>
        <w:t>按现行办法处理。</w:t>
      </w:r>
    </w:p>
    <w:p w:rsidR="005F05BD" w:rsidRDefault="00D354FA">
      <w:pPr>
        <w:spacing w:line="540" w:lineRule="exact"/>
        <w:ind w:firstLineChars="200" w:firstLine="640"/>
        <w:rPr>
          <w:rFonts w:ascii="仿宋_GB2312" w:eastAsia="仿宋_GB2312"/>
          <w:sz w:val="32"/>
          <w:szCs w:val="32"/>
        </w:rPr>
      </w:pPr>
      <w:r>
        <w:rPr>
          <w:rFonts w:ascii="黑体" w:eastAsia="黑体" w:hAnsi="黑体" w:hint="eastAsia"/>
          <w:sz w:val="32"/>
          <w:szCs w:val="32"/>
        </w:rPr>
        <w:t>四、保障措施</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（一）加强组织领导。</w:t>
      </w:r>
      <w:r>
        <w:rPr>
          <w:rFonts w:ascii="仿宋_GB2312" w:eastAsia="仿宋_GB2312" w:hint="eastAsia"/>
          <w:sz w:val="32"/>
          <w:szCs w:val="32"/>
        </w:rPr>
        <w:t>坚持“党政同责”的基本原则，街道（社区）两级要进一步强化组织领导，把推行垃圾分类作为推进生态文明建设、精神文明建设的重要举措。落实街道（社区）垃圾分类人员队伍、办公经费保障，</w:t>
      </w:r>
      <w:r>
        <w:rPr>
          <w:rFonts w:ascii="仿宋_GB2312" w:eastAsia="仿宋_GB2312" w:hint="eastAsia"/>
          <w:sz w:val="32"/>
          <w:szCs w:val="32"/>
        </w:rPr>
        <w:t>规范集中办公秩序，确保街道（社区）垃圾分类工作高效有序运转。加强对垃圾分类工作的监督考核，对垃圾分类考评成绩不升反降的社区，街道效能办将定期进行约谈，仍然整改不力的将向街道纪工委提出问责意见，同时纳入年终评先评优的依据之一。调整街道垃圾分类工作领导小组，建立街道生活垃圾分类工作联席会议制度，每季度至少召开一次工作会议，街道分管领导每季度带队检查生活垃圾分类进展情况，研究解决生活垃圾分类推进过程中存在的问题。</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（二）明确部门职责。</w:t>
      </w:r>
      <w:r>
        <w:rPr>
          <w:rFonts w:ascii="仿宋_GB2312" w:eastAsia="仿宋_GB2312" w:hint="eastAsia"/>
          <w:sz w:val="32"/>
          <w:szCs w:val="32"/>
        </w:rPr>
        <w:t>街道各相关部门根据各自职责加强对</w:t>
      </w:r>
      <w:r>
        <w:rPr>
          <w:rFonts w:ascii="仿宋_GB2312" w:eastAsia="仿宋_GB2312" w:hint="eastAsia"/>
          <w:sz w:val="32"/>
          <w:szCs w:val="32"/>
        </w:rPr>
        <w:lastRenderedPageBreak/>
        <w:t>生活垃圾分类工作的指导、督促和检查，共同做好工作</w:t>
      </w:r>
      <w:r>
        <w:rPr>
          <w:rFonts w:ascii="仿宋_GB2312" w:eastAsia="仿宋_GB2312" w:hint="eastAsia"/>
          <w:sz w:val="32"/>
          <w:szCs w:val="32"/>
        </w:rPr>
        <w:t>。</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城管办负责对本辖区内生活垃圾分类工作的组织实施、考核和监督，推进生活垃圾分类设施建设，组织协调解决生活垃圾分类中的重大问题。</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财政所负责生活垃圾分类工作的资金保障，保障垃圾前端分类、中转收运等所需经费，为垃圾分类工作有效开展提供坚实可靠的资金保障，并积极与区级财政部门沟通争取补助资金。</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经济发展办公室负责按照各自职责，督促指导本行业系统做好生活垃圾分类工作。</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宣教办负责指导各类媒体开展生活垃圾分类工作的宣传教育和引导；负责将生活垃圾分类相关知识纳入幼儿园、小学、中学以及其他教育机构教学内容，并按照各自职责，督促指导本行业系统做好生活垃圾分类工作。</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物业站负责督促物业小区开展生活垃圾分类工作，配合城管办指导业主做好垃圾分类投放工作。</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其他相关部门按照各自职责，督促指导本行业系统做好生活垃圾分类工作。</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（三）动员社会参与。</w:t>
      </w:r>
      <w:r>
        <w:rPr>
          <w:rFonts w:ascii="仿宋_GB2312" w:eastAsia="仿宋_GB2312" w:hint="eastAsia"/>
          <w:sz w:val="32"/>
          <w:szCs w:val="32"/>
        </w:rPr>
        <w:t>各社区充分发挥报刊、广播、电视、微视频、网络微信等新媒体的作用，开展多种形式的宣传教育活动，及时报道生活垃圾分类工作实施情况和典型经验，形成良好社</w:t>
      </w:r>
      <w:r>
        <w:rPr>
          <w:rFonts w:ascii="仿宋_GB2312" w:eastAsia="仿宋_GB2312" w:hint="eastAsia"/>
          <w:sz w:val="32"/>
          <w:szCs w:val="32"/>
        </w:rPr>
        <w:t>会氛围。引导公众树立生活垃圾分类人人有责的绿色环保理念，普及生活垃圾分类知识，从身边做起，从点滴做起。党员要发挥先锋模范作用，带头进社区组织垃圾分类工作，共青团、妇</w:t>
      </w:r>
      <w:r>
        <w:rPr>
          <w:rFonts w:ascii="仿宋_GB2312" w:eastAsia="仿宋_GB2312" w:hint="eastAsia"/>
          <w:sz w:val="32"/>
          <w:szCs w:val="32"/>
        </w:rPr>
        <w:lastRenderedPageBreak/>
        <w:t>联要动员团员青年、基层妇女积极参与生活垃圾分类工作，发挥党支部、居委会、老人会等基层力量，引导公众分类投放。组建志愿者和宣讲团队伍，每月至少组织一次志愿和宣讲活动，开展生活垃圾分类专业知识和技能培训。积极引导大学生利用寒暑假返乡之际，参与生活垃圾分类志愿活动。</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（四）强化资金保障。</w:t>
      </w:r>
      <w:r>
        <w:rPr>
          <w:rFonts w:ascii="仿宋_GB2312" w:eastAsia="仿宋_GB2312" w:hint="eastAsia"/>
          <w:sz w:val="32"/>
          <w:szCs w:val="32"/>
        </w:rPr>
        <w:t>将生活垃圾分类经费纳入街道财政预算，加大对生活垃圾分类投放、收集、</w:t>
      </w:r>
      <w:r>
        <w:rPr>
          <w:rFonts w:ascii="仿宋_GB2312" w:eastAsia="仿宋_GB2312" w:hint="eastAsia"/>
          <w:sz w:val="32"/>
          <w:szCs w:val="32"/>
        </w:rPr>
        <w:t>转运、处理的投入。</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（五）培育示范典型。</w:t>
      </w:r>
      <w:r>
        <w:rPr>
          <w:rFonts w:ascii="仿宋_GB2312" w:eastAsia="仿宋_GB2312" w:hint="eastAsia"/>
          <w:sz w:val="32"/>
          <w:szCs w:val="32"/>
        </w:rPr>
        <w:t>街道将着力培育打造</w:t>
      </w:r>
      <w:r>
        <w:rPr>
          <w:rFonts w:ascii="仿宋_GB2312" w:eastAsia="仿宋_GB2312" w:hint="eastAsia"/>
          <w:sz w:val="32"/>
          <w:szCs w:val="32"/>
        </w:rPr>
        <w:t>5</w:t>
      </w:r>
      <w:r>
        <w:rPr>
          <w:rFonts w:ascii="仿宋_GB2312" w:eastAsia="仿宋_GB2312" w:hint="eastAsia"/>
          <w:sz w:val="32"/>
          <w:szCs w:val="32"/>
        </w:rPr>
        <w:t>个示范小区，通过验收，发挥样板、辐射、带动作用。</w:t>
      </w:r>
    </w:p>
    <w:p w:rsidR="005F05BD" w:rsidRDefault="00D354FA">
      <w:pPr>
        <w:spacing w:line="540" w:lineRule="exact"/>
        <w:ind w:firstLineChars="200" w:firstLine="643"/>
        <w:rPr>
          <w:rFonts w:ascii="仿宋_GB2312" w:eastAsia="仿宋_GB2312"/>
          <w:sz w:val="32"/>
          <w:szCs w:val="32"/>
        </w:rPr>
      </w:pPr>
      <w:r>
        <w:rPr>
          <w:rFonts w:ascii="楷体_GB2312" w:eastAsia="楷体_GB2312" w:hint="eastAsia"/>
          <w:b/>
          <w:sz w:val="32"/>
          <w:szCs w:val="32"/>
        </w:rPr>
        <w:t>（六）建立督导考核机制。</w:t>
      </w:r>
      <w:r>
        <w:rPr>
          <w:rFonts w:ascii="仿宋_GB2312" w:eastAsia="仿宋_GB2312" w:hint="eastAsia"/>
          <w:sz w:val="32"/>
          <w:szCs w:val="32"/>
        </w:rPr>
        <w:t>建立“街道</w:t>
      </w:r>
      <w:r>
        <w:rPr>
          <w:rFonts w:ascii="仿宋_GB2312" w:eastAsia="仿宋_GB2312" w:hint="eastAsia"/>
          <w:sz w:val="32"/>
          <w:szCs w:val="32"/>
        </w:rPr>
        <w:t>-</w:t>
      </w:r>
      <w:r>
        <w:rPr>
          <w:rFonts w:ascii="仿宋_GB2312" w:eastAsia="仿宋_GB2312" w:hint="eastAsia"/>
          <w:sz w:val="32"/>
          <w:szCs w:val="32"/>
        </w:rPr>
        <w:t>社区</w:t>
      </w:r>
      <w:r>
        <w:rPr>
          <w:rFonts w:ascii="仿宋_GB2312" w:eastAsia="仿宋_GB2312" w:hint="eastAsia"/>
          <w:sz w:val="32"/>
          <w:szCs w:val="32"/>
        </w:rPr>
        <w:t>-</w:t>
      </w:r>
      <w:r>
        <w:rPr>
          <w:rFonts w:ascii="仿宋_GB2312" w:eastAsia="仿宋_GB2312" w:hint="eastAsia"/>
          <w:sz w:val="32"/>
          <w:szCs w:val="32"/>
        </w:rPr>
        <w:t>居民”的常态化监督约束机制，加强督促考评，并实行通报制度。生活垃圾分类完成情况纳入各社区绩效考核内容。街道每月开展生活垃圾分类暗访考评，针对不同类型试点对象实行差别化分类考核，实行月通报制度。</w:t>
      </w:r>
    </w:p>
    <w:p w:rsidR="005F05BD" w:rsidRDefault="005F05BD">
      <w:pPr>
        <w:spacing w:line="540" w:lineRule="exact"/>
        <w:ind w:firstLineChars="200" w:firstLine="640"/>
        <w:rPr>
          <w:rFonts w:ascii="仿宋_GB2312" w:eastAsia="仿宋_GB2312"/>
          <w:sz w:val="32"/>
          <w:szCs w:val="32"/>
        </w:rPr>
      </w:pPr>
    </w:p>
    <w:p w:rsidR="005F05BD" w:rsidRDefault="005F05BD">
      <w:pPr>
        <w:spacing w:line="540" w:lineRule="exact"/>
        <w:ind w:firstLineChars="200" w:firstLine="640"/>
        <w:rPr>
          <w:rFonts w:ascii="仿宋_GB2312" w:eastAsia="仿宋_GB2312"/>
          <w:sz w:val="32"/>
          <w:szCs w:val="32"/>
        </w:rPr>
      </w:pP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泉州市生活垃圾分类工作指南</w:t>
      </w:r>
    </w:p>
    <w:p w:rsidR="005F05BD" w:rsidRDefault="00D354FA">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pacing w:val="4"/>
          <w:sz w:val="32"/>
          <w:szCs w:val="32"/>
        </w:rPr>
        <w:t xml:space="preserve">    </w:t>
      </w:r>
      <w:r>
        <w:rPr>
          <w:rFonts w:ascii="仿宋_GB2312" w:eastAsia="仿宋_GB2312" w:hint="eastAsia"/>
          <w:sz w:val="32"/>
          <w:szCs w:val="32"/>
        </w:rPr>
        <w:t xml:space="preserve"> 2.</w:t>
      </w:r>
      <w:r>
        <w:rPr>
          <w:rFonts w:ascii="仿宋_GB2312" w:eastAsia="仿宋_GB2312" w:hint="eastAsia"/>
          <w:sz w:val="32"/>
          <w:szCs w:val="32"/>
        </w:rPr>
        <w:t>泉州市生活垃圾分类投放指南</w:t>
      </w:r>
    </w:p>
    <w:p w:rsidR="005F05BD" w:rsidRDefault="00D354FA">
      <w:pPr>
        <w:spacing w:line="540" w:lineRule="exact"/>
        <w:ind w:firstLineChars="200" w:firstLine="640"/>
        <w:rPr>
          <w:rFonts w:ascii="仿宋_GB2312" w:eastAsia="仿宋_GB2312"/>
          <w:spacing w:val="-10"/>
          <w:sz w:val="32"/>
          <w:szCs w:val="32"/>
        </w:rPr>
      </w:pPr>
      <w:r>
        <w:rPr>
          <w:rFonts w:ascii="仿宋_GB2312" w:eastAsia="仿宋_GB2312" w:hint="eastAsia"/>
          <w:sz w:val="32"/>
          <w:szCs w:val="32"/>
        </w:rPr>
        <w:t xml:space="preserve">      3.</w:t>
      </w:r>
      <w:r>
        <w:rPr>
          <w:rFonts w:ascii="仿宋_GB2312" w:eastAsia="仿宋_GB2312" w:hint="eastAsia"/>
          <w:spacing w:val="-10"/>
          <w:sz w:val="32"/>
          <w:szCs w:val="32"/>
        </w:rPr>
        <w:t>泉州市生活垃圾分类居住小区考评标准（“五到位”版）</w:t>
      </w:r>
    </w:p>
    <w:p w:rsidR="005F05BD" w:rsidRDefault="005F05BD">
      <w:pPr>
        <w:spacing w:line="540" w:lineRule="exact"/>
        <w:ind w:firstLineChars="200" w:firstLine="640"/>
        <w:rPr>
          <w:rFonts w:ascii="仿宋_GB2312" w:eastAsia="仿宋_GB2312" w:hAnsi="黑体"/>
          <w:sz w:val="32"/>
          <w:szCs w:val="32"/>
        </w:rPr>
      </w:pPr>
    </w:p>
    <w:p w:rsidR="005F05BD" w:rsidRDefault="005F05BD">
      <w:pPr>
        <w:spacing w:line="579" w:lineRule="exact"/>
        <w:ind w:firstLineChars="200" w:firstLine="640"/>
        <w:rPr>
          <w:rFonts w:ascii="仿宋_GB2312" w:eastAsia="仿宋_GB2312" w:hAnsi="黑体"/>
          <w:sz w:val="32"/>
          <w:szCs w:val="32"/>
        </w:rPr>
      </w:pPr>
    </w:p>
    <w:p w:rsidR="005F05BD" w:rsidRDefault="005F05BD">
      <w:pPr>
        <w:spacing w:line="579" w:lineRule="exact"/>
        <w:ind w:firstLineChars="200" w:firstLine="640"/>
        <w:rPr>
          <w:rFonts w:ascii="仿宋_GB2312" w:eastAsia="仿宋_GB2312" w:hAnsi="黑体"/>
          <w:sz w:val="32"/>
          <w:szCs w:val="32"/>
        </w:rPr>
      </w:pPr>
    </w:p>
    <w:p w:rsidR="005F05BD" w:rsidRDefault="005F05BD">
      <w:pPr>
        <w:spacing w:line="579" w:lineRule="exact"/>
        <w:ind w:firstLineChars="200" w:firstLine="640"/>
        <w:rPr>
          <w:rFonts w:ascii="仿宋_GB2312" w:eastAsia="仿宋_GB2312" w:hAnsi="黑体"/>
          <w:sz w:val="32"/>
          <w:szCs w:val="32"/>
        </w:rPr>
      </w:pPr>
    </w:p>
    <w:p w:rsidR="005F05BD" w:rsidRDefault="00D354FA">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5F05BD" w:rsidRDefault="00D354FA">
      <w:pPr>
        <w:spacing w:line="579" w:lineRule="exact"/>
        <w:jc w:val="center"/>
        <w:rPr>
          <w:rFonts w:ascii="方正小标宋简体" w:eastAsia="方正小标宋简体"/>
          <w:sz w:val="36"/>
          <w:szCs w:val="36"/>
        </w:rPr>
      </w:pPr>
      <w:r>
        <w:rPr>
          <w:rFonts w:ascii="方正小标宋简体" w:eastAsia="方正小标宋简体" w:hint="eastAsia"/>
          <w:sz w:val="36"/>
          <w:szCs w:val="36"/>
        </w:rPr>
        <w:t>泉州市生活垃圾分类工作指南</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883"/>
      </w:tblGrid>
      <w:tr w:rsidR="005F05BD">
        <w:trPr>
          <w:trHeight w:val="1021"/>
          <w:jc w:val="center"/>
        </w:trPr>
        <w:tc>
          <w:tcPr>
            <w:tcW w:w="720" w:type="dxa"/>
            <w:vAlign w:val="center"/>
          </w:tcPr>
          <w:p w:rsidR="005F05BD" w:rsidRDefault="00D354FA">
            <w:pPr>
              <w:spacing w:line="280" w:lineRule="exact"/>
              <w:ind w:leftChars="-52" w:left="-107" w:rightChars="-51" w:right="-107" w:hangingChars="1" w:hanging="2"/>
              <w:jc w:val="center"/>
              <w:rPr>
                <w:rFonts w:ascii="仿宋_GB2312"/>
                <w:b/>
              </w:rPr>
            </w:pPr>
            <w:bookmarkStart w:id="0" w:name="_GoBack"/>
            <w:bookmarkEnd w:id="0"/>
            <w:r>
              <w:rPr>
                <w:rFonts w:ascii="仿宋_GB2312" w:hint="eastAsia"/>
                <w:b/>
              </w:rPr>
              <w:t>宣传</w:t>
            </w:r>
          </w:p>
          <w:p w:rsidR="005F05BD" w:rsidRDefault="00D354FA">
            <w:pPr>
              <w:spacing w:line="280" w:lineRule="exact"/>
              <w:ind w:leftChars="-52" w:left="-107" w:rightChars="-51" w:right="-107" w:hangingChars="1" w:hanging="2"/>
              <w:jc w:val="center"/>
              <w:rPr>
                <w:rFonts w:ascii="仿宋_GB2312"/>
                <w:b/>
              </w:rPr>
            </w:pPr>
            <w:r>
              <w:rPr>
                <w:rFonts w:ascii="仿宋_GB2312" w:hint="eastAsia"/>
                <w:b/>
              </w:rPr>
              <w:t>发动</w:t>
            </w:r>
          </w:p>
        </w:tc>
        <w:tc>
          <w:tcPr>
            <w:tcW w:w="8883" w:type="dxa"/>
          </w:tcPr>
          <w:p w:rsidR="005F05BD" w:rsidRDefault="00D354FA">
            <w:pPr>
              <w:spacing w:line="280" w:lineRule="exact"/>
              <w:rPr>
                <w:rFonts w:ascii="仿宋_GB2312"/>
              </w:rPr>
            </w:pPr>
            <w:r>
              <w:rPr>
                <w:rFonts w:ascii="仿宋_GB2312" w:hint="eastAsia"/>
              </w:rPr>
              <w:t>1.</w:t>
            </w:r>
            <w:r>
              <w:rPr>
                <w:rFonts w:ascii="仿宋_GB2312" w:hint="eastAsia"/>
              </w:rPr>
              <w:t>在开展生活垃圾分类区域范围内主要活动场所、大堂、电梯间、出入口等区域张贴生活垃圾分类宣传知识（有电子屏应滚动播放）；设立生活垃圾分类宣传栏，内容包括：生活垃圾分类工作目标、相关政策、管理制度、分类资讯、不分类行为公示等。</w:t>
            </w:r>
          </w:p>
          <w:p w:rsidR="005F05BD" w:rsidRDefault="00D354FA">
            <w:pPr>
              <w:spacing w:line="280" w:lineRule="exact"/>
              <w:rPr>
                <w:rFonts w:ascii="仿宋_GB2312"/>
              </w:rPr>
            </w:pPr>
            <w:r>
              <w:rPr>
                <w:rFonts w:ascii="仿宋_GB2312" w:hint="eastAsia"/>
              </w:rPr>
              <w:t>2.</w:t>
            </w:r>
            <w:r>
              <w:rPr>
                <w:rFonts w:ascii="仿宋_GB2312" w:hint="eastAsia"/>
              </w:rPr>
              <w:t>通过入户宣传、趣味活动等方式引导居民参与生活垃圾分类。生活垃圾分类知识读本进校园、进课堂，通过“小手拉大手”开展家校联合活动，达到“教育一个孩子，影响一个家庭”，有效促进居民参与生活垃圾分类工作。</w:t>
            </w:r>
          </w:p>
          <w:p w:rsidR="005F05BD" w:rsidRDefault="00D354FA">
            <w:pPr>
              <w:spacing w:line="280" w:lineRule="exact"/>
              <w:rPr>
                <w:rFonts w:ascii="仿宋_GB2312"/>
              </w:rPr>
            </w:pPr>
            <w:r>
              <w:rPr>
                <w:rFonts w:ascii="仿宋_GB2312" w:hint="eastAsia"/>
              </w:rPr>
              <w:t>3.</w:t>
            </w:r>
            <w:r>
              <w:rPr>
                <w:rFonts w:ascii="仿宋_GB2312" w:hint="eastAsia"/>
              </w:rPr>
              <w:t>加强物业和保洁等管理人员培训，熟识分类标准、操作规范、收运规范等要求。</w:t>
            </w:r>
          </w:p>
        </w:tc>
      </w:tr>
      <w:tr w:rsidR="005F05BD">
        <w:trPr>
          <w:trHeight w:val="1513"/>
          <w:jc w:val="center"/>
        </w:trPr>
        <w:tc>
          <w:tcPr>
            <w:tcW w:w="720" w:type="dxa"/>
            <w:vAlign w:val="center"/>
          </w:tcPr>
          <w:p w:rsidR="005F05BD" w:rsidRDefault="00D354FA">
            <w:pPr>
              <w:spacing w:line="280" w:lineRule="exact"/>
              <w:jc w:val="center"/>
              <w:rPr>
                <w:rFonts w:ascii="仿宋_GB2312"/>
                <w:b/>
              </w:rPr>
            </w:pPr>
            <w:r>
              <w:rPr>
                <w:rFonts w:ascii="仿宋_GB2312" w:hint="eastAsia"/>
                <w:b/>
              </w:rPr>
              <w:t>硬件设施</w:t>
            </w:r>
          </w:p>
        </w:tc>
        <w:tc>
          <w:tcPr>
            <w:tcW w:w="8883" w:type="dxa"/>
          </w:tcPr>
          <w:p w:rsidR="005F05BD" w:rsidRDefault="00D354FA">
            <w:pPr>
              <w:spacing w:line="280" w:lineRule="exact"/>
              <w:rPr>
                <w:rFonts w:ascii="仿宋_GB2312"/>
              </w:rPr>
            </w:pPr>
            <w:r>
              <w:rPr>
                <w:rFonts w:ascii="仿宋_GB2312" w:hint="eastAsia"/>
              </w:rPr>
              <w:t>1.</w:t>
            </w:r>
            <w:r>
              <w:rPr>
                <w:rFonts w:ascii="仿宋_GB2312" w:hint="eastAsia"/>
              </w:rPr>
              <w:t>设置有害垃圾、可回收物、易腐垃圾和其他垃圾分类收集点，收集点地面硬化处理、环境整洁。原则上在小区环保驿站、物业处等有人监管的地方设置一处有害垃圾收集点；按每</w:t>
            </w:r>
            <w:r>
              <w:rPr>
                <w:rFonts w:ascii="仿宋_GB2312" w:hint="eastAsia"/>
              </w:rPr>
              <w:t>300</w:t>
            </w:r>
            <w:r>
              <w:rPr>
                <w:rFonts w:ascii="仿宋_GB2312" w:hint="eastAsia"/>
              </w:rPr>
              <w:t>户设置一处可回收物收集点；设置易腐垃圾和其他垃圾收集点，服务半径不宜超过楼道口</w:t>
            </w:r>
            <w:r>
              <w:rPr>
                <w:rFonts w:ascii="仿宋_GB2312" w:hint="eastAsia"/>
              </w:rPr>
              <w:t>70</w:t>
            </w:r>
            <w:r>
              <w:rPr>
                <w:rFonts w:ascii="仿宋_GB2312" w:hint="eastAsia"/>
              </w:rPr>
              <w:t>米范围，因地制宜，可适当调整，鼓励楼道内不摆放垃圾桶，实行楼道撤桶、撤桶并点等方式减少优化投放点位，便于结合督导员定点督导。</w:t>
            </w:r>
          </w:p>
          <w:p w:rsidR="005F05BD" w:rsidRDefault="00D354FA">
            <w:pPr>
              <w:spacing w:line="280" w:lineRule="exact"/>
              <w:rPr>
                <w:rFonts w:ascii="仿宋_GB2312"/>
              </w:rPr>
            </w:pPr>
            <w:r>
              <w:rPr>
                <w:rFonts w:ascii="仿宋_GB2312" w:hint="eastAsia"/>
              </w:rPr>
              <w:t>2.</w:t>
            </w:r>
            <w:r>
              <w:rPr>
                <w:rFonts w:ascii="仿宋_GB2312" w:hint="eastAsia"/>
              </w:rPr>
              <w:t>根据收集范围内居民产生的各类垃圾数量及环卫收集频次，在收集点上合理配置分类收集容器的数量，分类收集容器的桶身颜色和分类标识必须符合《泉州市垃圾分类投放指南》，不得出现满溢、脏污、残缺、破损等情况。</w:t>
            </w:r>
          </w:p>
          <w:p w:rsidR="005F05BD" w:rsidRDefault="00D354FA">
            <w:pPr>
              <w:spacing w:line="280" w:lineRule="exact"/>
              <w:rPr>
                <w:rFonts w:ascii="仿宋_GB2312"/>
              </w:rPr>
            </w:pPr>
            <w:r>
              <w:rPr>
                <w:rFonts w:ascii="仿宋_GB2312" w:hint="eastAsia"/>
              </w:rPr>
              <w:t>3.</w:t>
            </w:r>
            <w:r>
              <w:rPr>
                <w:rFonts w:ascii="仿宋_GB2312" w:hint="eastAsia"/>
              </w:rPr>
              <w:t>在各收集点设置指引牌，内容包括：分类标准指南、设施点位分布图、收运作业相关信息、督导员信息、督导时间段、监督电话等。</w:t>
            </w:r>
          </w:p>
        </w:tc>
      </w:tr>
      <w:tr w:rsidR="005F05BD">
        <w:trPr>
          <w:trHeight w:val="1407"/>
          <w:jc w:val="center"/>
        </w:trPr>
        <w:tc>
          <w:tcPr>
            <w:tcW w:w="720" w:type="dxa"/>
            <w:vAlign w:val="center"/>
          </w:tcPr>
          <w:p w:rsidR="005F05BD" w:rsidRDefault="00D354FA">
            <w:pPr>
              <w:spacing w:line="280" w:lineRule="exact"/>
              <w:jc w:val="center"/>
              <w:rPr>
                <w:rFonts w:ascii="仿宋_GB2312"/>
                <w:b/>
              </w:rPr>
            </w:pPr>
            <w:r>
              <w:rPr>
                <w:rFonts w:ascii="仿宋_GB2312" w:hint="eastAsia"/>
                <w:b/>
              </w:rPr>
              <w:t>人员配备</w:t>
            </w:r>
          </w:p>
        </w:tc>
        <w:tc>
          <w:tcPr>
            <w:tcW w:w="8883" w:type="dxa"/>
          </w:tcPr>
          <w:p w:rsidR="005F05BD" w:rsidRDefault="00D354FA">
            <w:pPr>
              <w:spacing w:line="280" w:lineRule="exact"/>
              <w:rPr>
                <w:rFonts w:ascii="仿宋_GB2312"/>
              </w:rPr>
            </w:pPr>
            <w:r>
              <w:rPr>
                <w:rFonts w:ascii="仿宋_GB2312" w:hint="eastAsia"/>
              </w:rPr>
              <w:t>1.</w:t>
            </w:r>
            <w:r>
              <w:rPr>
                <w:rFonts w:ascii="仿宋_GB2312" w:hint="eastAsia"/>
              </w:rPr>
              <w:t>生活垃圾分类专管员。每个社区配备</w:t>
            </w:r>
            <w:r>
              <w:rPr>
                <w:rFonts w:ascii="仿宋_GB2312" w:hint="eastAsia"/>
              </w:rPr>
              <w:t>1</w:t>
            </w:r>
            <w:r>
              <w:rPr>
                <w:rFonts w:ascii="仿宋_GB2312" w:hint="eastAsia"/>
              </w:rPr>
              <w:t>名生活垃圾分类专管员，由社区“两委”兼任。生活垃圾分类试点多、任务重的社区应根据实际需要增加专职人员。负责社区生活垃圾分类的日常管理工作，</w:t>
            </w:r>
            <w:r>
              <w:rPr>
                <w:rFonts w:ascii="仿宋_GB2312" w:hint="eastAsia"/>
              </w:rPr>
              <w:t>包括沟通协调、督导员队伍管理、志愿者组织保障和活动策划组织等。</w:t>
            </w:r>
          </w:p>
          <w:p w:rsidR="005F05BD" w:rsidRDefault="00D354FA">
            <w:pPr>
              <w:spacing w:line="280" w:lineRule="exact"/>
              <w:rPr>
                <w:rFonts w:ascii="仿宋_GB2312"/>
              </w:rPr>
            </w:pPr>
            <w:r>
              <w:rPr>
                <w:rFonts w:ascii="仿宋_GB2312" w:hint="eastAsia"/>
              </w:rPr>
              <w:t>2.</w:t>
            </w:r>
            <w:r>
              <w:rPr>
                <w:rFonts w:ascii="仿宋_GB2312" w:hint="eastAsia"/>
              </w:rPr>
              <w:t>生活垃圾分类督导员。原则上按每</w:t>
            </w:r>
            <w:r>
              <w:rPr>
                <w:rFonts w:ascii="仿宋_GB2312" w:hint="eastAsia"/>
              </w:rPr>
              <w:t>300</w:t>
            </w:r>
            <w:r>
              <w:rPr>
                <w:rFonts w:ascii="仿宋_GB2312" w:hint="eastAsia"/>
              </w:rPr>
              <w:t>户至少配备</w:t>
            </w:r>
            <w:r>
              <w:rPr>
                <w:rFonts w:ascii="仿宋_GB2312" w:hint="eastAsia"/>
              </w:rPr>
              <w:t>1</w:t>
            </w:r>
            <w:r>
              <w:rPr>
                <w:rFonts w:ascii="仿宋_GB2312" w:hint="eastAsia"/>
              </w:rPr>
              <w:t>名生活垃圾分类督导员，入职前必须进行生活分类知识、岗位制度和日常管理等专职培训。督导员统一配备红袖标和背心服，配发相应的手套、口罩、夹子等劳保用品。每天定时定点桶边督导时间不少于</w:t>
            </w:r>
            <w:r>
              <w:rPr>
                <w:rFonts w:ascii="仿宋_GB2312" w:hint="eastAsia"/>
              </w:rPr>
              <w:t>4</w:t>
            </w:r>
            <w:r>
              <w:rPr>
                <w:rFonts w:ascii="仿宋_GB2312" w:hint="eastAsia"/>
              </w:rPr>
              <w:t>小时。负责辖区居民源头减量和生活垃圾分类的入户宣传、桶边开袋检查、督促分类、跟踪反馈、现场取证等工作，针对小区垃圾落地或无分类的居民，适时增加</w:t>
            </w:r>
            <w:r>
              <w:rPr>
                <w:rFonts w:ascii="仿宋_GB2312" w:hint="eastAsia"/>
              </w:rPr>
              <w:t>1</w:t>
            </w:r>
            <w:r>
              <w:rPr>
                <w:rFonts w:ascii="仿宋_GB2312" w:hint="eastAsia"/>
              </w:rPr>
              <w:t>小时入户宣导、指导。</w:t>
            </w:r>
          </w:p>
          <w:p w:rsidR="005F05BD" w:rsidRDefault="00D354FA">
            <w:pPr>
              <w:spacing w:line="280" w:lineRule="exact"/>
              <w:rPr>
                <w:rFonts w:ascii="仿宋_GB2312"/>
              </w:rPr>
            </w:pPr>
            <w:r>
              <w:rPr>
                <w:rFonts w:ascii="仿宋_GB2312" w:hint="eastAsia"/>
              </w:rPr>
              <w:t>3.</w:t>
            </w:r>
            <w:r>
              <w:rPr>
                <w:rFonts w:ascii="仿宋_GB2312" w:hint="eastAsia"/>
              </w:rPr>
              <w:t>生活垃圾分类志愿人员。优先从社区内热心生活垃圾</w:t>
            </w:r>
            <w:r>
              <w:rPr>
                <w:rFonts w:ascii="仿宋_GB2312" w:hint="eastAsia"/>
              </w:rPr>
              <w:t>分</w:t>
            </w:r>
            <w:r>
              <w:rPr>
                <w:rFonts w:ascii="仿宋_GB2312" w:hint="eastAsia"/>
                <w:spacing w:val="-4"/>
              </w:rPr>
              <w:t>类公益事业的楼道长、党员、离退休干部、义工、居民代表中招募志愿人员。负责组织开展以推进社区生活垃圾分类为主要内容的志愿服务活动，包括宣传、培训、倡导、动员，协助社区居民开展源头减量和生活垃圾正确分类投放等。</w:t>
            </w:r>
          </w:p>
        </w:tc>
      </w:tr>
      <w:tr w:rsidR="005F05BD">
        <w:trPr>
          <w:trHeight w:val="302"/>
          <w:jc w:val="center"/>
        </w:trPr>
        <w:tc>
          <w:tcPr>
            <w:tcW w:w="720" w:type="dxa"/>
            <w:vAlign w:val="center"/>
          </w:tcPr>
          <w:p w:rsidR="005F05BD" w:rsidRDefault="00D354FA">
            <w:pPr>
              <w:spacing w:line="280" w:lineRule="exact"/>
              <w:jc w:val="center"/>
              <w:rPr>
                <w:rFonts w:ascii="仿宋_GB2312"/>
                <w:b/>
              </w:rPr>
            </w:pPr>
            <w:r>
              <w:rPr>
                <w:rFonts w:ascii="仿宋_GB2312" w:hint="eastAsia"/>
                <w:b/>
              </w:rPr>
              <w:t>投放引导</w:t>
            </w:r>
          </w:p>
        </w:tc>
        <w:tc>
          <w:tcPr>
            <w:tcW w:w="8883" w:type="dxa"/>
          </w:tcPr>
          <w:p w:rsidR="005F05BD" w:rsidRDefault="00D354FA">
            <w:pPr>
              <w:spacing w:line="280" w:lineRule="exact"/>
              <w:rPr>
                <w:rFonts w:ascii="仿宋_GB2312"/>
              </w:rPr>
            </w:pPr>
            <w:r>
              <w:rPr>
                <w:rFonts w:ascii="仿宋_GB2312" w:hint="eastAsia"/>
              </w:rPr>
              <w:t>居民将生活垃圾按小区分类类别进行源头分类，具体分类投放方式如下：</w:t>
            </w:r>
          </w:p>
          <w:p w:rsidR="005F05BD" w:rsidRDefault="00D354FA">
            <w:pPr>
              <w:spacing w:line="280" w:lineRule="exact"/>
              <w:rPr>
                <w:rFonts w:ascii="仿宋_GB2312"/>
              </w:rPr>
            </w:pPr>
            <w:r>
              <w:rPr>
                <w:rFonts w:ascii="仿宋_GB2312" w:hint="eastAsia"/>
              </w:rPr>
              <w:t xml:space="preserve">    </w:t>
            </w:r>
            <w:r>
              <w:rPr>
                <w:rFonts w:ascii="仿宋_GB2312" w:hint="eastAsia"/>
              </w:rPr>
              <w:t>有害垃圾：</w:t>
            </w:r>
          </w:p>
          <w:p w:rsidR="005F05BD" w:rsidRDefault="00D354FA">
            <w:pPr>
              <w:spacing w:line="280" w:lineRule="exact"/>
              <w:rPr>
                <w:rFonts w:ascii="仿宋_GB2312"/>
              </w:rPr>
            </w:pPr>
            <w:r>
              <w:rPr>
                <w:rFonts w:ascii="仿宋_GB2312" w:hint="eastAsia"/>
              </w:rPr>
              <w:t xml:space="preserve">    1.</w:t>
            </w:r>
            <w:r>
              <w:rPr>
                <w:rFonts w:ascii="仿宋_GB2312" w:hint="eastAsia"/>
              </w:rPr>
              <w:t>定时定点投放；</w:t>
            </w:r>
          </w:p>
          <w:p w:rsidR="005F05BD" w:rsidRDefault="00D354FA">
            <w:pPr>
              <w:spacing w:line="280" w:lineRule="exact"/>
              <w:rPr>
                <w:rFonts w:ascii="仿宋_GB2312"/>
              </w:rPr>
            </w:pPr>
            <w:r>
              <w:rPr>
                <w:rFonts w:ascii="仿宋_GB2312" w:hint="eastAsia"/>
              </w:rPr>
              <w:t xml:space="preserve">    2.</w:t>
            </w:r>
            <w:r>
              <w:rPr>
                <w:rFonts w:ascii="仿宋_GB2312" w:hint="eastAsia"/>
              </w:rPr>
              <w:t>投放至有害垃圾收集容器（红桶）；</w:t>
            </w:r>
          </w:p>
          <w:p w:rsidR="005F05BD" w:rsidRDefault="00D354FA">
            <w:pPr>
              <w:spacing w:line="280" w:lineRule="exact"/>
              <w:rPr>
                <w:rFonts w:ascii="仿宋_GB2312"/>
              </w:rPr>
            </w:pPr>
            <w:r>
              <w:rPr>
                <w:rFonts w:ascii="仿宋_GB2312" w:hint="eastAsia"/>
              </w:rPr>
              <w:t xml:space="preserve">    3.</w:t>
            </w:r>
            <w:r>
              <w:rPr>
                <w:rFonts w:ascii="仿宋_GB2312" w:hint="eastAsia"/>
              </w:rPr>
              <w:t>预约上门收集。</w:t>
            </w:r>
          </w:p>
          <w:p w:rsidR="005F05BD" w:rsidRDefault="00D354FA">
            <w:pPr>
              <w:spacing w:line="280" w:lineRule="exact"/>
              <w:rPr>
                <w:rFonts w:ascii="仿宋_GB2312"/>
              </w:rPr>
            </w:pPr>
            <w:r>
              <w:rPr>
                <w:rFonts w:ascii="仿宋_GB2312" w:hint="eastAsia"/>
              </w:rPr>
              <w:t xml:space="preserve">    </w:t>
            </w:r>
            <w:r>
              <w:rPr>
                <w:rFonts w:ascii="仿宋_GB2312" w:hint="eastAsia"/>
              </w:rPr>
              <w:t>可回收物：</w:t>
            </w:r>
          </w:p>
          <w:p w:rsidR="005F05BD" w:rsidRDefault="00D354FA">
            <w:pPr>
              <w:spacing w:line="280" w:lineRule="exact"/>
              <w:rPr>
                <w:rFonts w:ascii="仿宋_GB2312"/>
              </w:rPr>
            </w:pPr>
            <w:r>
              <w:rPr>
                <w:rFonts w:ascii="仿宋_GB2312" w:hint="eastAsia"/>
              </w:rPr>
              <w:t xml:space="preserve">    1.</w:t>
            </w:r>
            <w:r>
              <w:rPr>
                <w:rFonts w:ascii="仿宋_GB2312" w:hint="eastAsia"/>
              </w:rPr>
              <w:t>资源回收日投放；</w:t>
            </w:r>
          </w:p>
          <w:p w:rsidR="005F05BD" w:rsidRDefault="00D354FA">
            <w:pPr>
              <w:spacing w:line="280" w:lineRule="exact"/>
              <w:rPr>
                <w:rFonts w:ascii="仿宋_GB2312"/>
              </w:rPr>
            </w:pPr>
            <w:r>
              <w:rPr>
                <w:rFonts w:ascii="仿宋_GB2312" w:hint="eastAsia"/>
              </w:rPr>
              <w:t xml:space="preserve">    2.</w:t>
            </w:r>
            <w:r>
              <w:rPr>
                <w:rFonts w:ascii="仿宋_GB2312" w:hint="eastAsia"/>
              </w:rPr>
              <w:t>投放至可回收物收集容器（蓝桶）或智能回收设备；</w:t>
            </w:r>
          </w:p>
          <w:p w:rsidR="005F05BD" w:rsidRDefault="00D354FA">
            <w:pPr>
              <w:spacing w:line="280" w:lineRule="exact"/>
              <w:rPr>
                <w:rFonts w:ascii="仿宋_GB2312"/>
              </w:rPr>
            </w:pPr>
            <w:r>
              <w:rPr>
                <w:rFonts w:ascii="仿宋_GB2312" w:hint="eastAsia"/>
              </w:rPr>
              <w:t xml:space="preserve">    3.</w:t>
            </w:r>
            <w:r>
              <w:rPr>
                <w:rFonts w:ascii="仿宋_GB2312" w:hint="eastAsia"/>
              </w:rPr>
              <w:t>预约上门收集；</w:t>
            </w:r>
          </w:p>
          <w:p w:rsidR="005F05BD" w:rsidRDefault="00D354FA">
            <w:pPr>
              <w:spacing w:line="280" w:lineRule="exact"/>
              <w:rPr>
                <w:rFonts w:ascii="仿宋_GB2312"/>
              </w:rPr>
            </w:pPr>
            <w:r>
              <w:rPr>
                <w:rFonts w:ascii="仿宋_GB2312" w:hint="eastAsia"/>
              </w:rPr>
              <w:t xml:space="preserve">    4.</w:t>
            </w:r>
            <w:r>
              <w:rPr>
                <w:rFonts w:ascii="仿宋_GB2312" w:hint="eastAsia"/>
              </w:rPr>
              <w:t>自行出售给资源回收公司或捐赠。</w:t>
            </w:r>
          </w:p>
          <w:p w:rsidR="005F05BD" w:rsidRDefault="00D354FA">
            <w:pPr>
              <w:spacing w:line="280" w:lineRule="exact"/>
              <w:rPr>
                <w:rFonts w:ascii="仿宋_GB2312"/>
              </w:rPr>
            </w:pPr>
            <w:r>
              <w:rPr>
                <w:rFonts w:ascii="仿宋_GB2312" w:hint="eastAsia"/>
              </w:rPr>
              <w:t xml:space="preserve">    </w:t>
            </w:r>
            <w:r>
              <w:rPr>
                <w:rFonts w:ascii="仿宋_GB2312" w:hint="eastAsia"/>
              </w:rPr>
              <w:t>其他垃圾：投放至其他垃圾收集容器（橘黄桶）。</w:t>
            </w:r>
            <w:r>
              <w:rPr>
                <w:rFonts w:ascii="仿宋_GB2312" w:hint="eastAsia"/>
              </w:rPr>
              <w:t xml:space="preserve"> </w:t>
            </w:r>
          </w:p>
          <w:p w:rsidR="005F05BD" w:rsidRDefault="00D354FA">
            <w:pPr>
              <w:spacing w:line="280" w:lineRule="exact"/>
              <w:rPr>
                <w:rFonts w:ascii="仿宋_GB2312"/>
              </w:rPr>
            </w:pPr>
            <w:r>
              <w:rPr>
                <w:rFonts w:ascii="仿宋_GB2312" w:hint="eastAsia"/>
              </w:rPr>
              <w:t xml:space="preserve">    </w:t>
            </w:r>
            <w:r>
              <w:rPr>
                <w:rFonts w:ascii="仿宋_GB2312" w:hint="eastAsia"/>
              </w:rPr>
              <w:t>易腐垃圾：沥干水后投入易腐垃圾收集容器（绿桶）。在</w:t>
            </w:r>
            <w:r>
              <w:rPr>
                <w:rFonts w:ascii="仿宋_GB2312" w:hint="eastAsia"/>
              </w:rPr>
              <w:t>2020</w:t>
            </w:r>
            <w:r>
              <w:rPr>
                <w:rFonts w:ascii="仿宋_GB2312" w:hint="eastAsia"/>
              </w:rPr>
              <w:t>年底未建成餐厨垃圾处理厂（或预处理站）前，易腐垃圾沥干水后投入其他垃圾收集容器（橘黄桶）。</w:t>
            </w:r>
          </w:p>
        </w:tc>
      </w:tr>
    </w:tbl>
    <w:p w:rsidR="005F05BD" w:rsidRDefault="00D354FA" w:rsidP="00CC14B4">
      <w:pPr>
        <w:ind w:leftChars="35" w:left="73" w:firstLineChars="24" w:firstLine="77"/>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5F05BD" w:rsidRDefault="00D354FA">
      <w:pPr>
        <w:spacing w:line="579" w:lineRule="exact"/>
        <w:jc w:val="center"/>
        <w:rPr>
          <w:rFonts w:ascii="方正小标宋简体" w:eastAsia="方正小标宋简体"/>
          <w:sz w:val="36"/>
          <w:szCs w:val="36"/>
        </w:rPr>
      </w:pPr>
      <w:r>
        <w:rPr>
          <w:rFonts w:ascii="方正小标宋简体" w:eastAsia="方正小标宋简体" w:hint="eastAsia"/>
          <w:sz w:val="36"/>
          <w:szCs w:val="36"/>
        </w:rPr>
        <w:t>泉州市生活垃圾分类投放指南</w:t>
      </w:r>
    </w:p>
    <w:tbl>
      <w:tblPr>
        <w:tblW w:w="9902" w:type="dxa"/>
        <w:jc w:val="center"/>
        <w:tblLook w:val="04A0"/>
      </w:tblPr>
      <w:tblGrid>
        <w:gridCol w:w="525"/>
        <w:gridCol w:w="3737"/>
        <w:gridCol w:w="3280"/>
        <w:gridCol w:w="2360"/>
      </w:tblGrid>
      <w:tr w:rsidR="005F05BD">
        <w:trPr>
          <w:trHeight w:val="534"/>
          <w:jc w:val="center"/>
        </w:trPr>
        <w:tc>
          <w:tcPr>
            <w:tcW w:w="525" w:type="dxa"/>
            <w:tcBorders>
              <w:top w:val="single" w:sz="4" w:space="0" w:color="auto"/>
              <w:left w:val="single" w:sz="4" w:space="0" w:color="auto"/>
              <w:bottom w:val="single" w:sz="4" w:space="0" w:color="auto"/>
              <w:right w:val="single" w:sz="4" w:space="0" w:color="auto"/>
            </w:tcBorders>
            <w:noWrap/>
            <w:vAlign w:val="center"/>
          </w:tcPr>
          <w:p w:rsidR="005F05BD" w:rsidRDefault="00D354FA">
            <w:pPr>
              <w:widowControl/>
              <w:jc w:val="center"/>
              <w:rPr>
                <w:rFonts w:ascii="楷体_GB2312" w:eastAsia="楷体_GB2312" w:hAnsi="宋体" w:cs="宋体"/>
                <w:b/>
                <w:bCs/>
                <w:sz w:val="24"/>
                <w:szCs w:val="24"/>
              </w:rPr>
            </w:pPr>
            <w:r>
              <w:rPr>
                <w:rFonts w:ascii="楷体_GB2312" w:eastAsia="楷体_GB2312" w:hAnsi="宋体" w:cs="宋体" w:hint="eastAsia"/>
                <w:b/>
                <w:bCs/>
                <w:sz w:val="24"/>
                <w:szCs w:val="24"/>
              </w:rPr>
              <w:t xml:space="preserve">　</w:t>
            </w:r>
          </w:p>
        </w:tc>
        <w:tc>
          <w:tcPr>
            <w:tcW w:w="3737" w:type="dxa"/>
            <w:tcBorders>
              <w:top w:val="single" w:sz="4" w:space="0" w:color="auto"/>
              <w:left w:val="nil"/>
              <w:bottom w:val="single" w:sz="4" w:space="0" w:color="auto"/>
              <w:right w:val="single" w:sz="4" w:space="0" w:color="auto"/>
            </w:tcBorders>
            <w:noWrap/>
            <w:vAlign w:val="center"/>
          </w:tcPr>
          <w:p w:rsidR="005F05BD" w:rsidRDefault="00D354FA">
            <w:pPr>
              <w:widowControl/>
              <w:jc w:val="center"/>
              <w:rPr>
                <w:rFonts w:ascii="楷体_GB2312" w:eastAsia="楷体_GB2312" w:hAnsi="宋体" w:cs="宋体"/>
                <w:b/>
                <w:bCs/>
                <w:sz w:val="24"/>
                <w:szCs w:val="24"/>
              </w:rPr>
            </w:pPr>
            <w:r>
              <w:rPr>
                <w:rFonts w:ascii="楷体_GB2312" w:eastAsia="楷体_GB2312" w:hAnsi="宋体" w:cs="宋体" w:hint="eastAsia"/>
                <w:b/>
                <w:bCs/>
                <w:sz w:val="24"/>
                <w:szCs w:val="24"/>
              </w:rPr>
              <w:t>室内分类</w:t>
            </w:r>
          </w:p>
        </w:tc>
        <w:tc>
          <w:tcPr>
            <w:tcW w:w="3280" w:type="dxa"/>
            <w:tcBorders>
              <w:top w:val="single" w:sz="4" w:space="0" w:color="auto"/>
              <w:left w:val="nil"/>
              <w:bottom w:val="single" w:sz="4" w:space="0" w:color="auto"/>
              <w:right w:val="single" w:sz="4" w:space="0" w:color="auto"/>
            </w:tcBorders>
            <w:vAlign w:val="center"/>
          </w:tcPr>
          <w:p w:rsidR="005F05BD" w:rsidRDefault="00D354FA">
            <w:pPr>
              <w:widowControl/>
              <w:jc w:val="center"/>
              <w:rPr>
                <w:rFonts w:ascii="楷体_GB2312" w:eastAsia="楷体_GB2312" w:hAnsi="宋体" w:cs="宋体"/>
                <w:b/>
                <w:bCs/>
                <w:sz w:val="24"/>
                <w:szCs w:val="24"/>
              </w:rPr>
            </w:pPr>
            <w:r>
              <w:rPr>
                <w:rFonts w:ascii="楷体_GB2312" w:eastAsia="楷体_GB2312" w:hAnsi="宋体" w:cs="宋体" w:hint="eastAsia"/>
                <w:b/>
                <w:bCs/>
                <w:sz w:val="24"/>
                <w:szCs w:val="24"/>
              </w:rPr>
              <w:t>室外分类投放</w:t>
            </w:r>
          </w:p>
        </w:tc>
        <w:tc>
          <w:tcPr>
            <w:tcW w:w="2360" w:type="dxa"/>
            <w:tcBorders>
              <w:top w:val="single" w:sz="4" w:space="0" w:color="auto"/>
              <w:left w:val="nil"/>
              <w:bottom w:val="single" w:sz="4" w:space="0" w:color="auto"/>
              <w:right w:val="single" w:sz="4" w:space="0" w:color="auto"/>
            </w:tcBorders>
            <w:vAlign w:val="center"/>
          </w:tcPr>
          <w:p w:rsidR="005F05BD" w:rsidRDefault="00D354FA">
            <w:pPr>
              <w:widowControl/>
              <w:jc w:val="center"/>
              <w:rPr>
                <w:rFonts w:ascii="楷体_GB2312" w:eastAsia="楷体_GB2312" w:hAnsi="宋体" w:cs="宋体"/>
                <w:b/>
                <w:bCs/>
                <w:sz w:val="24"/>
                <w:szCs w:val="24"/>
              </w:rPr>
            </w:pPr>
            <w:r>
              <w:rPr>
                <w:rFonts w:ascii="楷体_GB2312" w:eastAsia="楷体_GB2312" w:hAnsi="宋体" w:cs="宋体" w:hint="eastAsia"/>
                <w:b/>
                <w:bCs/>
                <w:sz w:val="24"/>
                <w:szCs w:val="24"/>
              </w:rPr>
              <w:t>减量提醒</w:t>
            </w:r>
          </w:p>
        </w:tc>
      </w:tr>
      <w:tr w:rsidR="005F05BD">
        <w:trPr>
          <w:trHeight w:val="510"/>
          <w:jc w:val="center"/>
        </w:trPr>
        <w:tc>
          <w:tcPr>
            <w:tcW w:w="525" w:type="dxa"/>
            <w:vMerge w:val="restart"/>
            <w:tcBorders>
              <w:top w:val="nil"/>
              <w:left w:val="single" w:sz="4" w:space="0" w:color="auto"/>
              <w:bottom w:val="single" w:sz="4" w:space="0" w:color="auto"/>
              <w:right w:val="single" w:sz="4" w:space="0" w:color="auto"/>
            </w:tcBorders>
            <w:noWrap/>
            <w:vAlign w:val="center"/>
          </w:tcPr>
          <w:p w:rsidR="005F05BD" w:rsidRDefault="00D354FA">
            <w:pPr>
              <w:widowControl/>
              <w:jc w:val="center"/>
              <w:rPr>
                <w:rFonts w:ascii="宋体" w:hAnsi="宋体" w:cs="宋体"/>
                <w:b/>
                <w:bCs/>
                <w:sz w:val="24"/>
                <w:szCs w:val="24"/>
              </w:rPr>
            </w:pPr>
            <w:r>
              <w:rPr>
                <w:rFonts w:ascii="宋体" w:hAnsi="宋体" w:cs="宋体" w:hint="eastAsia"/>
                <w:b/>
                <w:bCs/>
                <w:sz w:val="24"/>
                <w:szCs w:val="24"/>
              </w:rPr>
              <w:t>家庭篇</w:t>
            </w: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平时家里换下来的灯管、使用过后的纽扣电池、过期药品，都属于有害垃圾。</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投放到小区指定的红色有害垃圾桶。</w:t>
            </w:r>
          </w:p>
        </w:tc>
        <w:tc>
          <w:tcPr>
            <w:tcW w:w="2360" w:type="dxa"/>
            <w:vMerge w:val="restart"/>
            <w:tcBorders>
              <w:top w:val="nil"/>
              <w:left w:val="single" w:sz="4" w:space="0" w:color="auto"/>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rPr>
              <w:t>1.</w:t>
            </w:r>
            <w:r>
              <w:rPr>
                <w:rFonts w:ascii="宋体" w:hAnsi="宋体" w:cs="宋体" w:hint="eastAsia"/>
              </w:rPr>
              <w:t>尽量把旧衣物进行捐赠；</w:t>
            </w:r>
            <w:r>
              <w:rPr>
                <w:rFonts w:ascii="宋体" w:cs="宋体"/>
              </w:rPr>
              <w:br/>
            </w:r>
            <w:r>
              <w:rPr>
                <w:rFonts w:ascii="宋体" w:hAnsi="宋体" w:cs="宋体"/>
              </w:rPr>
              <w:t>2.</w:t>
            </w:r>
            <w:r>
              <w:rPr>
                <w:rFonts w:ascii="宋体" w:hAnsi="宋体" w:cs="宋体" w:hint="eastAsia"/>
              </w:rPr>
              <w:t>尽量使用可重复使用的耐用品；</w:t>
            </w:r>
            <w:r>
              <w:rPr>
                <w:rFonts w:ascii="宋体" w:cs="宋体"/>
              </w:rPr>
              <w:br/>
            </w:r>
            <w:r>
              <w:rPr>
                <w:rFonts w:ascii="宋体" w:hAnsi="宋体" w:cs="宋体"/>
              </w:rPr>
              <w:t>3.</w:t>
            </w:r>
            <w:r>
              <w:rPr>
                <w:rFonts w:ascii="宋体" w:hAnsi="宋体" w:cs="宋体" w:hint="eastAsia"/>
              </w:rPr>
              <w:t>尽量不使用一次性塑料袋；</w:t>
            </w:r>
            <w:r>
              <w:rPr>
                <w:rFonts w:ascii="宋体" w:cs="宋体"/>
              </w:rPr>
              <w:br/>
            </w:r>
            <w:r>
              <w:rPr>
                <w:rFonts w:ascii="宋体" w:hAnsi="宋体" w:cs="宋体"/>
              </w:rPr>
              <w:t>4.</w:t>
            </w:r>
            <w:r>
              <w:rPr>
                <w:rFonts w:ascii="宋体" w:hAnsi="宋体" w:cs="宋体" w:hint="eastAsia"/>
              </w:rPr>
              <w:t>尽量不浪费食品、药品等可用之物。</w:t>
            </w:r>
          </w:p>
        </w:tc>
      </w:tr>
      <w:tr w:rsidR="005F05BD">
        <w:trPr>
          <w:trHeight w:val="1130"/>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废旧报纸和报刊、易拉罐、矿泉水瓶、快递拆开的纸箱、废旧纸盒，都属于可回收物，可用废旧纸箱做临时容器或固定地点进行暂时回收。</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投放到小区指定的蓝色可回收物桶，或收集到一定量自行售卖。</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789"/>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家里的剩菜剩饭、瓜皮果壳、茶叶渣等都属于易腐垃圾，可在厨房设置一个易腐垃圾桶。</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投放到小区指定的绿色易腐垃圾桶。</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1230"/>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塑料包装袋、丢弃的烟头、一次性快餐餐具、使用过的纸巾、扫地产生的灰尘属于其他垃圾，可在客厅放置一个其他垃圾桶。</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rPr>
                <w:rFonts w:ascii="宋体" w:cs="宋体"/>
              </w:rPr>
            </w:pPr>
            <w:r>
              <w:rPr>
                <w:rFonts w:ascii="宋体" w:hAnsi="宋体" w:cs="宋体" w:hint="eastAsia"/>
              </w:rPr>
              <w:t>投放到小区指定的橘黄色其他垃圾桶。</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600"/>
          <w:jc w:val="center"/>
        </w:trPr>
        <w:tc>
          <w:tcPr>
            <w:tcW w:w="525" w:type="dxa"/>
            <w:vMerge w:val="restart"/>
            <w:tcBorders>
              <w:top w:val="nil"/>
              <w:left w:val="single" w:sz="4" w:space="0" w:color="auto"/>
              <w:bottom w:val="single" w:sz="4" w:space="0" w:color="auto"/>
              <w:right w:val="single" w:sz="4" w:space="0" w:color="auto"/>
            </w:tcBorders>
            <w:noWrap/>
            <w:vAlign w:val="center"/>
          </w:tcPr>
          <w:p w:rsidR="005F05BD" w:rsidRDefault="00D354FA">
            <w:pPr>
              <w:widowControl/>
              <w:jc w:val="center"/>
              <w:rPr>
                <w:rFonts w:ascii="宋体" w:hAnsi="宋体" w:cs="宋体"/>
                <w:b/>
                <w:bCs/>
                <w:sz w:val="24"/>
                <w:szCs w:val="24"/>
              </w:rPr>
            </w:pPr>
            <w:r>
              <w:rPr>
                <w:rFonts w:ascii="宋体" w:hAnsi="宋体" w:cs="宋体" w:hint="eastAsia"/>
                <w:b/>
                <w:bCs/>
                <w:sz w:val="24"/>
                <w:szCs w:val="24"/>
              </w:rPr>
              <w:t>单位篇</w:t>
            </w: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换下的笔芯、墨盒、纽扣电池、坏了的灯管都属于有害垃圾。</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投放到单位指定的红色有害垃圾桶。</w:t>
            </w:r>
          </w:p>
        </w:tc>
        <w:tc>
          <w:tcPr>
            <w:tcW w:w="2360" w:type="dxa"/>
            <w:vMerge w:val="restart"/>
            <w:tcBorders>
              <w:top w:val="nil"/>
              <w:left w:val="single" w:sz="4" w:space="0" w:color="auto"/>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rPr>
              <w:t>1.</w:t>
            </w:r>
            <w:r>
              <w:rPr>
                <w:rFonts w:ascii="宋体" w:hAnsi="宋体" w:cs="宋体" w:hint="eastAsia"/>
              </w:rPr>
              <w:t>尽量不用一次性签字笔、圆珠笔；</w:t>
            </w:r>
            <w:r>
              <w:rPr>
                <w:rFonts w:ascii="宋体" w:cs="宋体"/>
              </w:rPr>
              <w:br/>
            </w:r>
            <w:r>
              <w:rPr>
                <w:rFonts w:ascii="宋体" w:hAnsi="宋体" w:cs="宋体"/>
              </w:rPr>
              <w:t>2.</w:t>
            </w:r>
            <w:r>
              <w:rPr>
                <w:rFonts w:ascii="宋体" w:hAnsi="宋体" w:cs="宋体" w:hint="eastAsia"/>
              </w:rPr>
              <w:t>纸张尽量双面书写或双面打印；</w:t>
            </w:r>
            <w:r>
              <w:rPr>
                <w:rFonts w:ascii="宋体" w:cs="宋体"/>
              </w:rPr>
              <w:br/>
            </w:r>
            <w:r>
              <w:rPr>
                <w:rFonts w:ascii="宋体" w:hAnsi="宋体" w:cs="宋体"/>
              </w:rPr>
              <w:t>3.</w:t>
            </w:r>
            <w:r>
              <w:rPr>
                <w:rFonts w:ascii="宋体" w:hAnsi="宋体" w:cs="宋体" w:hint="eastAsia"/>
              </w:rPr>
              <w:t>尽量使用再生产品，比如再生纸及再生纸制品；</w:t>
            </w:r>
            <w:r>
              <w:rPr>
                <w:rFonts w:ascii="宋体" w:cs="宋体"/>
              </w:rPr>
              <w:br/>
            </w:r>
            <w:r>
              <w:rPr>
                <w:rFonts w:ascii="宋体" w:hAnsi="宋体" w:cs="宋体"/>
              </w:rPr>
              <w:t>4.</w:t>
            </w:r>
            <w:r>
              <w:rPr>
                <w:rFonts w:ascii="宋体" w:hAnsi="宋体" w:cs="宋体" w:hint="eastAsia"/>
              </w:rPr>
              <w:t>尽量运用互联网、局域网进行无纸化办公。</w:t>
            </w:r>
            <w:r>
              <w:rPr>
                <w:rFonts w:ascii="宋体" w:hAnsi="宋体" w:cs="宋体"/>
              </w:rPr>
              <w:t xml:space="preserve">                 5.</w:t>
            </w:r>
            <w:r>
              <w:rPr>
                <w:rFonts w:ascii="宋体" w:hAnsi="宋体" w:cs="宋体" w:hint="eastAsia"/>
              </w:rPr>
              <w:t>在食堂餐厅宣传“光盘”行动。</w:t>
            </w:r>
          </w:p>
        </w:tc>
      </w:tr>
      <w:tr w:rsidR="005F05BD">
        <w:trPr>
          <w:trHeight w:val="1185"/>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平时办公的废弃纸张、报纸刊物、快递拆开的纸箱、易拉罐、利乐包、可乐瓶属于可回收物，可找一个固定的容器进行临时收集。</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投放到单位指定的蓝色可回收物桶，也可由单位统一安排人员收集处理。</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600"/>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在食堂就餐后，剩菜剩饭属于易腐垃圾。</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投放到食堂指定的绿色易腐垃圾桶里。</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600"/>
          <w:jc w:val="center"/>
        </w:trPr>
        <w:tc>
          <w:tcPr>
            <w:tcW w:w="525" w:type="dxa"/>
            <w:vMerge/>
            <w:tcBorders>
              <w:top w:val="nil"/>
              <w:left w:val="single" w:sz="4" w:space="0" w:color="auto"/>
              <w:bottom w:val="single" w:sz="4" w:space="0" w:color="auto"/>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用过的纸巾、烟蒂、一次性快餐餐具等都属于其他垃圾。</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投放到单位指定的橘黄色其他垃圾桶。</w:t>
            </w:r>
          </w:p>
        </w:tc>
        <w:tc>
          <w:tcPr>
            <w:tcW w:w="2360" w:type="dxa"/>
            <w:vMerge/>
            <w:tcBorders>
              <w:top w:val="nil"/>
              <w:left w:val="single" w:sz="4" w:space="0" w:color="auto"/>
              <w:bottom w:val="single" w:sz="4" w:space="0" w:color="auto"/>
              <w:right w:val="single" w:sz="4" w:space="0" w:color="auto"/>
            </w:tcBorders>
            <w:vAlign w:val="center"/>
          </w:tcPr>
          <w:p w:rsidR="005F05BD" w:rsidRDefault="005F05BD">
            <w:pPr>
              <w:widowControl/>
              <w:spacing w:line="280" w:lineRule="exact"/>
              <w:jc w:val="left"/>
              <w:rPr>
                <w:rFonts w:ascii="宋体" w:cs="宋体"/>
              </w:rPr>
            </w:pPr>
          </w:p>
        </w:tc>
      </w:tr>
      <w:tr w:rsidR="005F05BD">
        <w:trPr>
          <w:trHeight w:val="600"/>
          <w:jc w:val="center"/>
        </w:trPr>
        <w:tc>
          <w:tcPr>
            <w:tcW w:w="525" w:type="dxa"/>
            <w:vMerge w:val="restart"/>
            <w:tcBorders>
              <w:top w:val="nil"/>
              <w:left w:val="single" w:sz="4" w:space="0" w:color="auto"/>
              <w:bottom w:val="single" w:sz="4" w:space="0" w:color="000000"/>
              <w:right w:val="single" w:sz="4" w:space="0" w:color="auto"/>
            </w:tcBorders>
            <w:noWrap/>
            <w:vAlign w:val="center"/>
          </w:tcPr>
          <w:p w:rsidR="005F05BD" w:rsidRDefault="00D354FA">
            <w:pPr>
              <w:widowControl/>
              <w:jc w:val="center"/>
              <w:rPr>
                <w:rFonts w:ascii="宋体" w:hAnsi="宋体" w:cs="宋体"/>
                <w:b/>
                <w:bCs/>
                <w:sz w:val="24"/>
                <w:szCs w:val="24"/>
              </w:rPr>
            </w:pPr>
            <w:r>
              <w:rPr>
                <w:rFonts w:ascii="宋体" w:hAnsi="宋体" w:cs="宋体" w:hint="eastAsia"/>
                <w:b/>
                <w:bCs/>
                <w:sz w:val="24"/>
                <w:szCs w:val="24"/>
              </w:rPr>
              <w:t>学校篇</w:t>
            </w:r>
          </w:p>
        </w:tc>
        <w:tc>
          <w:tcPr>
            <w:tcW w:w="3737"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换下的笔芯、墨盒、纽扣电池、坏了的灯管都属于有害垃圾。</w:t>
            </w:r>
          </w:p>
        </w:tc>
        <w:tc>
          <w:tcPr>
            <w:tcW w:w="3280" w:type="dxa"/>
            <w:tcBorders>
              <w:top w:val="nil"/>
              <w:left w:val="nil"/>
              <w:bottom w:val="single" w:sz="4" w:space="0" w:color="auto"/>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hint="eastAsia"/>
              </w:rPr>
              <w:t>投放到学校指定的红色有害垃圾桶。</w:t>
            </w:r>
          </w:p>
        </w:tc>
        <w:tc>
          <w:tcPr>
            <w:tcW w:w="2360" w:type="dxa"/>
            <w:vMerge w:val="restart"/>
            <w:tcBorders>
              <w:top w:val="nil"/>
              <w:left w:val="single" w:sz="4" w:space="0" w:color="auto"/>
              <w:bottom w:val="single" w:sz="4" w:space="0" w:color="000000"/>
              <w:right w:val="single" w:sz="4" w:space="0" w:color="auto"/>
            </w:tcBorders>
            <w:vAlign w:val="center"/>
          </w:tcPr>
          <w:p w:rsidR="005F05BD" w:rsidRDefault="00D354FA">
            <w:pPr>
              <w:widowControl/>
              <w:spacing w:line="280" w:lineRule="exact"/>
              <w:jc w:val="left"/>
              <w:rPr>
                <w:rFonts w:ascii="宋体" w:cs="宋体"/>
              </w:rPr>
            </w:pPr>
            <w:r>
              <w:rPr>
                <w:rFonts w:ascii="宋体" w:hAnsi="宋体" w:cs="宋体"/>
              </w:rPr>
              <w:t>1.</w:t>
            </w:r>
            <w:r>
              <w:rPr>
                <w:rFonts w:ascii="宋体" w:hAnsi="宋体" w:cs="宋体" w:hint="eastAsia"/>
              </w:rPr>
              <w:t>尽量不用一次性签字笔、圆珠笔；</w:t>
            </w:r>
            <w:r>
              <w:rPr>
                <w:rFonts w:ascii="宋体" w:cs="宋体"/>
              </w:rPr>
              <w:br/>
            </w:r>
            <w:r>
              <w:rPr>
                <w:rFonts w:ascii="宋体" w:hAnsi="宋体" w:cs="宋体"/>
              </w:rPr>
              <w:t>2.</w:t>
            </w:r>
            <w:r>
              <w:rPr>
                <w:rFonts w:ascii="宋体" w:hAnsi="宋体" w:cs="宋体" w:hint="eastAsia"/>
              </w:rPr>
              <w:t>草稿纸双面书写及充分利用；</w:t>
            </w:r>
            <w:r>
              <w:rPr>
                <w:rFonts w:ascii="宋体" w:cs="宋体"/>
              </w:rPr>
              <w:br/>
            </w:r>
            <w:r>
              <w:rPr>
                <w:rFonts w:ascii="宋体" w:hAnsi="宋体" w:cs="宋体"/>
              </w:rPr>
              <w:t>3.</w:t>
            </w:r>
            <w:r>
              <w:rPr>
                <w:rFonts w:ascii="宋体" w:hAnsi="宋体" w:cs="宋体" w:hint="eastAsia"/>
              </w:rPr>
              <w:t>尽量使用可重复使用的杯子，不使用一次性纸杯。</w:t>
            </w:r>
            <w:r>
              <w:rPr>
                <w:rFonts w:ascii="宋体" w:hAnsi="宋体" w:cs="宋体"/>
              </w:rPr>
              <w:t xml:space="preserve">                  4.</w:t>
            </w:r>
            <w:r>
              <w:rPr>
                <w:rFonts w:ascii="宋体" w:hAnsi="宋体" w:cs="宋体" w:hint="eastAsia"/>
              </w:rPr>
              <w:t>在食堂餐厅宣传“光盘”行动。</w:t>
            </w:r>
          </w:p>
        </w:tc>
      </w:tr>
      <w:tr w:rsidR="005F05BD">
        <w:trPr>
          <w:trHeight w:val="930"/>
          <w:jc w:val="center"/>
        </w:trPr>
        <w:tc>
          <w:tcPr>
            <w:tcW w:w="525"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废草稿纸、废试卷，塑料瓶、易拉罐、利乐包（应先清空液体）属于可回收物。</w:t>
            </w:r>
          </w:p>
        </w:tc>
        <w:tc>
          <w:tcPr>
            <w:tcW w:w="3280"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投放到学校指定的蓝色可回收物桶，也可由学校统一安排人员收集处理。</w:t>
            </w:r>
          </w:p>
        </w:tc>
        <w:tc>
          <w:tcPr>
            <w:tcW w:w="2360"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cs="宋体"/>
              </w:rPr>
            </w:pPr>
          </w:p>
        </w:tc>
      </w:tr>
      <w:tr w:rsidR="005F05BD">
        <w:trPr>
          <w:trHeight w:val="600"/>
          <w:jc w:val="center"/>
        </w:trPr>
        <w:tc>
          <w:tcPr>
            <w:tcW w:w="525"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在食堂就餐后，剩菜剩饭属于易腐垃圾。</w:t>
            </w:r>
          </w:p>
        </w:tc>
        <w:tc>
          <w:tcPr>
            <w:tcW w:w="3280"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投放到食堂指定的绿色易腐垃圾桶里。</w:t>
            </w:r>
          </w:p>
        </w:tc>
        <w:tc>
          <w:tcPr>
            <w:tcW w:w="2360"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cs="宋体"/>
              </w:rPr>
            </w:pPr>
          </w:p>
        </w:tc>
      </w:tr>
      <w:tr w:rsidR="005F05BD">
        <w:trPr>
          <w:trHeight w:val="600"/>
          <w:jc w:val="center"/>
        </w:trPr>
        <w:tc>
          <w:tcPr>
            <w:tcW w:w="525"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hAnsi="宋体" w:cs="宋体"/>
                <w:b/>
                <w:bCs/>
                <w:sz w:val="24"/>
                <w:szCs w:val="24"/>
              </w:rPr>
            </w:pPr>
          </w:p>
        </w:tc>
        <w:tc>
          <w:tcPr>
            <w:tcW w:w="3737"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用过的纸巾、零食包装袋等属于其他垃圾。</w:t>
            </w:r>
          </w:p>
        </w:tc>
        <w:tc>
          <w:tcPr>
            <w:tcW w:w="3280" w:type="dxa"/>
            <w:tcBorders>
              <w:top w:val="nil"/>
              <w:left w:val="nil"/>
              <w:bottom w:val="single" w:sz="4" w:space="0" w:color="auto"/>
              <w:right w:val="single" w:sz="4" w:space="0" w:color="auto"/>
            </w:tcBorders>
            <w:vAlign w:val="center"/>
          </w:tcPr>
          <w:p w:rsidR="005F05BD" w:rsidRDefault="00D354FA">
            <w:pPr>
              <w:widowControl/>
              <w:jc w:val="left"/>
              <w:rPr>
                <w:rFonts w:ascii="宋体" w:cs="宋体"/>
              </w:rPr>
            </w:pPr>
            <w:r>
              <w:rPr>
                <w:rFonts w:ascii="宋体" w:hAnsi="宋体" w:cs="宋体" w:hint="eastAsia"/>
              </w:rPr>
              <w:t>投放到学校指定的橘黄色其他垃圾桶。</w:t>
            </w:r>
          </w:p>
        </w:tc>
        <w:tc>
          <w:tcPr>
            <w:tcW w:w="2360" w:type="dxa"/>
            <w:vMerge/>
            <w:tcBorders>
              <w:top w:val="nil"/>
              <w:left w:val="single" w:sz="4" w:space="0" w:color="auto"/>
              <w:bottom w:val="single" w:sz="4" w:space="0" w:color="000000"/>
              <w:right w:val="single" w:sz="4" w:space="0" w:color="auto"/>
            </w:tcBorders>
            <w:vAlign w:val="center"/>
          </w:tcPr>
          <w:p w:rsidR="005F05BD" w:rsidRDefault="005F05BD">
            <w:pPr>
              <w:widowControl/>
              <w:jc w:val="left"/>
              <w:rPr>
                <w:rFonts w:ascii="宋体" w:cs="宋体"/>
              </w:rPr>
            </w:pPr>
          </w:p>
        </w:tc>
      </w:tr>
      <w:tr w:rsidR="005F05BD">
        <w:trPr>
          <w:trHeight w:val="1020"/>
          <w:jc w:val="center"/>
        </w:trPr>
        <w:tc>
          <w:tcPr>
            <w:tcW w:w="525" w:type="dxa"/>
            <w:tcBorders>
              <w:top w:val="nil"/>
              <w:left w:val="single" w:sz="4" w:space="0" w:color="auto"/>
              <w:bottom w:val="single" w:sz="4" w:space="0" w:color="auto"/>
              <w:right w:val="single" w:sz="4" w:space="0" w:color="auto"/>
            </w:tcBorders>
            <w:vAlign w:val="center"/>
          </w:tcPr>
          <w:p w:rsidR="005F05BD" w:rsidRDefault="00D354FA">
            <w:pPr>
              <w:widowControl/>
              <w:jc w:val="center"/>
              <w:rPr>
                <w:rFonts w:ascii="宋体" w:hAnsi="宋体" w:cs="宋体"/>
                <w:sz w:val="24"/>
                <w:szCs w:val="24"/>
              </w:rPr>
            </w:pPr>
            <w:r>
              <w:rPr>
                <w:rFonts w:ascii="宋体" w:hAnsi="宋体" w:cs="宋体" w:hint="eastAsia"/>
                <w:sz w:val="24"/>
                <w:szCs w:val="24"/>
              </w:rPr>
              <w:t>备注</w:t>
            </w:r>
          </w:p>
        </w:tc>
        <w:tc>
          <w:tcPr>
            <w:tcW w:w="9377" w:type="dxa"/>
            <w:gridSpan w:val="3"/>
            <w:tcBorders>
              <w:top w:val="single" w:sz="4" w:space="0" w:color="auto"/>
              <w:left w:val="nil"/>
              <w:bottom w:val="single" w:sz="4" w:space="0" w:color="auto"/>
              <w:right w:val="single" w:sz="4" w:space="0" w:color="000000"/>
            </w:tcBorders>
            <w:vAlign w:val="center"/>
          </w:tcPr>
          <w:p w:rsidR="005F05BD" w:rsidRDefault="00D354FA">
            <w:pPr>
              <w:widowControl/>
              <w:jc w:val="left"/>
              <w:rPr>
                <w:rFonts w:ascii="宋体" w:cs="宋体"/>
              </w:rPr>
            </w:pPr>
            <w:r>
              <w:rPr>
                <w:rFonts w:ascii="宋体" w:hAnsi="宋体" w:cs="宋体"/>
              </w:rPr>
              <w:t>1.</w:t>
            </w:r>
            <w:r>
              <w:rPr>
                <w:rFonts w:ascii="宋体" w:hAnsi="宋体" w:cs="宋体" w:hint="eastAsia"/>
              </w:rPr>
              <w:t>居民应根据宣传栏上的设施点位分布图、分类标准指南，进行准确分类投放。</w:t>
            </w:r>
            <w:r>
              <w:rPr>
                <w:rFonts w:ascii="宋体" w:cs="宋体"/>
              </w:rPr>
              <w:br/>
            </w:r>
            <w:r>
              <w:rPr>
                <w:rFonts w:ascii="宋体" w:hAnsi="宋体" w:cs="宋体"/>
              </w:rPr>
              <w:t>2.</w:t>
            </w:r>
            <w:r>
              <w:rPr>
                <w:rFonts w:ascii="宋体" w:hAnsi="宋体" w:cs="宋体" w:hint="eastAsia"/>
              </w:rPr>
              <w:t>在</w:t>
            </w:r>
            <w:r>
              <w:rPr>
                <w:rFonts w:ascii="宋体" w:hAnsi="宋体" w:cs="宋体"/>
              </w:rPr>
              <w:t>2020</w:t>
            </w:r>
            <w:r>
              <w:rPr>
                <w:rFonts w:ascii="宋体" w:hAnsi="宋体" w:cs="宋体" w:hint="eastAsia"/>
              </w:rPr>
              <w:t>年底前未建成餐厨垃圾处理厂（或预处理站），易腐垃圾沥干水后暂时投入橘黄色其他垃圾桶。</w:t>
            </w:r>
          </w:p>
        </w:tc>
      </w:tr>
    </w:tbl>
    <w:p w:rsidR="005F05BD" w:rsidRDefault="00D354FA">
      <w:pPr>
        <w:ind w:leftChars="-31" w:left="2" w:hangingChars="21" w:hanging="67"/>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5F05BD" w:rsidRDefault="00D354FA">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泉州市生活垃圾分类居住小区考评标准（“五到位”版）</w:t>
      </w:r>
    </w:p>
    <w:tbl>
      <w:tblPr>
        <w:tblW w:w="10336" w:type="dxa"/>
        <w:jc w:val="center"/>
        <w:tblLook w:val="04A0"/>
      </w:tblPr>
      <w:tblGrid>
        <w:gridCol w:w="672"/>
        <w:gridCol w:w="5036"/>
        <w:gridCol w:w="4052"/>
        <w:gridCol w:w="576"/>
      </w:tblGrid>
      <w:tr w:rsidR="005F05BD">
        <w:trPr>
          <w:trHeight w:val="432"/>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5F05BD" w:rsidRDefault="00D354FA">
            <w:pPr>
              <w:widowControl/>
              <w:jc w:val="center"/>
              <w:rPr>
                <w:rFonts w:ascii="黑体" w:eastAsia="黑体" w:hAnsi="黑体" w:cs="宋体"/>
                <w:sz w:val="20"/>
              </w:rPr>
            </w:pPr>
            <w:r>
              <w:rPr>
                <w:rFonts w:ascii="黑体" w:eastAsia="黑体" w:hAnsi="黑体" w:cs="宋体" w:hint="eastAsia"/>
                <w:sz w:val="20"/>
              </w:rPr>
              <w:t>项目</w:t>
            </w:r>
          </w:p>
        </w:tc>
        <w:tc>
          <w:tcPr>
            <w:tcW w:w="5036" w:type="dxa"/>
            <w:tcBorders>
              <w:top w:val="single" w:sz="4" w:space="0" w:color="auto"/>
              <w:left w:val="nil"/>
              <w:bottom w:val="single" w:sz="4" w:space="0" w:color="auto"/>
              <w:right w:val="single" w:sz="4" w:space="0" w:color="auto"/>
            </w:tcBorders>
            <w:shd w:val="clear" w:color="auto" w:fill="auto"/>
            <w:vAlign w:val="center"/>
          </w:tcPr>
          <w:p w:rsidR="005F05BD" w:rsidRDefault="00D354FA">
            <w:pPr>
              <w:widowControl/>
              <w:jc w:val="center"/>
              <w:rPr>
                <w:rFonts w:ascii="黑体" w:eastAsia="黑体" w:hAnsi="黑体" w:cs="宋体"/>
                <w:sz w:val="20"/>
              </w:rPr>
            </w:pPr>
            <w:r>
              <w:rPr>
                <w:rFonts w:ascii="黑体" w:eastAsia="黑体" w:hAnsi="黑体" w:cs="宋体" w:hint="eastAsia"/>
                <w:sz w:val="20"/>
              </w:rPr>
              <w:t>具体要求</w:t>
            </w:r>
          </w:p>
        </w:tc>
        <w:tc>
          <w:tcPr>
            <w:tcW w:w="4052" w:type="dxa"/>
            <w:tcBorders>
              <w:top w:val="single" w:sz="4" w:space="0" w:color="auto"/>
              <w:left w:val="nil"/>
              <w:bottom w:val="single" w:sz="4" w:space="0" w:color="auto"/>
              <w:right w:val="single" w:sz="4" w:space="0" w:color="auto"/>
            </w:tcBorders>
            <w:shd w:val="clear" w:color="auto" w:fill="auto"/>
            <w:vAlign w:val="center"/>
          </w:tcPr>
          <w:p w:rsidR="005F05BD" w:rsidRDefault="00D354FA">
            <w:pPr>
              <w:widowControl/>
              <w:jc w:val="center"/>
              <w:rPr>
                <w:rFonts w:ascii="黑体" w:eastAsia="黑体" w:hAnsi="黑体" w:cs="宋体"/>
                <w:sz w:val="20"/>
              </w:rPr>
            </w:pPr>
            <w:r>
              <w:rPr>
                <w:rFonts w:ascii="黑体" w:eastAsia="黑体" w:hAnsi="黑体" w:cs="宋体" w:hint="eastAsia"/>
                <w:sz w:val="20"/>
              </w:rPr>
              <w:t>评分标准</w:t>
            </w:r>
          </w:p>
        </w:tc>
        <w:tc>
          <w:tcPr>
            <w:tcW w:w="576" w:type="dxa"/>
            <w:tcBorders>
              <w:top w:val="single" w:sz="4" w:space="0" w:color="auto"/>
              <w:left w:val="nil"/>
              <w:bottom w:val="single" w:sz="4" w:space="0" w:color="auto"/>
              <w:right w:val="single" w:sz="4" w:space="0" w:color="auto"/>
            </w:tcBorders>
            <w:shd w:val="clear" w:color="auto" w:fill="auto"/>
            <w:vAlign w:val="center"/>
          </w:tcPr>
          <w:p w:rsidR="005F05BD" w:rsidRDefault="00D354FA">
            <w:pPr>
              <w:widowControl/>
              <w:jc w:val="center"/>
              <w:rPr>
                <w:rFonts w:ascii="黑体" w:eastAsia="黑体" w:hAnsi="黑体" w:cs="宋体"/>
                <w:sz w:val="20"/>
              </w:rPr>
            </w:pPr>
            <w:r>
              <w:rPr>
                <w:rFonts w:ascii="黑体" w:eastAsia="黑体" w:hAnsi="黑体" w:cs="宋体" w:hint="eastAsia"/>
                <w:sz w:val="20"/>
              </w:rPr>
              <w:t>扣分</w:t>
            </w:r>
          </w:p>
        </w:tc>
      </w:tr>
      <w:tr w:rsidR="005F05BD">
        <w:trPr>
          <w:trHeight w:val="2283"/>
          <w:jc w:val="center"/>
        </w:trPr>
        <w:tc>
          <w:tcPr>
            <w:tcW w:w="672" w:type="dxa"/>
            <w:tcBorders>
              <w:top w:val="nil"/>
              <w:left w:val="single" w:sz="4" w:space="0" w:color="auto"/>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黑体" w:eastAsia="黑体" w:hAnsi="黑体" w:cs="宋体"/>
                <w:sz w:val="20"/>
              </w:rPr>
            </w:pPr>
            <w:r>
              <w:rPr>
                <w:rFonts w:ascii="黑体" w:eastAsia="黑体" w:hAnsi="黑体" w:cs="宋体" w:hint="eastAsia"/>
                <w:sz w:val="20"/>
              </w:rPr>
              <w:t>组织管理到位</w:t>
            </w:r>
          </w:p>
        </w:tc>
        <w:tc>
          <w:tcPr>
            <w:tcW w:w="5036"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pacing w:val="-2"/>
                <w:sz w:val="20"/>
              </w:rPr>
            </w:pPr>
            <w:r>
              <w:rPr>
                <w:rFonts w:ascii="仿宋_GB2312" w:hAnsi="宋体" w:cs="宋体" w:hint="eastAsia"/>
                <w:spacing w:val="-2"/>
                <w:sz w:val="20"/>
              </w:rPr>
              <w:t>1.</w:t>
            </w:r>
            <w:r>
              <w:rPr>
                <w:rFonts w:ascii="仿宋_GB2312" w:hAnsi="宋体" w:cs="宋体" w:hint="eastAsia"/>
                <w:spacing w:val="-2"/>
                <w:sz w:val="20"/>
              </w:rPr>
              <w:t>按《福建省城乡生活垃圾管理条例》明确小区分类投放管理责任人，并于居委会、物业管理处明显处上墙公示。</w:t>
            </w:r>
            <w:r>
              <w:rPr>
                <w:rFonts w:ascii="仿宋_GB2312" w:hAnsi="宋体" w:cs="宋体" w:hint="eastAsia"/>
                <w:spacing w:val="-2"/>
                <w:sz w:val="20"/>
              </w:rPr>
              <w:br/>
              <w:t>2.</w:t>
            </w:r>
            <w:r>
              <w:rPr>
                <w:rFonts w:ascii="仿宋_GB2312" w:hAnsi="宋体" w:cs="宋体" w:hint="eastAsia"/>
                <w:spacing w:val="-6"/>
                <w:sz w:val="20"/>
              </w:rPr>
              <w:t>建立垃圾分类基础台账，内容包括：分类投放、收集责任主体；分类投放、收集作业形式、作业时间等；厨余垃圾、有害垃圾、可回收物、其他垃圾的统计数据、物流去向等</w:t>
            </w:r>
            <w:r>
              <w:rPr>
                <w:rFonts w:ascii="仿宋_GB2312" w:hAnsi="宋体" w:cs="宋体" w:hint="eastAsia"/>
                <w:spacing w:val="-2"/>
                <w:sz w:val="20"/>
              </w:rPr>
              <w:t>。</w:t>
            </w:r>
            <w:r>
              <w:rPr>
                <w:rFonts w:ascii="仿宋_GB2312" w:hAnsi="宋体" w:cs="宋体" w:hint="eastAsia"/>
                <w:spacing w:val="-2"/>
                <w:sz w:val="20"/>
              </w:rPr>
              <w:br/>
              <w:t>3.</w:t>
            </w:r>
            <w:r>
              <w:rPr>
                <w:rFonts w:ascii="仿宋_GB2312" w:hAnsi="宋体" w:cs="宋体" w:hint="eastAsia"/>
                <w:spacing w:val="-2"/>
                <w:sz w:val="20"/>
              </w:rPr>
              <w:t>与具有相关资质的厨余、有害、可回收物收运企业签订协议，并交由指定的处置（中转）点处置。</w:t>
            </w:r>
            <w:r>
              <w:rPr>
                <w:rFonts w:ascii="仿宋_GB2312" w:hAnsi="宋体" w:cs="宋体" w:hint="eastAsia"/>
                <w:spacing w:val="-2"/>
                <w:sz w:val="20"/>
              </w:rPr>
              <w:br/>
              <w:t>4.</w:t>
            </w:r>
            <w:r>
              <w:rPr>
                <w:rFonts w:ascii="仿宋_GB2312" w:hAnsi="宋体" w:cs="宋体" w:hint="eastAsia"/>
                <w:spacing w:val="-2"/>
                <w:sz w:val="20"/>
              </w:rPr>
              <w:t>在小区显著地方设“荣辱榜”，每周张榜公布居民分类情况。</w:t>
            </w:r>
            <w:r>
              <w:rPr>
                <w:rFonts w:ascii="仿宋_GB2312" w:hAnsi="宋体" w:cs="宋体" w:hint="eastAsia"/>
                <w:spacing w:val="-2"/>
                <w:sz w:val="20"/>
              </w:rPr>
              <w:br/>
              <w:t>5.</w:t>
            </w:r>
            <w:r>
              <w:rPr>
                <w:rFonts w:ascii="仿宋_GB2312" w:hAnsi="宋体" w:cs="宋体" w:hint="eastAsia"/>
                <w:spacing w:val="-2"/>
                <w:sz w:val="20"/>
              </w:rPr>
              <w:t>每周六组织开展“分类回收日”活动。</w:t>
            </w:r>
          </w:p>
        </w:tc>
        <w:tc>
          <w:tcPr>
            <w:tcW w:w="4052"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未明确分类投放责任人，扣</w:t>
            </w:r>
            <w:r>
              <w:rPr>
                <w:rFonts w:ascii="仿宋_GB2312" w:hAnsi="宋体" w:cs="宋体" w:hint="eastAsia"/>
                <w:sz w:val="20"/>
              </w:rPr>
              <w:t>5</w:t>
            </w:r>
            <w:r>
              <w:rPr>
                <w:rFonts w:ascii="仿宋_GB2312" w:hAnsi="宋体" w:cs="宋体" w:hint="eastAsia"/>
                <w:sz w:val="20"/>
              </w:rPr>
              <w:t>分，已明确但未公示、有物业未纳入服务合同内容，扣</w:t>
            </w:r>
            <w:r>
              <w:rPr>
                <w:rFonts w:ascii="仿宋_GB2312" w:hAnsi="宋体" w:cs="宋体" w:hint="eastAsia"/>
                <w:sz w:val="20"/>
              </w:rPr>
              <w:t>3</w:t>
            </w:r>
            <w:r>
              <w:rPr>
                <w:rFonts w:ascii="仿宋_GB2312" w:hAnsi="宋体" w:cs="宋体" w:hint="eastAsia"/>
                <w:sz w:val="20"/>
              </w:rPr>
              <w:t>分；</w:t>
            </w:r>
            <w:r>
              <w:rPr>
                <w:rFonts w:ascii="仿宋_GB2312" w:hAnsi="宋体" w:cs="宋体" w:hint="eastAsia"/>
                <w:sz w:val="20"/>
              </w:rPr>
              <w:br/>
              <w:t>2.</w:t>
            </w:r>
            <w:r>
              <w:rPr>
                <w:rFonts w:ascii="仿宋_GB2312" w:hAnsi="宋体" w:cs="宋体" w:hint="eastAsia"/>
                <w:sz w:val="20"/>
              </w:rPr>
              <w:t>无台帐扣</w:t>
            </w:r>
            <w:r>
              <w:rPr>
                <w:rFonts w:ascii="仿宋_GB2312" w:hAnsi="宋体" w:cs="宋体" w:hint="eastAsia"/>
                <w:sz w:val="20"/>
              </w:rPr>
              <w:t>5</w:t>
            </w:r>
            <w:r>
              <w:rPr>
                <w:rFonts w:ascii="仿宋_GB2312" w:hAnsi="宋体" w:cs="宋体" w:hint="eastAsia"/>
                <w:sz w:val="20"/>
              </w:rPr>
              <w:t>分，台账数据不真实、不完善酌情扣分；</w:t>
            </w:r>
            <w:r>
              <w:rPr>
                <w:rFonts w:ascii="仿宋_GB2312" w:hAnsi="宋体" w:cs="宋体" w:hint="eastAsia"/>
                <w:sz w:val="20"/>
              </w:rPr>
              <w:br/>
              <w:t>3.</w:t>
            </w:r>
            <w:r>
              <w:rPr>
                <w:rFonts w:ascii="仿宋_GB2312" w:hAnsi="宋体" w:cs="宋体" w:hint="eastAsia"/>
                <w:sz w:val="20"/>
              </w:rPr>
              <w:t>未签定协议的，每发现一</w:t>
            </w:r>
            <w:r>
              <w:rPr>
                <w:rFonts w:ascii="仿宋_GB2312" w:hAnsi="宋体" w:cs="宋体" w:hint="eastAsia"/>
                <w:sz w:val="20"/>
              </w:rPr>
              <w:t>类扣</w:t>
            </w:r>
            <w:r>
              <w:rPr>
                <w:rFonts w:ascii="仿宋_GB2312" w:hAnsi="宋体" w:cs="宋体" w:hint="eastAsia"/>
                <w:sz w:val="20"/>
              </w:rPr>
              <w:t>3</w:t>
            </w:r>
            <w:r>
              <w:rPr>
                <w:rFonts w:ascii="仿宋_GB2312" w:hAnsi="宋体" w:cs="宋体" w:hint="eastAsia"/>
                <w:sz w:val="20"/>
              </w:rPr>
              <w:t>分，未交由指定处置点处置，发现一类扣</w:t>
            </w:r>
            <w:r>
              <w:rPr>
                <w:rFonts w:ascii="仿宋_GB2312" w:hAnsi="宋体" w:cs="宋体" w:hint="eastAsia"/>
                <w:sz w:val="20"/>
              </w:rPr>
              <w:t>3</w:t>
            </w:r>
            <w:r>
              <w:rPr>
                <w:rFonts w:ascii="仿宋_GB2312" w:hAnsi="宋体" w:cs="宋体" w:hint="eastAsia"/>
                <w:sz w:val="20"/>
              </w:rPr>
              <w:t>分；</w:t>
            </w:r>
            <w:r>
              <w:rPr>
                <w:rFonts w:ascii="仿宋_GB2312" w:hAnsi="宋体" w:cs="宋体" w:hint="eastAsia"/>
                <w:sz w:val="20"/>
              </w:rPr>
              <w:br/>
              <w:t>4.</w:t>
            </w:r>
            <w:r>
              <w:rPr>
                <w:rFonts w:ascii="仿宋_GB2312" w:hAnsi="宋体" w:cs="宋体" w:hint="eastAsia"/>
                <w:sz w:val="20"/>
              </w:rPr>
              <w:t>无榜扣</w:t>
            </w:r>
            <w:r>
              <w:rPr>
                <w:rFonts w:ascii="仿宋_GB2312" w:hAnsi="宋体" w:cs="宋体" w:hint="eastAsia"/>
                <w:sz w:val="20"/>
              </w:rPr>
              <w:t>2</w:t>
            </w:r>
            <w:r>
              <w:rPr>
                <w:rFonts w:ascii="仿宋_GB2312" w:hAnsi="宋体" w:cs="宋体" w:hint="eastAsia"/>
                <w:sz w:val="20"/>
              </w:rPr>
              <w:t>分，无每周公布扣</w:t>
            </w:r>
            <w:r>
              <w:rPr>
                <w:rFonts w:ascii="仿宋_GB2312" w:hAnsi="宋体" w:cs="宋体" w:hint="eastAsia"/>
                <w:sz w:val="20"/>
              </w:rPr>
              <w:t>2</w:t>
            </w:r>
            <w:r>
              <w:rPr>
                <w:rFonts w:ascii="仿宋_GB2312" w:hAnsi="宋体" w:cs="宋体" w:hint="eastAsia"/>
                <w:sz w:val="20"/>
              </w:rPr>
              <w:t>分；</w:t>
            </w:r>
            <w:r>
              <w:rPr>
                <w:rFonts w:ascii="仿宋_GB2312" w:hAnsi="宋体" w:cs="宋体" w:hint="eastAsia"/>
                <w:sz w:val="20"/>
              </w:rPr>
              <w:br/>
              <w:t>5.</w:t>
            </w:r>
            <w:r>
              <w:rPr>
                <w:rFonts w:ascii="仿宋_GB2312" w:hAnsi="宋体" w:cs="宋体" w:hint="eastAsia"/>
                <w:sz w:val="20"/>
              </w:rPr>
              <w:t>未开展扣</w:t>
            </w:r>
            <w:r>
              <w:rPr>
                <w:rFonts w:ascii="仿宋_GB2312" w:hAnsi="宋体" w:cs="宋体" w:hint="eastAsia"/>
                <w:sz w:val="20"/>
              </w:rPr>
              <w:t>4</w:t>
            </w:r>
            <w:r>
              <w:rPr>
                <w:rFonts w:ascii="仿宋_GB2312" w:hAnsi="宋体" w:cs="宋体" w:hint="eastAsia"/>
                <w:sz w:val="20"/>
              </w:rPr>
              <w:t>分，每少</w:t>
            </w:r>
            <w:r>
              <w:rPr>
                <w:rFonts w:ascii="仿宋_GB2312" w:hAnsi="宋体" w:cs="宋体" w:hint="eastAsia"/>
                <w:sz w:val="20"/>
              </w:rPr>
              <w:t>1</w:t>
            </w:r>
            <w:r>
              <w:rPr>
                <w:rFonts w:ascii="仿宋_GB2312" w:hAnsi="宋体" w:cs="宋体" w:hint="eastAsia"/>
                <w:sz w:val="20"/>
              </w:rPr>
              <w:t>次扣</w:t>
            </w:r>
            <w:r>
              <w:rPr>
                <w:rFonts w:ascii="仿宋_GB2312" w:hAnsi="宋体" w:cs="宋体" w:hint="eastAsia"/>
                <w:sz w:val="20"/>
              </w:rPr>
              <w:t>1</w:t>
            </w:r>
            <w:r>
              <w:rPr>
                <w:rFonts w:ascii="仿宋_GB2312" w:hAnsi="宋体" w:cs="宋体" w:hint="eastAsia"/>
                <w:sz w:val="20"/>
              </w:rPr>
              <w:t>分，活动开展情况酌情给分。</w:t>
            </w:r>
          </w:p>
        </w:tc>
        <w:tc>
          <w:tcPr>
            <w:tcW w:w="576" w:type="dxa"/>
            <w:tcBorders>
              <w:top w:val="nil"/>
              <w:left w:val="nil"/>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仿宋_GB2312" w:hAnsi="宋体" w:cs="宋体"/>
                <w:sz w:val="20"/>
              </w:rPr>
            </w:pPr>
            <w:r>
              <w:rPr>
                <w:rFonts w:ascii="仿宋_GB2312" w:hAnsi="宋体" w:cs="宋体" w:hint="eastAsia"/>
                <w:sz w:val="20"/>
              </w:rPr>
              <w:t xml:space="preserve">　</w:t>
            </w:r>
          </w:p>
        </w:tc>
      </w:tr>
      <w:tr w:rsidR="005F05BD">
        <w:trPr>
          <w:trHeight w:val="2571"/>
          <w:jc w:val="center"/>
        </w:trPr>
        <w:tc>
          <w:tcPr>
            <w:tcW w:w="672" w:type="dxa"/>
            <w:tcBorders>
              <w:top w:val="nil"/>
              <w:left w:val="single" w:sz="4" w:space="0" w:color="auto"/>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黑体" w:eastAsia="黑体" w:hAnsi="黑体" w:cs="宋体"/>
                <w:sz w:val="20"/>
              </w:rPr>
            </w:pPr>
            <w:r>
              <w:rPr>
                <w:rFonts w:ascii="黑体" w:eastAsia="黑体" w:hAnsi="黑体" w:cs="宋体" w:hint="eastAsia"/>
                <w:sz w:val="20"/>
              </w:rPr>
              <w:t>设施配备到位</w:t>
            </w:r>
          </w:p>
        </w:tc>
        <w:tc>
          <w:tcPr>
            <w:tcW w:w="5036"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设定分类投放点（参照《泉州市垃圾分类设施设备配置及作业规范（试行）》（泉分类办〔</w:t>
            </w:r>
            <w:r>
              <w:rPr>
                <w:rFonts w:ascii="仿宋_GB2312" w:hAnsi="宋体" w:cs="宋体" w:hint="eastAsia"/>
                <w:sz w:val="20"/>
              </w:rPr>
              <w:t>2019</w:t>
            </w:r>
            <w:r>
              <w:rPr>
                <w:rFonts w:ascii="仿宋_GB2312" w:hAnsi="宋体" w:cs="宋体" w:hint="eastAsia"/>
                <w:sz w:val="20"/>
              </w:rPr>
              <w:t>〕</w:t>
            </w:r>
            <w:r>
              <w:rPr>
                <w:rFonts w:ascii="仿宋_GB2312" w:hAnsi="宋体" w:cs="宋体" w:hint="eastAsia"/>
                <w:sz w:val="20"/>
              </w:rPr>
              <w:t>25</w:t>
            </w:r>
            <w:r>
              <w:rPr>
                <w:rFonts w:ascii="仿宋_GB2312" w:hAnsi="宋体" w:cs="宋体" w:hint="eastAsia"/>
                <w:sz w:val="20"/>
              </w:rPr>
              <w:t>号）），配备厨余垃圾和其他垃圾容器。</w:t>
            </w:r>
            <w:r>
              <w:rPr>
                <w:rFonts w:ascii="仿宋_GB2312" w:hAnsi="宋体" w:cs="宋体" w:hint="eastAsia"/>
                <w:sz w:val="20"/>
              </w:rPr>
              <w:br/>
              <w:t>2.</w:t>
            </w:r>
            <w:r>
              <w:rPr>
                <w:rFonts w:ascii="仿宋_GB2312" w:hAnsi="宋体" w:cs="宋体" w:hint="eastAsia"/>
                <w:sz w:val="20"/>
              </w:rPr>
              <w:t>至少设</w:t>
            </w:r>
            <w:r>
              <w:rPr>
                <w:rFonts w:ascii="仿宋_GB2312" w:hAnsi="宋体" w:cs="宋体" w:hint="eastAsia"/>
                <w:sz w:val="20"/>
              </w:rPr>
              <w:t>1</w:t>
            </w:r>
            <w:r>
              <w:rPr>
                <w:rFonts w:ascii="仿宋_GB2312" w:hAnsi="宋体" w:cs="宋体" w:hint="eastAsia"/>
                <w:sz w:val="20"/>
              </w:rPr>
              <w:t>个有害垃圾投放点，配备有害垃圾容器，或设有害暂存室，要有监管条件。</w:t>
            </w:r>
            <w:r>
              <w:rPr>
                <w:rFonts w:ascii="仿宋_GB2312" w:hAnsi="宋体" w:cs="宋体" w:hint="eastAsia"/>
                <w:sz w:val="20"/>
              </w:rPr>
              <w:br/>
              <w:t>3.</w:t>
            </w:r>
            <w:r>
              <w:rPr>
                <w:rFonts w:ascii="仿宋_GB2312" w:hAnsi="宋体" w:cs="宋体" w:hint="eastAsia"/>
                <w:sz w:val="20"/>
              </w:rPr>
              <w:t>至少设</w:t>
            </w:r>
            <w:r>
              <w:rPr>
                <w:rFonts w:ascii="仿宋_GB2312" w:hAnsi="宋体" w:cs="宋体" w:hint="eastAsia"/>
                <w:sz w:val="20"/>
              </w:rPr>
              <w:t>1</w:t>
            </w:r>
            <w:r>
              <w:rPr>
                <w:rFonts w:ascii="仿宋_GB2312" w:hAnsi="宋体" w:cs="宋体" w:hint="eastAsia"/>
                <w:sz w:val="20"/>
              </w:rPr>
              <w:t>个可回收物投放点，配备可回收物容器，或设可回收物暂存室（交售点、便民回收点等）。</w:t>
            </w:r>
            <w:r>
              <w:rPr>
                <w:rFonts w:ascii="仿宋_GB2312" w:hAnsi="宋体" w:cs="宋体" w:hint="eastAsia"/>
                <w:sz w:val="20"/>
              </w:rPr>
              <w:br/>
            </w:r>
            <w:r>
              <w:rPr>
                <w:rFonts w:ascii="仿宋_GB2312" w:hAnsi="宋体" w:cs="宋体" w:hint="eastAsia"/>
                <w:sz w:val="20"/>
              </w:rPr>
              <w:t>4.</w:t>
            </w:r>
            <w:r>
              <w:rPr>
                <w:rFonts w:ascii="仿宋_GB2312" w:hAnsi="宋体" w:cs="宋体" w:hint="eastAsia"/>
                <w:sz w:val="20"/>
              </w:rPr>
              <w:t>投放点地面应硬化及周边干净卫生。收集容器完好、整洁，颜色标识规范。</w:t>
            </w:r>
            <w:r>
              <w:rPr>
                <w:rFonts w:ascii="仿宋_GB2312" w:hAnsi="宋体" w:cs="宋体" w:hint="eastAsia"/>
                <w:sz w:val="20"/>
              </w:rPr>
              <w:br/>
              <w:t>5.</w:t>
            </w:r>
            <w:r>
              <w:rPr>
                <w:rFonts w:ascii="仿宋_GB2312" w:hAnsi="宋体" w:cs="宋体" w:hint="eastAsia"/>
                <w:sz w:val="20"/>
              </w:rPr>
              <w:t>设大件垃圾、园林垃圾和装修垃圾等特殊投放点，并设置指示牌，或公布上门收集方式。</w:t>
            </w:r>
          </w:p>
        </w:tc>
        <w:tc>
          <w:tcPr>
            <w:tcW w:w="4052"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非定点区域设垃圾容器的，每处扣</w:t>
            </w:r>
            <w:r>
              <w:rPr>
                <w:rFonts w:ascii="仿宋_GB2312" w:hAnsi="宋体" w:cs="宋体" w:hint="eastAsia"/>
                <w:sz w:val="20"/>
              </w:rPr>
              <w:t>2</w:t>
            </w:r>
            <w:r>
              <w:rPr>
                <w:rFonts w:ascii="仿宋_GB2312" w:hAnsi="宋体" w:cs="宋体" w:hint="eastAsia"/>
                <w:sz w:val="20"/>
              </w:rPr>
              <w:t>分，容器数量不足扣</w:t>
            </w:r>
            <w:r>
              <w:rPr>
                <w:rFonts w:ascii="仿宋_GB2312" w:hAnsi="宋体" w:cs="宋体" w:hint="eastAsia"/>
                <w:sz w:val="20"/>
              </w:rPr>
              <w:t>3</w:t>
            </w:r>
            <w:r>
              <w:rPr>
                <w:rFonts w:ascii="仿宋_GB2312" w:hAnsi="宋体" w:cs="宋体" w:hint="eastAsia"/>
                <w:sz w:val="20"/>
              </w:rPr>
              <w:t>分；</w:t>
            </w:r>
            <w:r>
              <w:rPr>
                <w:rFonts w:ascii="仿宋_GB2312" w:hAnsi="宋体" w:cs="宋体" w:hint="eastAsia"/>
                <w:sz w:val="20"/>
              </w:rPr>
              <w:br/>
              <w:t>2.</w:t>
            </w:r>
            <w:r>
              <w:rPr>
                <w:rFonts w:ascii="仿宋_GB2312" w:hAnsi="宋体" w:cs="宋体" w:hint="eastAsia"/>
                <w:sz w:val="20"/>
              </w:rPr>
              <w:t>无有害点，扣</w:t>
            </w:r>
            <w:r>
              <w:rPr>
                <w:rFonts w:ascii="仿宋_GB2312" w:hAnsi="宋体" w:cs="宋体" w:hint="eastAsia"/>
                <w:sz w:val="20"/>
              </w:rPr>
              <w:t>5</w:t>
            </w:r>
            <w:r>
              <w:rPr>
                <w:rFonts w:ascii="仿宋_GB2312" w:hAnsi="宋体" w:cs="宋体" w:hint="eastAsia"/>
                <w:sz w:val="20"/>
              </w:rPr>
              <w:t>分，无监管条件扣</w:t>
            </w:r>
            <w:r>
              <w:rPr>
                <w:rFonts w:ascii="仿宋_GB2312" w:hAnsi="宋体" w:cs="宋体" w:hint="eastAsia"/>
                <w:sz w:val="20"/>
              </w:rPr>
              <w:t>3</w:t>
            </w:r>
            <w:r>
              <w:rPr>
                <w:rFonts w:ascii="仿宋_GB2312" w:hAnsi="宋体" w:cs="宋体" w:hint="eastAsia"/>
                <w:sz w:val="20"/>
              </w:rPr>
              <w:t>分；</w:t>
            </w:r>
            <w:r>
              <w:rPr>
                <w:rFonts w:ascii="仿宋_GB2312" w:hAnsi="宋体" w:cs="宋体" w:hint="eastAsia"/>
                <w:sz w:val="20"/>
              </w:rPr>
              <w:br/>
              <w:t>3.</w:t>
            </w:r>
            <w:r>
              <w:rPr>
                <w:rFonts w:ascii="仿宋_GB2312" w:hAnsi="宋体" w:cs="宋体" w:hint="eastAsia"/>
                <w:sz w:val="20"/>
              </w:rPr>
              <w:t>无可回收点，扣</w:t>
            </w:r>
            <w:r>
              <w:rPr>
                <w:rFonts w:ascii="仿宋_GB2312" w:hAnsi="宋体" w:cs="宋体" w:hint="eastAsia"/>
                <w:sz w:val="20"/>
              </w:rPr>
              <w:t>5</w:t>
            </w:r>
            <w:r>
              <w:rPr>
                <w:rFonts w:ascii="仿宋_GB2312" w:hAnsi="宋体" w:cs="宋体" w:hint="eastAsia"/>
                <w:sz w:val="20"/>
              </w:rPr>
              <w:t>分，无监管条件扣</w:t>
            </w:r>
            <w:r>
              <w:rPr>
                <w:rFonts w:ascii="仿宋_GB2312" w:hAnsi="宋体" w:cs="宋体" w:hint="eastAsia"/>
                <w:sz w:val="20"/>
              </w:rPr>
              <w:t>3</w:t>
            </w:r>
            <w:r>
              <w:rPr>
                <w:rFonts w:ascii="仿宋_GB2312" w:hAnsi="宋体" w:cs="宋体" w:hint="eastAsia"/>
                <w:sz w:val="20"/>
              </w:rPr>
              <w:t>分；</w:t>
            </w:r>
            <w:r>
              <w:rPr>
                <w:rFonts w:ascii="仿宋_GB2312" w:hAnsi="宋体" w:cs="宋体" w:hint="eastAsia"/>
                <w:sz w:val="20"/>
              </w:rPr>
              <w:br/>
              <w:t>4.</w:t>
            </w:r>
            <w:r>
              <w:rPr>
                <w:rFonts w:ascii="仿宋_GB2312" w:hAnsi="宋体" w:cs="宋体" w:hint="eastAsia"/>
                <w:sz w:val="20"/>
              </w:rPr>
              <w:t>投放点无硬化、有污水、有垃圾的，每处扣</w:t>
            </w:r>
            <w:r>
              <w:rPr>
                <w:rFonts w:ascii="仿宋_GB2312" w:hAnsi="宋体" w:cs="宋体" w:hint="eastAsia"/>
                <w:sz w:val="20"/>
              </w:rPr>
              <w:t>2</w:t>
            </w:r>
            <w:r>
              <w:rPr>
                <w:rFonts w:ascii="仿宋_GB2312" w:hAnsi="宋体" w:cs="宋体" w:hint="eastAsia"/>
                <w:sz w:val="20"/>
              </w:rPr>
              <w:t>分，，容器每处不足扣</w:t>
            </w:r>
            <w:r>
              <w:rPr>
                <w:rFonts w:ascii="仿宋_GB2312" w:hAnsi="宋体" w:cs="宋体" w:hint="eastAsia"/>
                <w:sz w:val="20"/>
              </w:rPr>
              <w:t>2</w:t>
            </w:r>
            <w:r>
              <w:rPr>
                <w:rFonts w:ascii="仿宋_GB2312" w:hAnsi="宋体" w:cs="宋体" w:hint="eastAsia"/>
                <w:sz w:val="20"/>
              </w:rPr>
              <w:t>分，注：桶边放可回收物不扣分；</w:t>
            </w:r>
            <w:r>
              <w:rPr>
                <w:rFonts w:ascii="仿宋_GB2312" w:hAnsi="宋体" w:cs="宋体" w:hint="eastAsia"/>
                <w:sz w:val="20"/>
              </w:rPr>
              <w:br/>
              <w:t>5.</w:t>
            </w:r>
            <w:r>
              <w:rPr>
                <w:rFonts w:ascii="仿宋_GB2312" w:hAnsi="宋体" w:cs="宋体" w:hint="eastAsia"/>
                <w:sz w:val="20"/>
              </w:rPr>
              <w:t>无特殊投放点、有点无指示牌或无公布上门收集方式扣</w:t>
            </w:r>
            <w:r>
              <w:rPr>
                <w:rFonts w:ascii="仿宋_GB2312" w:hAnsi="宋体" w:cs="宋体" w:hint="eastAsia"/>
                <w:sz w:val="20"/>
              </w:rPr>
              <w:t>3</w:t>
            </w:r>
            <w:r>
              <w:rPr>
                <w:rFonts w:ascii="仿宋_GB2312" w:hAnsi="宋体" w:cs="宋体" w:hint="eastAsia"/>
                <w:sz w:val="20"/>
              </w:rPr>
              <w:t>分，大件、园林、装修垃圾乱丢每处扣</w:t>
            </w:r>
            <w:r>
              <w:rPr>
                <w:rFonts w:ascii="仿宋_GB2312" w:hAnsi="宋体" w:cs="宋体" w:hint="eastAsia"/>
                <w:sz w:val="20"/>
              </w:rPr>
              <w:t>3</w:t>
            </w:r>
            <w:r>
              <w:rPr>
                <w:rFonts w:ascii="仿宋_GB2312" w:hAnsi="宋体" w:cs="宋体" w:hint="eastAsia"/>
                <w:sz w:val="20"/>
              </w:rPr>
              <w:t>分。</w:t>
            </w:r>
          </w:p>
        </w:tc>
        <w:tc>
          <w:tcPr>
            <w:tcW w:w="576" w:type="dxa"/>
            <w:tcBorders>
              <w:top w:val="nil"/>
              <w:left w:val="nil"/>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 xml:space="preserve">　</w:t>
            </w:r>
          </w:p>
        </w:tc>
      </w:tr>
      <w:tr w:rsidR="005F05BD">
        <w:trPr>
          <w:trHeight w:val="1783"/>
          <w:jc w:val="center"/>
        </w:trPr>
        <w:tc>
          <w:tcPr>
            <w:tcW w:w="672" w:type="dxa"/>
            <w:tcBorders>
              <w:top w:val="nil"/>
              <w:left w:val="single" w:sz="4" w:space="0" w:color="auto"/>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黑体" w:eastAsia="黑体" w:hAnsi="黑体" w:cs="宋体"/>
                <w:sz w:val="20"/>
              </w:rPr>
            </w:pPr>
            <w:r>
              <w:rPr>
                <w:rFonts w:ascii="黑体" w:eastAsia="黑体" w:hAnsi="黑体" w:cs="宋体" w:hint="eastAsia"/>
                <w:sz w:val="20"/>
              </w:rPr>
              <w:t>宣传引导到位</w:t>
            </w:r>
          </w:p>
        </w:tc>
        <w:tc>
          <w:tcPr>
            <w:tcW w:w="5036"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有设垃圾分类宣传专栏，应有分类投放管理责任人、分类指南、政策法律宣贯等内容。</w:t>
            </w:r>
            <w:r>
              <w:rPr>
                <w:rFonts w:ascii="仿宋_GB2312" w:hAnsi="宋体" w:cs="宋体" w:hint="eastAsia"/>
                <w:sz w:val="20"/>
              </w:rPr>
              <w:br/>
              <w:t>2.</w:t>
            </w:r>
            <w:r>
              <w:rPr>
                <w:rFonts w:ascii="仿宋_GB2312" w:hAnsi="宋体" w:cs="宋体" w:hint="eastAsia"/>
                <w:sz w:val="20"/>
              </w:rPr>
              <w:t>出入口及梯口张贴宣传海报，有电子屏定期播放垃圾分类宣传片或宣传标语。</w:t>
            </w:r>
            <w:r>
              <w:rPr>
                <w:rFonts w:ascii="仿宋_GB2312" w:hAnsi="宋体" w:cs="宋体" w:hint="eastAsia"/>
                <w:sz w:val="20"/>
              </w:rPr>
              <w:br/>
              <w:t>3.</w:t>
            </w:r>
            <w:r>
              <w:rPr>
                <w:rFonts w:ascii="仿宋_GB2312" w:hAnsi="宋体" w:cs="宋体" w:hint="eastAsia"/>
                <w:sz w:val="20"/>
              </w:rPr>
              <w:t>投放点有配置指引牌，内容应包括：分类标准指南、有害和可回收物有效指引（文字或点位分布图）、收运作业信息、督导员信息、督导时间段、监督电话等；</w:t>
            </w:r>
          </w:p>
        </w:tc>
        <w:tc>
          <w:tcPr>
            <w:tcW w:w="4052"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无宣传专栏扣</w:t>
            </w:r>
            <w:r>
              <w:rPr>
                <w:rFonts w:ascii="仿宋_GB2312" w:hAnsi="宋体" w:cs="宋体" w:hint="eastAsia"/>
                <w:sz w:val="20"/>
              </w:rPr>
              <w:t>3</w:t>
            </w:r>
            <w:r>
              <w:rPr>
                <w:rFonts w:ascii="仿宋_GB2312" w:hAnsi="宋体" w:cs="宋体" w:hint="eastAsia"/>
                <w:sz w:val="20"/>
              </w:rPr>
              <w:t>分，宣传内容每少</w:t>
            </w:r>
            <w:r>
              <w:rPr>
                <w:rFonts w:ascii="仿宋_GB2312" w:hAnsi="宋体" w:cs="宋体" w:hint="eastAsia"/>
                <w:sz w:val="20"/>
              </w:rPr>
              <w:t>1</w:t>
            </w:r>
            <w:r>
              <w:rPr>
                <w:rFonts w:ascii="仿宋_GB2312" w:hAnsi="宋体" w:cs="宋体" w:hint="eastAsia"/>
                <w:sz w:val="20"/>
              </w:rPr>
              <w:t>项扣</w:t>
            </w:r>
            <w:r>
              <w:rPr>
                <w:rFonts w:ascii="仿宋_GB2312" w:hAnsi="宋体" w:cs="宋体" w:hint="eastAsia"/>
                <w:sz w:val="20"/>
              </w:rPr>
              <w:t>1</w:t>
            </w:r>
            <w:r>
              <w:rPr>
                <w:rFonts w:ascii="仿宋_GB2312" w:hAnsi="宋体" w:cs="宋体" w:hint="eastAsia"/>
                <w:sz w:val="20"/>
              </w:rPr>
              <w:t>分；</w:t>
            </w:r>
            <w:r>
              <w:rPr>
                <w:rFonts w:ascii="仿宋_GB2312" w:hAnsi="宋体" w:cs="宋体" w:hint="eastAsia"/>
                <w:sz w:val="20"/>
              </w:rPr>
              <w:br/>
              <w:t>2.</w:t>
            </w:r>
            <w:r>
              <w:rPr>
                <w:rFonts w:ascii="仿宋_GB2312" w:hAnsi="宋体" w:cs="宋体" w:hint="eastAsia"/>
                <w:sz w:val="20"/>
              </w:rPr>
              <w:t>发现</w:t>
            </w:r>
            <w:r>
              <w:rPr>
                <w:rFonts w:ascii="仿宋_GB2312" w:hAnsi="宋体" w:cs="宋体" w:hint="eastAsia"/>
                <w:sz w:val="20"/>
              </w:rPr>
              <w:t>1</w:t>
            </w:r>
            <w:r>
              <w:rPr>
                <w:rFonts w:ascii="仿宋_GB2312" w:hAnsi="宋体" w:cs="宋体" w:hint="eastAsia"/>
                <w:sz w:val="20"/>
              </w:rPr>
              <w:t>处无内容、未在播放时段播放扣</w:t>
            </w:r>
            <w:r>
              <w:rPr>
                <w:rFonts w:ascii="仿宋_GB2312" w:hAnsi="宋体" w:cs="宋体" w:hint="eastAsia"/>
                <w:sz w:val="20"/>
              </w:rPr>
              <w:t>1</w:t>
            </w:r>
            <w:r>
              <w:rPr>
                <w:rFonts w:ascii="仿宋_GB2312" w:hAnsi="宋体" w:cs="宋体" w:hint="eastAsia"/>
                <w:sz w:val="20"/>
              </w:rPr>
              <w:t>分；</w:t>
            </w:r>
            <w:r>
              <w:rPr>
                <w:rFonts w:ascii="仿宋_GB2312" w:hAnsi="宋体" w:cs="宋体" w:hint="eastAsia"/>
                <w:sz w:val="20"/>
              </w:rPr>
              <w:br/>
              <w:t>3.</w:t>
            </w:r>
            <w:r>
              <w:rPr>
                <w:rFonts w:ascii="仿宋_GB2312" w:hAnsi="宋体" w:cs="宋体" w:hint="eastAsia"/>
                <w:sz w:val="20"/>
              </w:rPr>
              <w:t>缺指引牌扣</w:t>
            </w:r>
            <w:r>
              <w:rPr>
                <w:rFonts w:ascii="仿宋_GB2312" w:hAnsi="宋体" w:cs="宋体" w:hint="eastAsia"/>
                <w:sz w:val="20"/>
              </w:rPr>
              <w:t>3</w:t>
            </w:r>
            <w:r>
              <w:rPr>
                <w:rFonts w:ascii="仿宋_GB2312" w:hAnsi="宋体" w:cs="宋体" w:hint="eastAsia"/>
                <w:sz w:val="20"/>
              </w:rPr>
              <w:t>分，指引内容缺一项扣</w:t>
            </w:r>
            <w:r>
              <w:rPr>
                <w:rFonts w:ascii="仿宋_GB2312" w:hAnsi="宋体" w:cs="宋体" w:hint="eastAsia"/>
                <w:sz w:val="20"/>
              </w:rPr>
              <w:t>1</w:t>
            </w:r>
            <w:r>
              <w:rPr>
                <w:rFonts w:ascii="仿宋_GB2312" w:hAnsi="宋体" w:cs="宋体" w:hint="eastAsia"/>
                <w:sz w:val="20"/>
              </w:rPr>
              <w:t>分。</w:t>
            </w:r>
          </w:p>
        </w:tc>
        <w:tc>
          <w:tcPr>
            <w:tcW w:w="576" w:type="dxa"/>
            <w:tcBorders>
              <w:top w:val="nil"/>
              <w:left w:val="nil"/>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 xml:space="preserve">　</w:t>
            </w:r>
          </w:p>
        </w:tc>
      </w:tr>
      <w:tr w:rsidR="005F05BD">
        <w:trPr>
          <w:trHeight w:val="1232"/>
          <w:jc w:val="center"/>
        </w:trPr>
        <w:tc>
          <w:tcPr>
            <w:tcW w:w="672" w:type="dxa"/>
            <w:tcBorders>
              <w:top w:val="nil"/>
              <w:left w:val="single" w:sz="4" w:space="0" w:color="auto"/>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黑体" w:eastAsia="黑体" w:hAnsi="黑体" w:cs="宋体"/>
                <w:sz w:val="20"/>
              </w:rPr>
            </w:pPr>
            <w:r>
              <w:rPr>
                <w:rFonts w:ascii="黑体" w:eastAsia="黑体" w:hAnsi="黑体" w:cs="宋体" w:hint="eastAsia"/>
                <w:sz w:val="20"/>
              </w:rPr>
              <w:t>现场督导到位</w:t>
            </w:r>
          </w:p>
        </w:tc>
        <w:tc>
          <w:tcPr>
            <w:tcW w:w="5036"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原则上每超</w:t>
            </w:r>
            <w:r>
              <w:rPr>
                <w:rFonts w:ascii="仿宋_GB2312" w:hAnsi="宋体" w:cs="宋体" w:hint="eastAsia"/>
                <w:sz w:val="20"/>
              </w:rPr>
              <w:t>300</w:t>
            </w:r>
            <w:r>
              <w:rPr>
                <w:rFonts w:ascii="仿宋_GB2312" w:hAnsi="宋体" w:cs="宋体" w:hint="eastAsia"/>
                <w:sz w:val="20"/>
              </w:rPr>
              <w:t>户至少配备</w:t>
            </w:r>
            <w:r>
              <w:rPr>
                <w:rFonts w:ascii="仿宋_GB2312" w:hAnsi="宋体" w:cs="宋体" w:hint="eastAsia"/>
                <w:sz w:val="20"/>
              </w:rPr>
              <w:t>1</w:t>
            </w:r>
            <w:r>
              <w:rPr>
                <w:rFonts w:ascii="仿宋_GB2312" w:hAnsi="宋体" w:cs="宋体" w:hint="eastAsia"/>
                <w:sz w:val="20"/>
              </w:rPr>
              <w:t>名督导员。</w:t>
            </w:r>
            <w:r>
              <w:rPr>
                <w:rFonts w:ascii="仿宋_GB2312" w:hAnsi="宋体" w:cs="宋体" w:hint="eastAsia"/>
                <w:sz w:val="20"/>
              </w:rPr>
              <w:br/>
              <w:t>2.</w:t>
            </w:r>
            <w:r>
              <w:rPr>
                <w:rFonts w:ascii="仿宋_GB2312" w:hAnsi="宋体" w:cs="宋体" w:hint="eastAsia"/>
                <w:sz w:val="20"/>
              </w:rPr>
              <w:t>督导员统一着装或挂牌上岗，每日定时间段（不少于</w:t>
            </w:r>
            <w:r>
              <w:rPr>
                <w:rFonts w:ascii="仿宋_GB2312" w:hAnsi="宋体" w:cs="宋体" w:hint="eastAsia"/>
                <w:sz w:val="20"/>
              </w:rPr>
              <w:t>4</w:t>
            </w:r>
            <w:r>
              <w:rPr>
                <w:rFonts w:ascii="仿宋_GB2312" w:hAnsi="宋体" w:cs="宋体" w:hint="eastAsia"/>
                <w:sz w:val="20"/>
              </w:rPr>
              <w:t>小时）开展现场督导工作</w:t>
            </w:r>
            <w:r>
              <w:rPr>
                <w:rFonts w:ascii="仿宋_GB2312" w:hAnsi="宋体" w:cs="宋体" w:hint="eastAsia"/>
                <w:sz w:val="20"/>
              </w:rPr>
              <w:t>.</w:t>
            </w:r>
            <w:r>
              <w:rPr>
                <w:rFonts w:ascii="仿宋_GB2312" w:hAnsi="宋体" w:cs="宋体" w:hint="eastAsia"/>
                <w:sz w:val="20"/>
              </w:rPr>
              <w:br/>
              <w:t>3.</w:t>
            </w:r>
            <w:r>
              <w:rPr>
                <w:rFonts w:ascii="仿宋_GB2312" w:hAnsi="宋体" w:cs="宋体" w:hint="eastAsia"/>
                <w:sz w:val="20"/>
              </w:rPr>
              <w:t>有督导记录台帐（内容包括督导时段内居民参与数、投放准确、入户宣传、巡查等情况）。</w:t>
            </w:r>
          </w:p>
        </w:tc>
        <w:tc>
          <w:tcPr>
            <w:tcW w:w="4052"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督导员每少</w:t>
            </w:r>
            <w:r>
              <w:rPr>
                <w:rFonts w:ascii="仿宋_GB2312" w:hAnsi="宋体" w:cs="宋体" w:hint="eastAsia"/>
                <w:sz w:val="20"/>
              </w:rPr>
              <w:t>1</w:t>
            </w:r>
            <w:r>
              <w:rPr>
                <w:rFonts w:ascii="仿宋_GB2312" w:hAnsi="宋体" w:cs="宋体" w:hint="eastAsia"/>
                <w:sz w:val="20"/>
              </w:rPr>
              <w:t>名扣</w:t>
            </w:r>
            <w:r>
              <w:rPr>
                <w:rFonts w:ascii="仿宋_GB2312" w:hAnsi="宋体" w:cs="宋体" w:hint="eastAsia"/>
                <w:sz w:val="20"/>
              </w:rPr>
              <w:t>10</w:t>
            </w:r>
            <w:r>
              <w:rPr>
                <w:rFonts w:ascii="仿宋_GB2312" w:hAnsi="宋体" w:cs="宋体" w:hint="eastAsia"/>
                <w:sz w:val="20"/>
              </w:rPr>
              <w:t>分；</w:t>
            </w:r>
            <w:r>
              <w:rPr>
                <w:rFonts w:ascii="仿宋_GB2312" w:hAnsi="宋体" w:cs="宋体" w:hint="eastAsia"/>
                <w:sz w:val="20"/>
              </w:rPr>
              <w:br/>
              <w:t>2.</w:t>
            </w:r>
            <w:r>
              <w:rPr>
                <w:rFonts w:ascii="仿宋_GB2312" w:hAnsi="宋体" w:cs="宋体" w:hint="eastAsia"/>
                <w:sz w:val="20"/>
              </w:rPr>
              <w:t>督导时间段未在岗每人次扣</w:t>
            </w:r>
            <w:r>
              <w:rPr>
                <w:rFonts w:ascii="仿宋_GB2312" w:hAnsi="宋体" w:cs="宋体" w:hint="eastAsia"/>
                <w:sz w:val="20"/>
              </w:rPr>
              <w:t>8</w:t>
            </w:r>
            <w:r>
              <w:rPr>
                <w:rFonts w:ascii="仿宋_GB2312" w:hAnsi="宋体" w:cs="宋体" w:hint="eastAsia"/>
                <w:sz w:val="20"/>
              </w:rPr>
              <w:t>分，督导员未统一着装或挂牌扣</w:t>
            </w:r>
            <w:r>
              <w:rPr>
                <w:rFonts w:ascii="仿宋_GB2312" w:hAnsi="宋体" w:cs="宋体" w:hint="eastAsia"/>
                <w:sz w:val="20"/>
              </w:rPr>
              <w:t>2</w:t>
            </w:r>
            <w:r>
              <w:rPr>
                <w:rFonts w:ascii="仿宋_GB2312" w:hAnsi="宋体" w:cs="宋体" w:hint="eastAsia"/>
                <w:sz w:val="20"/>
              </w:rPr>
              <w:t>分；</w:t>
            </w:r>
            <w:r>
              <w:rPr>
                <w:rFonts w:ascii="仿宋_GB2312" w:hAnsi="宋体" w:cs="宋体" w:hint="eastAsia"/>
                <w:sz w:val="20"/>
              </w:rPr>
              <w:br/>
              <w:t>3.</w:t>
            </w:r>
            <w:r>
              <w:rPr>
                <w:rFonts w:ascii="仿宋_GB2312" w:hAnsi="宋体" w:cs="宋体" w:hint="eastAsia"/>
                <w:sz w:val="20"/>
              </w:rPr>
              <w:t>无督导台账或记录与实不符每次扣</w:t>
            </w:r>
            <w:r>
              <w:rPr>
                <w:rFonts w:ascii="仿宋_GB2312" w:hAnsi="宋体" w:cs="宋体" w:hint="eastAsia"/>
                <w:sz w:val="20"/>
              </w:rPr>
              <w:t>2</w:t>
            </w:r>
            <w:r>
              <w:rPr>
                <w:rFonts w:ascii="仿宋_GB2312" w:hAnsi="宋体" w:cs="宋体" w:hint="eastAsia"/>
                <w:sz w:val="20"/>
              </w:rPr>
              <w:t>分。</w:t>
            </w:r>
          </w:p>
        </w:tc>
        <w:tc>
          <w:tcPr>
            <w:tcW w:w="576" w:type="dxa"/>
            <w:tcBorders>
              <w:top w:val="nil"/>
              <w:left w:val="nil"/>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 xml:space="preserve">　</w:t>
            </w:r>
          </w:p>
        </w:tc>
      </w:tr>
      <w:tr w:rsidR="005F05BD">
        <w:trPr>
          <w:trHeight w:val="1474"/>
          <w:jc w:val="center"/>
        </w:trPr>
        <w:tc>
          <w:tcPr>
            <w:tcW w:w="672" w:type="dxa"/>
            <w:tcBorders>
              <w:top w:val="nil"/>
              <w:left w:val="single" w:sz="4" w:space="0" w:color="auto"/>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center"/>
              <w:rPr>
                <w:rFonts w:ascii="黑体" w:eastAsia="黑体" w:hAnsi="黑体" w:cs="宋体"/>
                <w:sz w:val="20"/>
              </w:rPr>
            </w:pPr>
            <w:r>
              <w:rPr>
                <w:rFonts w:ascii="黑体" w:eastAsia="黑体" w:hAnsi="黑体" w:cs="宋体" w:hint="eastAsia"/>
                <w:sz w:val="20"/>
              </w:rPr>
              <w:t>分类成效到位</w:t>
            </w:r>
          </w:p>
        </w:tc>
        <w:tc>
          <w:tcPr>
            <w:tcW w:w="5036"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居民分类知识知晓率。</w:t>
            </w:r>
            <w:r>
              <w:rPr>
                <w:rFonts w:ascii="仿宋_GB2312" w:hAnsi="宋体" w:cs="宋体" w:hint="eastAsia"/>
                <w:sz w:val="20"/>
              </w:rPr>
              <w:br/>
              <w:t>2.</w:t>
            </w:r>
            <w:r>
              <w:rPr>
                <w:rFonts w:ascii="仿宋_GB2312" w:hAnsi="宋体" w:cs="宋体" w:hint="eastAsia"/>
                <w:sz w:val="20"/>
              </w:rPr>
              <w:t>垃圾分类投放准确率。（①准确率＝投放正确垃圾桶个数</w:t>
            </w:r>
            <w:r>
              <w:rPr>
                <w:rFonts w:ascii="仿宋_GB2312" w:hAnsi="宋体" w:cs="宋体" w:hint="eastAsia"/>
                <w:sz w:val="20"/>
              </w:rPr>
              <w:t>/</w:t>
            </w:r>
            <w:r>
              <w:rPr>
                <w:rFonts w:ascii="仿宋_GB2312" w:hAnsi="宋体" w:cs="宋体" w:hint="eastAsia"/>
                <w:sz w:val="20"/>
              </w:rPr>
              <w:t>抽检垃圾桶总数</w:t>
            </w:r>
            <w:r>
              <w:rPr>
                <w:rFonts w:ascii="仿宋_GB2312" w:hAnsi="宋体" w:cs="宋体" w:hint="eastAsia"/>
                <w:sz w:val="20"/>
              </w:rPr>
              <w:t>*100%</w:t>
            </w:r>
            <w:r>
              <w:rPr>
                <w:rFonts w:ascii="仿宋_GB2312" w:hAnsi="宋体" w:cs="宋体" w:hint="eastAsia"/>
                <w:sz w:val="20"/>
              </w:rPr>
              <w:t>；②空桶不计入容器总数。）</w:t>
            </w:r>
            <w:r>
              <w:rPr>
                <w:rFonts w:ascii="仿宋_GB2312" w:hAnsi="宋体" w:cs="宋体" w:hint="eastAsia"/>
                <w:sz w:val="20"/>
              </w:rPr>
              <w:br/>
            </w:r>
            <w:r>
              <w:rPr>
                <w:rFonts w:ascii="仿宋_GB2312" w:hAnsi="宋体" w:cs="宋体" w:hint="eastAsia"/>
                <w:sz w:val="20"/>
              </w:rPr>
              <w:t>3.</w:t>
            </w:r>
            <w:r>
              <w:rPr>
                <w:rFonts w:ascii="仿宋_GB2312" w:hAnsi="宋体" w:cs="宋体" w:hint="eastAsia"/>
                <w:sz w:val="20"/>
              </w:rPr>
              <w:t>严格分类收集运输。</w:t>
            </w:r>
          </w:p>
        </w:tc>
        <w:tc>
          <w:tcPr>
            <w:tcW w:w="4052" w:type="dxa"/>
            <w:tcBorders>
              <w:top w:val="nil"/>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知晓率未达到</w:t>
            </w:r>
            <w:r>
              <w:rPr>
                <w:rFonts w:ascii="仿宋_GB2312" w:hAnsi="宋体" w:cs="宋体" w:hint="eastAsia"/>
                <w:sz w:val="20"/>
              </w:rPr>
              <w:t>95%</w:t>
            </w:r>
            <w:r>
              <w:rPr>
                <w:rFonts w:ascii="仿宋_GB2312" w:hAnsi="宋体" w:cs="宋体" w:hint="eastAsia"/>
                <w:sz w:val="20"/>
              </w:rPr>
              <w:t>扣分，每低于</w:t>
            </w:r>
            <w:r>
              <w:rPr>
                <w:rFonts w:ascii="仿宋_GB2312" w:hAnsi="宋体" w:cs="宋体" w:hint="eastAsia"/>
                <w:sz w:val="20"/>
              </w:rPr>
              <w:t>5%</w:t>
            </w:r>
            <w:r>
              <w:rPr>
                <w:rFonts w:ascii="仿宋_GB2312" w:hAnsi="宋体" w:cs="宋体" w:hint="eastAsia"/>
                <w:sz w:val="20"/>
              </w:rPr>
              <w:t>扣</w:t>
            </w:r>
            <w:r>
              <w:rPr>
                <w:rFonts w:ascii="仿宋_GB2312" w:hAnsi="宋体" w:cs="宋体" w:hint="eastAsia"/>
                <w:sz w:val="20"/>
              </w:rPr>
              <w:t>1</w:t>
            </w:r>
            <w:r>
              <w:rPr>
                <w:rFonts w:ascii="仿宋_GB2312" w:hAnsi="宋体" w:cs="宋体" w:hint="eastAsia"/>
                <w:sz w:val="20"/>
              </w:rPr>
              <w:t>分；</w:t>
            </w:r>
            <w:r>
              <w:rPr>
                <w:rFonts w:ascii="仿宋_GB2312" w:hAnsi="宋体" w:cs="宋体" w:hint="eastAsia"/>
                <w:sz w:val="20"/>
              </w:rPr>
              <w:br/>
              <w:t>2.</w:t>
            </w:r>
            <w:r>
              <w:rPr>
                <w:rFonts w:ascii="仿宋_GB2312" w:hAnsi="宋体" w:cs="宋体" w:hint="eastAsia"/>
                <w:sz w:val="20"/>
              </w:rPr>
              <w:t>准确率</w:t>
            </w:r>
            <w:r>
              <w:rPr>
                <w:rFonts w:ascii="仿宋_GB2312" w:hAnsi="宋体" w:cs="宋体" w:hint="eastAsia"/>
                <w:sz w:val="20"/>
              </w:rPr>
              <w:t>85%</w:t>
            </w:r>
            <w:r>
              <w:rPr>
                <w:rFonts w:ascii="仿宋_GB2312" w:hAnsi="宋体" w:cs="宋体" w:hint="eastAsia"/>
                <w:sz w:val="20"/>
              </w:rPr>
              <w:t>以上不扣分，每少</w:t>
            </w:r>
            <w:r>
              <w:rPr>
                <w:rFonts w:ascii="仿宋_GB2312" w:hAnsi="宋体" w:cs="宋体" w:hint="eastAsia"/>
                <w:sz w:val="20"/>
              </w:rPr>
              <w:t>5%</w:t>
            </w:r>
            <w:r>
              <w:rPr>
                <w:rFonts w:ascii="仿宋_GB2312" w:hAnsi="宋体" w:cs="宋体" w:hint="eastAsia"/>
                <w:sz w:val="20"/>
              </w:rPr>
              <w:t>扣</w:t>
            </w:r>
            <w:r>
              <w:rPr>
                <w:rFonts w:ascii="仿宋_GB2312" w:hAnsi="宋体" w:cs="宋体" w:hint="eastAsia"/>
                <w:sz w:val="20"/>
              </w:rPr>
              <w:t>3</w:t>
            </w:r>
            <w:r>
              <w:rPr>
                <w:rFonts w:ascii="仿宋_GB2312" w:hAnsi="宋体" w:cs="宋体" w:hint="eastAsia"/>
                <w:sz w:val="20"/>
              </w:rPr>
              <w:t>分，低于</w:t>
            </w:r>
            <w:r>
              <w:rPr>
                <w:rFonts w:ascii="仿宋_GB2312" w:hAnsi="宋体" w:cs="宋体" w:hint="eastAsia"/>
                <w:sz w:val="20"/>
              </w:rPr>
              <w:t>35%</w:t>
            </w:r>
            <w:r>
              <w:rPr>
                <w:rFonts w:ascii="仿宋_GB2312" w:hAnsi="宋体" w:cs="宋体" w:hint="eastAsia"/>
                <w:sz w:val="20"/>
              </w:rPr>
              <w:t>扣</w:t>
            </w:r>
            <w:r>
              <w:rPr>
                <w:rFonts w:ascii="仿宋_GB2312" w:hAnsi="宋体" w:cs="宋体" w:hint="eastAsia"/>
                <w:sz w:val="20"/>
              </w:rPr>
              <w:t>30</w:t>
            </w:r>
            <w:r>
              <w:rPr>
                <w:rFonts w:ascii="仿宋_GB2312" w:hAnsi="宋体" w:cs="宋体" w:hint="eastAsia"/>
                <w:sz w:val="20"/>
              </w:rPr>
              <w:t>分。督导时间段内</w:t>
            </w:r>
            <w:r>
              <w:rPr>
                <w:rFonts w:ascii="仿宋_GB2312" w:hAnsi="宋体" w:cs="宋体" w:hint="eastAsia"/>
                <w:sz w:val="20"/>
              </w:rPr>
              <w:t>1.5</w:t>
            </w:r>
            <w:r>
              <w:rPr>
                <w:rFonts w:ascii="仿宋_GB2312" w:hAnsi="宋体" w:cs="宋体" w:hint="eastAsia"/>
                <w:sz w:val="20"/>
              </w:rPr>
              <w:t>倍扣分；</w:t>
            </w:r>
            <w:r>
              <w:rPr>
                <w:rFonts w:ascii="仿宋_GB2312" w:hAnsi="宋体" w:cs="宋体" w:hint="eastAsia"/>
                <w:sz w:val="20"/>
              </w:rPr>
              <w:t>3.</w:t>
            </w:r>
            <w:r>
              <w:rPr>
                <w:rFonts w:ascii="仿宋_GB2312" w:hAnsi="宋体" w:cs="宋体" w:hint="eastAsia"/>
                <w:sz w:val="20"/>
              </w:rPr>
              <w:t>收集车标识无或错、车身脏污、滴洒漏等，每车次扣</w:t>
            </w:r>
            <w:r>
              <w:rPr>
                <w:rFonts w:ascii="仿宋_GB2312" w:hAnsi="宋体" w:cs="宋体" w:hint="eastAsia"/>
                <w:sz w:val="20"/>
              </w:rPr>
              <w:t>3</w:t>
            </w:r>
            <w:r>
              <w:rPr>
                <w:rFonts w:ascii="仿宋_GB2312" w:hAnsi="宋体" w:cs="宋体" w:hint="eastAsia"/>
                <w:sz w:val="20"/>
              </w:rPr>
              <w:t>分；发现混收混运扣</w:t>
            </w:r>
            <w:r>
              <w:rPr>
                <w:rFonts w:ascii="仿宋_GB2312" w:hAnsi="宋体" w:cs="宋体" w:hint="eastAsia"/>
                <w:sz w:val="20"/>
              </w:rPr>
              <w:t>20</w:t>
            </w:r>
            <w:r>
              <w:rPr>
                <w:rFonts w:ascii="仿宋_GB2312" w:hAnsi="宋体" w:cs="宋体" w:hint="eastAsia"/>
                <w:sz w:val="20"/>
              </w:rPr>
              <w:t>分，且投放准确率为</w:t>
            </w:r>
            <w:r>
              <w:rPr>
                <w:rFonts w:ascii="仿宋_GB2312" w:hAnsi="宋体" w:cs="宋体" w:hint="eastAsia"/>
                <w:sz w:val="20"/>
              </w:rPr>
              <w:t>0%</w:t>
            </w:r>
            <w:r>
              <w:rPr>
                <w:rFonts w:ascii="仿宋_GB2312" w:hAnsi="宋体" w:cs="宋体" w:hint="eastAsia"/>
                <w:sz w:val="20"/>
              </w:rPr>
              <w:t>。</w:t>
            </w:r>
          </w:p>
        </w:tc>
        <w:tc>
          <w:tcPr>
            <w:tcW w:w="576" w:type="dxa"/>
            <w:tcBorders>
              <w:top w:val="nil"/>
              <w:left w:val="nil"/>
              <w:bottom w:val="single" w:sz="4" w:space="0" w:color="auto"/>
              <w:right w:val="single" w:sz="4" w:space="0" w:color="auto"/>
            </w:tcBorders>
            <w:shd w:val="clear" w:color="auto" w:fill="auto"/>
            <w:textDirection w:val="tbRlV"/>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 xml:space="preserve">　</w:t>
            </w:r>
          </w:p>
        </w:tc>
      </w:tr>
      <w:tr w:rsidR="005F05BD">
        <w:trPr>
          <w:trHeight w:val="929"/>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5F05BD" w:rsidRDefault="00D354FA">
            <w:pPr>
              <w:widowControl/>
              <w:spacing w:line="240" w:lineRule="exact"/>
              <w:jc w:val="center"/>
              <w:rPr>
                <w:rFonts w:ascii="仿宋_GB2312" w:hAnsi="宋体" w:cs="宋体"/>
                <w:b/>
                <w:bCs/>
                <w:sz w:val="20"/>
              </w:rPr>
            </w:pPr>
            <w:r>
              <w:rPr>
                <w:rFonts w:ascii="仿宋_GB2312" w:hAnsi="宋体" w:cs="宋体" w:hint="eastAsia"/>
                <w:b/>
                <w:bCs/>
                <w:sz w:val="20"/>
              </w:rPr>
              <w:t>备</w:t>
            </w:r>
            <w:r>
              <w:rPr>
                <w:rFonts w:ascii="仿宋_GB2312" w:hAnsi="宋体" w:cs="宋体" w:hint="eastAsia"/>
                <w:b/>
                <w:bCs/>
                <w:sz w:val="20"/>
              </w:rPr>
              <w:br/>
            </w:r>
            <w:r>
              <w:rPr>
                <w:rFonts w:ascii="仿宋_GB2312" w:hAnsi="宋体" w:cs="宋体" w:hint="eastAsia"/>
                <w:b/>
                <w:bCs/>
                <w:sz w:val="20"/>
              </w:rPr>
              <w:t>注</w:t>
            </w:r>
          </w:p>
        </w:tc>
        <w:tc>
          <w:tcPr>
            <w:tcW w:w="9088" w:type="dxa"/>
            <w:gridSpan w:val="2"/>
            <w:tcBorders>
              <w:top w:val="single" w:sz="4" w:space="0" w:color="auto"/>
              <w:left w:val="nil"/>
              <w:bottom w:val="single" w:sz="4" w:space="0" w:color="auto"/>
              <w:right w:val="single" w:sz="4" w:space="0" w:color="auto"/>
            </w:tcBorders>
            <w:shd w:val="clear" w:color="auto" w:fill="auto"/>
            <w:vAlign w:val="center"/>
          </w:tcPr>
          <w:p w:rsidR="005F05BD" w:rsidRDefault="00D354FA">
            <w:pPr>
              <w:widowControl/>
              <w:spacing w:line="240" w:lineRule="exact"/>
              <w:jc w:val="left"/>
              <w:rPr>
                <w:rFonts w:ascii="仿宋_GB2312" w:hAnsi="宋体" w:cs="宋体"/>
                <w:sz w:val="20"/>
              </w:rPr>
            </w:pPr>
            <w:r>
              <w:rPr>
                <w:rFonts w:ascii="仿宋_GB2312" w:hAnsi="宋体" w:cs="宋体" w:hint="eastAsia"/>
                <w:sz w:val="20"/>
              </w:rPr>
              <w:t>1.</w:t>
            </w:r>
            <w:r>
              <w:rPr>
                <w:rFonts w:ascii="仿宋_GB2312" w:hAnsi="宋体" w:cs="宋体" w:hint="eastAsia"/>
                <w:sz w:val="20"/>
              </w:rPr>
              <w:t>受考评人为居住小区（包括物业管理小区、非物管小区等）的生活垃圾分类管理责任人；</w:t>
            </w:r>
            <w:r>
              <w:rPr>
                <w:rFonts w:ascii="仿宋_GB2312" w:hAnsi="宋体" w:cs="宋体" w:hint="eastAsia"/>
                <w:sz w:val="20"/>
              </w:rPr>
              <w:br/>
              <w:t>2.</w:t>
            </w:r>
            <w:r>
              <w:rPr>
                <w:rFonts w:ascii="仿宋_GB2312" w:hAnsi="宋体" w:cs="宋体" w:hint="eastAsia"/>
                <w:sz w:val="20"/>
              </w:rPr>
              <w:t>考评方式为查阅资料</w:t>
            </w:r>
            <w:r>
              <w:rPr>
                <w:rFonts w:ascii="仿宋_GB2312" w:hAnsi="宋体" w:cs="宋体" w:hint="eastAsia"/>
                <w:sz w:val="20"/>
              </w:rPr>
              <w:t>+</w:t>
            </w:r>
            <w:r>
              <w:rPr>
                <w:rFonts w:ascii="仿宋_GB2312" w:hAnsi="宋体" w:cs="宋体" w:hint="eastAsia"/>
                <w:sz w:val="20"/>
              </w:rPr>
              <w:t>现场检查，日常考评以现场检查为主，随机检查以查阅资料为主；</w:t>
            </w:r>
            <w:r>
              <w:rPr>
                <w:rFonts w:ascii="仿宋_GB2312" w:hAnsi="宋体" w:cs="宋体" w:hint="eastAsia"/>
                <w:sz w:val="20"/>
              </w:rPr>
              <w:br/>
              <w:t>3.</w:t>
            </w:r>
            <w:r>
              <w:rPr>
                <w:rFonts w:ascii="仿宋_GB2312" w:hAnsi="宋体" w:cs="宋体" w:hint="eastAsia"/>
                <w:sz w:val="20"/>
              </w:rPr>
              <w:t>考评成绩</w:t>
            </w:r>
            <w:r>
              <w:rPr>
                <w:rFonts w:ascii="仿宋_GB2312" w:hAnsi="宋体" w:cs="宋体" w:hint="eastAsia"/>
                <w:sz w:val="20"/>
              </w:rPr>
              <w:t>70</w:t>
            </w:r>
            <w:r>
              <w:rPr>
                <w:rFonts w:ascii="仿宋_GB2312" w:hAnsi="宋体" w:cs="宋体" w:hint="eastAsia"/>
                <w:sz w:val="20"/>
              </w:rPr>
              <w:t>分以上为“达标”等级，</w:t>
            </w:r>
            <w:r>
              <w:rPr>
                <w:rFonts w:ascii="仿宋_GB2312" w:hAnsi="宋体" w:cs="宋体" w:hint="eastAsia"/>
                <w:sz w:val="20"/>
              </w:rPr>
              <w:t>85</w:t>
            </w:r>
            <w:r>
              <w:rPr>
                <w:rFonts w:ascii="仿宋_GB2312" w:hAnsi="宋体" w:cs="宋体" w:hint="eastAsia"/>
                <w:sz w:val="20"/>
              </w:rPr>
              <w:t>分以上为“示范”等级。</w:t>
            </w:r>
          </w:p>
        </w:tc>
        <w:tc>
          <w:tcPr>
            <w:tcW w:w="576" w:type="dxa"/>
            <w:tcBorders>
              <w:top w:val="nil"/>
              <w:left w:val="nil"/>
              <w:bottom w:val="single" w:sz="4" w:space="0" w:color="auto"/>
              <w:right w:val="single" w:sz="4" w:space="0" w:color="auto"/>
            </w:tcBorders>
            <w:shd w:val="clear" w:color="auto" w:fill="auto"/>
            <w:noWrap/>
            <w:vAlign w:val="center"/>
          </w:tcPr>
          <w:p w:rsidR="005F05BD" w:rsidRDefault="00D354FA">
            <w:pPr>
              <w:widowControl/>
              <w:spacing w:line="240" w:lineRule="exact"/>
              <w:jc w:val="center"/>
              <w:rPr>
                <w:rFonts w:ascii="仿宋_GB2312" w:hAnsi="宋体" w:cs="宋体"/>
                <w:sz w:val="20"/>
              </w:rPr>
            </w:pPr>
            <w:r>
              <w:rPr>
                <w:rFonts w:ascii="仿宋_GB2312" w:hAnsi="宋体" w:cs="宋体" w:hint="eastAsia"/>
                <w:sz w:val="20"/>
              </w:rPr>
              <w:t>100</w:t>
            </w:r>
            <w:r>
              <w:rPr>
                <w:rFonts w:ascii="仿宋_GB2312" w:hAnsi="宋体" w:cs="宋体" w:hint="eastAsia"/>
                <w:sz w:val="20"/>
              </w:rPr>
              <w:t>分</w:t>
            </w:r>
          </w:p>
        </w:tc>
      </w:tr>
    </w:tbl>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 w:rsidR="005F05BD" w:rsidRDefault="005F05BD">
      <w:pPr>
        <w:spacing w:line="580" w:lineRule="exact"/>
        <w:jc w:val="left"/>
        <w:rPr>
          <w:rFonts w:ascii="仿宋_GB2312" w:eastAsia="仿宋_GB2312"/>
          <w:color w:val="000000"/>
          <w:sz w:val="32"/>
          <w:szCs w:val="32"/>
        </w:rPr>
      </w:pPr>
    </w:p>
    <w:tbl>
      <w:tblPr>
        <w:tblpPr w:leftFromText="180" w:rightFromText="180" w:vertAnchor="page" w:horzAnchor="margin" w:tblpY="14006"/>
        <w:tblW w:w="9039" w:type="dxa"/>
        <w:tblBorders>
          <w:top w:val="single" w:sz="4" w:space="0" w:color="auto"/>
          <w:bottom w:val="single" w:sz="4" w:space="0" w:color="auto"/>
          <w:insideH w:val="single" w:sz="4" w:space="0" w:color="auto"/>
          <w:insideV w:val="single" w:sz="4" w:space="0" w:color="auto"/>
        </w:tblBorders>
        <w:tblLayout w:type="fixed"/>
        <w:tblLook w:val="04A0"/>
      </w:tblPr>
      <w:tblGrid>
        <w:gridCol w:w="9039"/>
      </w:tblGrid>
      <w:tr w:rsidR="005F05BD">
        <w:tc>
          <w:tcPr>
            <w:tcW w:w="9039" w:type="dxa"/>
          </w:tcPr>
          <w:p w:rsidR="005F05BD" w:rsidRDefault="00D354FA">
            <w:pPr>
              <w:spacing w:line="400" w:lineRule="exact"/>
              <w:ind w:firstLineChars="50" w:firstLine="140"/>
              <w:rPr>
                <w:rFonts w:ascii="仿宋_GB2312" w:eastAsia="仿宋_GB2312"/>
                <w:sz w:val="28"/>
                <w:szCs w:val="28"/>
              </w:rPr>
            </w:pPr>
            <w:r>
              <w:rPr>
                <w:rFonts w:ascii="仿宋_GB2312" w:eastAsia="仿宋_GB2312" w:hint="eastAsia"/>
                <w:sz w:val="28"/>
                <w:szCs w:val="28"/>
              </w:rPr>
              <w:t>抄送：区垃分办。</w:t>
            </w:r>
          </w:p>
        </w:tc>
      </w:tr>
      <w:tr w:rsidR="005F05BD">
        <w:tc>
          <w:tcPr>
            <w:tcW w:w="9039" w:type="dxa"/>
          </w:tcPr>
          <w:p w:rsidR="005F05BD" w:rsidRDefault="00D354FA" w:rsidP="00CC14B4">
            <w:pPr>
              <w:spacing w:line="400" w:lineRule="exact"/>
              <w:ind w:firstLineChars="50" w:firstLine="140"/>
              <w:rPr>
                <w:rFonts w:ascii="仿宋_GB2312" w:eastAsia="仿宋_GB2312"/>
                <w:sz w:val="28"/>
                <w:szCs w:val="28"/>
              </w:rPr>
            </w:pPr>
            <w:r>
              <w:rPr>
                <w:rFonts w:ascii="仿宋_GB2312" w:eastAsia="仿宋_GB2312" w:hint="eastAsia"/>
                <w:sz w:val="28"/>
                <w:szCs w:val="28"/>
              </w:rPr>
              <w:t>中共丰泽区委泉秀街道工作委员会</w:t>
            </w:r>
            <w:r>
              <w:rPr>
                <w:rFonts w:ascii="仿宋_GB2312" w:eastAsia="仿宋_GB2312" w:hint="eastAsia"/>
                <w:sz w:val="28"/>
                <w:szCs w:val="28"/>
              </w:rPr>
              <w:t xml:space="preserve">           2021</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sidR="00CC14B4">
              <w:rPr>
                <w:rFonts w:ascii="仿宋_GB2312" w:eastAsia="仿宋_GB2312" w:hint="eastAsia"/>
                <w:sz w:val="28"/>
                <w:szCs w:val="28"/>
              </w:rPr>
              <w:t>20</w:t>
            </w:r>
            <w:r>
              <w:rPr>
                <w:rFonts w:ascii="仿宋_GB2312" w:eastAsia="仿宋_GB2312" w:hint="eastAsia"/>
                <w:sz w:val="28"/>
                <w:szCs w:val="28"/>
              </w:rPr>
              <w:t>日印发</w:t>
            </w:r>
          </w:p>
        </w:tc>
      </w:tr>
    </w:tbl>
    <w:p w:rsidR="005F05BD" w:rsidRDefault="005F05BD">
      <w:pPr>
        <w:tabs>
          <w:tab w:val="left" w:pos="490"/>
        </w:tabs>
        <w:spacing w:line="560" w:lineRule="exact"/>
        <w:ind w:left="1600" w:rightChars="-244" w:right="-512" w:hangingChars="500" w:hanging="1600"/>
        <w:rPr>
          <w:rFonts w:ascii="仿宋_GB2312" w:eastAsia="仿宋_GB2312"/>
          <w:color w:val="000000"/>
          <w:sz w:val="32"/>
          <w:szCs w:val="32"/>
        </w:rPr>
      </w:pPr>
    </w:p>
    <w:sectPr w:rsidR="005F05BD" w:rsidSect="005F05B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FA" w:rsidRDefault="00D354FA" w:rsidP="005F05BD">
      <w:r>
        <w:separator/>
      </w:r>
    </w:p>
  </w:endnote>
  <w:endnote w:type="continuationSeparator" w:id="0">
    <w:p w:rsidR="00D354FA" w:rsidRDefault="00D354FA" w:rsidP="005F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libri">
    <w:panose1 w:val="020F05020202040A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rPr>
        <w:sz w:val="28"/>
        <w:szCs w:val="28"/>
      </w:rPr>
    </w:pPr>
    <w:r>
      <w:rPr>
        <w:rFonts w:hint="eastAsia"/>
        <w:sz w:val="28"/>
        <w:szCs w:val="28"/>
      </w:rPr>
      <w:t xml:space="preserve">  </w:t>
    </w:r>
    <w:r>
      <w:rPr>
        <w:sz w:val="28"/>
        <w:szCs w:val="28"/>
      </w:rPr>
      <w:t>—</w:t>
    </w:r>
    <w:r w:rsidR="005F05BD">
      <w:rPr>
        <w:sz w:val="28"/>
        <w:szCs w:val="28"/>
      </w:rPr>
      <w:fldChar w:fldCharType="begin"/>
    </w:r>
    <w:r>
      <w:rPr>
        <w:sz w:val="28"/>
        <w:szCs w:val="28"/>
      </w:rPr>
      <w:instrText xml:space="preserve"> PAGE   \* MERGEFORMAT </w:instrText>
    </w:r>
    <w:r w:rsidR="005F05BD">
      <w:rPr>
        <w:sz w:val="28"/>
        <w:szCs w:val="28"/>
      </w:rPr>
      <w:fldChar w:fldCharType="separate"/>
    </w:r>
    <w:r w:rsidR="00CC14B4" w:rsidRPr="00CC14B4">
      <w:rPr>
        <w:noProof/>
        <w:sz w:val="28"/>
        <w:szCs w:val="28"/>
        <w:lang w:val="zh-CN"/>
      </w:rPr>
      <w:t>10</w:t>
    </w:r>
    <w:r w:rsidR="005F05BD">
      <w:rPr>
        <w:sz w:val="28"/>
        <w:szCs w:val="28"/>
      </w:rPr>
      <w:fldChar w:fldCharType="end"/>
    </w:r>
    <w:r>
      <w:rPr>
        <w:sz w:val="28"/>
        <w:szCs w:val="28"/>
      </w:rPr>
      <w:t>—</w:t>
    </w:r>
  </w:p>
  <w:p w:rsidR="005F05BD" w:rsidRDefault="005F05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D354FA">
    <w:pPr>
      <w:pStyle w:val="a5"/>
      <w:tabs>
        <w:tab w:val="left" w:pos="7638"/>
        <w:tab w:val="right" w:pos="8704"/>
      </w:tabs>
      <w:wordWrap w:val="0"/>
      <w:ind w:right="140"/>
      <w:rPr>
        <w:sz w:val="28"/>
        <w:szCs w:val="28"/>
      </w:rPr>
    </w:pPr>
    <w:r>
      <w:rPr>
        <w:rFonts w:hint="eastAsia"/>
        <w:sz w:val="28"/>
        <w:szCs w:val="28"/>
      </w:rPr>
      <w:t xml:space="preserve">                                                       </w:t>
    </w:r>
    <w:r>
      <w:rPr>
        <w:sz w:val="28"/>
        <w:szCs w:val="28"/>
      </w:rPr>
      <w:t>—</w:t>
    </w:r>
    <w:r w:rsidR="005F05BD">
      <w:rPr>
        <w:sz w:val="28"/>
        <w:szCs w:val="28"/>
      </w:rPr>
      <w:fldChar w:fldCharType="begin"/>
    </w:r>
    <w:r>
      <w:rPr>
        <w:sz w:val="28"/>
        <w:szCs w:val="28"/>
      </w:rPr>
      <w:instrText xml:space="preserve"> PAGE   \* MERGEFORMAT </w:instrText>
    </w:r>
    <w:r w:rsidR="005F05BD">
      <w:rPr>
        <w:sz w:val="28"/>
        <w:szCs w:val="28"/>
      </w:rPr>
      <w:fldChar w:fldCharType="separate"/>
    </w:r>
    <w:r w:rsidR="00CC14B4" w:rsidRPr="00CC14B4">
      <w:rPr>
        <w:noProof/>
        <w:sz w:val="28"/>
        <w:szCs w:val="28"/>
        <w:lang w:val="zh-CN"/>
      </w:rPr>
      <w:t>11</w:t>
    </w:r>
    <w:r w:rsidR="005F05BD">
      <w:rPr>
        <w:sz w:val="28"/>
        <w:szCs w:val="28"/>
      </w:rPr>
      <w:fldChar w:fldCharType="end"/>
    </w:r>
    <w:r>
      <w:rPr>
        <w:sz w:val="28"/>
        <w:szCs w:val="28"/>
      </w:rPr>
      <w:t>—</w:t>
    </w:r>
  </w:p>
  <w:p w:rsidR="005F05BD" w:rsidRDefault="005F05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5"/>
      <w:jc w:val="right"/>
    </w:pPr>
  </w:p>
  <w:p w:rsidR="005F05BD" w:rsidRDefault="005F05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FA" w:rsidRDefault="00D354FA" w:rsidP="005F05BD">
      <w:r>
        <w:separator/>
      </w:r>
    </w:p>
  </w:footnote>
  <w:footnote w:type="continuationSeparator" w:id="0">
    <w:p w:rsidR="00D354FA" w:rsidRDefault="00D354FA" w:rsidP="005F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BD" w:rsidRDefault="005F05BD">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A"/>
    <w:rsid w:val="0001120B"/>
    <w:rsid w:val="00012F3A"/>
    <w:rsid w:val="0001446B"/>
    <w:rsid w:val="000208E6"/>
    <w:rsid w:val="00022CEF"/>
    <w:rsid w:val="00024633"/>
    <w:rsid w:val="00037C28"/>
    <w:rsid w:val="000405D8"/>
    <w:rsid w:val="00044ABC"/>
    <w:rsid w:val="00056582"/>
    <w:rsid w:val="00060E63"/>
    <w:rsid w:val="00064B5E"/>
    <w:rsid w:val="00074CC6"/>
    <w:rsid w:val="00081353"/>
    <w:rsid w:val="00082362"/>
    <w:rsid w:val="00085C9F"/>
    <w:rsid w:val="000864BC"/>
    <w:rsid w:val="000A5A92"/>
    <w:rsid w:val="000B5AE2"/>
    <w:rsid w:val="000B749B"/>
    <w:rsid w:val="000C08DD"/>
    <w:rsid w:val="000C29D2"/>
    <w:rsid w:val="000C2B00"/>
    <w:rsid w:val="000C464A"/>
    <w:rsid w:val="000C7B57"/>
    <w:rsid w:val="000D0030"/>
    <w:rsid w:val="000D0C89"/>
    <w:rsid w:val="000D3A82"/>
    <w:rsid w:val="000D3F83"/>
    <w:rsid w:val="000D718F"/>
    <w:rsid w:val="000F47F7"/>
    <w:rsid w:val="001019A8"/>
    <w:rsid w:val="001076F6"/>
    <w:rsid w:val="001100C4"/>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1F26"/>
    <w:rsid w:val="001A25C4"/>
    <w:rsid w:val="001A6633"/>
    <w:rsid w:val="001A722D"/>
    <w:rsid w:val="001B0729"/>
    <w:rsid w:val="001C1C27"/>
    <w:rsid w:val="001D698D"/>
    <w:rsid w:val="001E2AA7"/>
    <w:rsid w:val="001E4701"/>
    <w:rsid w:val="001F172D"/>
    <w:rsid w:val="001F4649"/>
    <w:rsid w:val="001F5C73"/>
    <w:rsid w:val="001F5CE3"/>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624D3"/>
    <w:rsid w:val="002734B6"/>
    <w:rsid w:val="00274381"/>
    <w:rsid w:val="00275796"/>
    <w:rsid w:val="002817C6"/>
    <w:rsid w:val="002817EE"/>
    <w:rsid w:val="002828BA"/>
    <w:rsid w:val="002829B8"/>
    <w:rsid w:val="002841A2"/>
    <w:rsid w:val="00286B4D"/>
    <w:rsid w:val="00287F6C"/>
    <w:rsid w:val="00291ADF"/>
    <w:rsid w:val="00297379"/>
    <w:rsid w:val="002A67C3"/>
    <w:rsid w:val="002C0A98"/>
    <w:rsid w:val="002D0A63"/>
    <w:rsid w:val="002D0D17"/>
    <w:rsid w:val="002D4B42"/>
    <w:rsid w:val="002E00BC"/>
    <w:rsid w:val="002E4DAD"/>
    <w:rsid w:val="002F0DF3"/>
    <w:rsid w:val="002F4234"/>
    <w:rsid w:val="002F7356"/>
    <w:rsid w:val="00304783"/>
    <w:rsid w:val="00306D4F"/>
    <w:rsid w:val="0031551B"/>
    <w:rsid w:val="00317FF6"/>
    <w:rsid w:val="003255F3"/>
    <w:rsid w:val="003346FD"/>
    <w:rsid w:val="00337CBA"/>
    <w:rsid w:val="003433A5"/>
    <w:rsid w:val="00353B04"/>
    <w:rsid w:val="00357F49"/>
    <w:rsid w:val="00362364"/>
    <w:rsid w:val="00362879"/>
    <w:rsid w:val="00374C90"/>
    <w:rsid w:val="00377528"/>
    <w:rsid w:val="00381816"/>
    <w:rsid w:val="00383C94"/>
    <w:rsid w:val="0038594D"/>
    <w:rsid w:val="003862B2"/>
    <w:rsid w:val="003909C9"/>
    <w:rsid w:val="003920C1"/>
    <w:rsid w:val="003A1496"/>
    <w:rsid w:val="003B2631"/>
    <w:rsid w:val="003C1D1F"/>
    <w:rsid w:val="003C2EE0"/>
    <w:rsid w:val="003C6B60"/>
    <w:rsid w:val="003D04D1"/>
    <w:rsid w:val="003D13DF"/>
    <w:rsid w:val="003D194E"/>
    <w:rsid w:val="003D2859"/>
    <w:rsid w:val="003D76E5"/>
    <w:rsid w:val="003E26CA"/>
    <w:rsid w:val="003F0845"/>
    <w:rsid w:val="003F34E9"/>
    <w:rsid w:val="003F74FE"/>
    <w:rsid w:val="004025A7"/>
    <w:rsid w:val="00403215"/>
    <w:rsid w:val="00405B38"/>
    <w:rsid w:val="00410F0C"/>
    <w:rsid w:val="00414F41"/>
    <w:rsid w:val="0042038C"/>
    <w:rsid w:val="00423A17"/>
    <w:rsid w:val="00423ED6"/>
    <w:rsid w:val="004309EB"/>
    <w:rsid w:val="00430F4A"/>
    <w:rsid w:val="004348AD"/>
    <w:rsid w:val="00437118"/>
    <w:rsid w:val="0044058A"/>
    <w:rsid w:val="00441515"/>
    <w:rsid w:val="004439A3"/>
    <w:rsid w:val="00446AE6"/>
    <w:rsid w:val="004526FF"/>
    <w:rsid w:val="00460000"/>
    <w:rsid w:val="004628AF"/>
    <w:rsid w:val="00472E9D"/>
    <w:rsid w:val="00475802"/>
    <w:rsid w:val="0047726A"/>
    <w:rsid w:val="00486268"/>
    <w:rsid w:val="004878CD"/>
    <w:rsid w:val="004924C7"/>
    <w:rsid w:val="004A20DE"/>
    <w:rsid w:val="004A224E"/>
    <w:rsid w:val="004A461B"/>
    <w:rsid w:val="004A7D5F"/>
    <w:rsid w:val="004C2978"/>
    <w:rsid w:val="004F0F39"/>
    <w:rsid w:val="00501A96"/>
    <w:rsid w:val="00503CAE"/>
    <w:rsid w:val="00504B50"/>
    <w:rsid w:val="00504FE8"/>
    <w:rsid w:val="0050734A"/>
    <w:rsid w:val="0051045A"/>
    <w:rsid w:val="005136A2"/>
    <w:rsid w:val="00517702"/>
    <w:rsid w:val="00525F65"/>
    <w:rsid w:val="005337E6"/>
    <w:rsid w:val="005461AE"/>
    <w:rsid w:val="0055516A"/>
    <w:rsid w:val="0055775C"/>
    <w:rsid w:val="00561752"/>
    <w:rsid w:val="00566FE9"/>
    <w:rsid w:val="00574CEA"/>
    <w:rsid w:val="005753F5"/>
    <w:rsid w:val="00580E80"/>
    <w:rsid w:val="00587AB8"/>
    <w:rsid w:val="00591002"/>
    <w:rsid w:val="00591DCD"/>
    <w:rsid w:val="005A04A3"/>
    <w:rsid w:val="005A40A3"/>
    <w:rsid w:val="005A49E2"/>
    <w:rsid w:val="005A643B"/>
    <w:rsid w:val="005C4C94"/>
    <w:rsid w:val="005D025E"/>
    <w:rsid w:val="005D1117"/>
    <w:rsid w:val="005E5E4A"/>
    <w:rsid w:val="005F05BD"/>
    <w:rsid w:val="00600393"/>
    <w:rsid w:val="006011FA"/>
    <w:rsid w:val="006045FD"/>
    <w:rsid w:val="006063AF"/>
    <w:rsid w:val="00610F75"/>
    <w:rsid w:val="006173B6"/>
    <w:rsid w:val="0063049C"/>
    <w:rsid w:val="0064203E"/>
    <w:rsid w:val="00642174"/>
    <w:rsid w:val="00650357"/>
    <w:rsid w:val="00651AE0"/>
    <w:rsid w:val="00661B98"/>
    <w:rsid w:val="00664C05"/>
    <w:rsid w:val="00666DB8"/>
    <w:rsid w:val="00673169"/>
    <w:rsid w:val="00693281"/>
    <w:rsid w:val="00696F6D"/>
    <w:rsid w:val="006A1473"/>
    <w:rsid w:val="006A1EA8"/>
    <w:rsid w:val="006A2B87"/>
    <w:rsid w:val="006C02A1"/>
    <w:rsid w:val="006C6BC5"/>
    <w:rsid w:val="006C6D31"/>
    <w:rsid w:val="006D7611"/>
    <w:rsid w:val="006E2A6D"/>
    <w:rsid w:val="006E2DC6"/>
    <w:rsid w:val="006E2E2A"/>
    <w:rsid w:val="006E49CD"/>
    <w:rsid w:val="006E5857"/>
    <w:rsid w:val="006F6F9F"/>
    <w:rsid w:val="007032F9"/>
    <w:rsid w:val="00703D51"/>
    <w:rsid w:val="0070551D"/>
    <w:rsid w:val="00705C44"/>
    <w:rsid w:val="00733664"/>
    <w:rsid w:val="00733FA6"/>
    <w:rsid w:val="00734173"/>
    <w:rsid w:val="00734837"/>
    <w:rsid w:val="0073506A"/>
    <w:rsid w:val="007371E9"/>
    <w:rsid w:val="00740D4C"/>
    <w:rsid w:val="00741D6D"/>
    <w:rsid w:val="007437CC"/>
    <w:rsid w:val="00763266"/>
    <w:rsid w:val="00763579"/>
    <w:rsid w:val="00771678"/>
    <w:rsid w:val="007730EA"/>
    <w:rsid w:val="007736AB"/>
    <w:rsid w:val="00783036"/>
    <w:rsid w:val="00790814"/>
    <w:rsid w:val="00791AD0"/>
    <w:rsid w:val="00791FF1"/>
    <w:rsid w:val="00792589"/>
    <w:rsid w:val="00794DD5"/>
    <w:rsid w:val="007A39DF"/>
    <w:rsid w:val="007B1246"/>
    <w:rsid w:val="007B2508"/>
    <w:rsid w:val="007B6B51"/>
    <w:rsid w:val="007C016C"/>
    <w:rsid w:val="007C03FD"/>
    <w:rsid w:val="007C4B5E"/>
    <w:rsid w:val="007C4B6F"/>
    <w:rsid w:val="007D500A"/>
    <w:rsid w:val="007D5390"/>
    <w:rsid w:val="007E3830"/>
    <w:rsid w:val="007E3B55"/>
    <w:rsid w:val="007E6033"/>
    <w:rsid w:val="007F3E2B"/>
    <w:rsid w:val="007F595E"/>
    <w:rsid w:val="00814801"/>
    <w:rsid w:val="00820DCF"/>
    <w:rsid w:val="008538E1"/>
    <w:rsid w:val="008566DD"/>
    <w:rsid w:val="008639BB"/>
    <w:rsid w:val="00872568"/>
    <w:rsid w:val="0088394D"/>
    <w:rsid w:val="008846CD"/>
    <w:rsid w:val="00890B95"/>
    <w:rsid w:val="00892831"/>
    <w:rsid w:val="00895FB5"/>
    <w:rsid w:val="0089691F"/>
    <w:rsid w:val="00896B72"/>
    <w:rsid w:val="008A2ADE"/>
    <w:rsid w:val="008A6181"/>
    <w:rsid w:val="008B545D"/>
    <w:rsid w:val="008C04BD"/>
    <w:rsid w:val="008C37A7"/>
    <w:rsid w:val="008C681F"/>
    <w:rsid w:val="008E3960"/>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73C7"/>
    <w:rsid w:val="009476F3"/>
    <w:rsid w:val="00947C15"/>
    <w:rsid w:val="009505EF"/>
    <w:rsid w:val="009539B0"/>
    <w:rsid w:val="00954CD7"/>
    <w:rsid w:val="00956CFB"/>
    <w:rsid w:val="00964C2F"/>
    <w:rsid w:val="00971DA6"/>
    <w:rsid w:val="00972D23"/>
    <w:rsid w:val="0097703D"/>
    <w:rsid w:val="0098009D"/>
    <w:rsid w:val="0099264F"/>
    <w:rsid w:val="009946FA"/>
    <w:rsid w:val="009A3E27"/>
    <w:rsid w:val="009A4B34"/>
    <w:rsid w:val="009B3E68"/>
    <w:rsid w:val="009B775A"/>
    <w:rsid w:val="009C77CA"/>
    <w:rsid w:val="009C7B6C"/>
    <w:rsid w:val="009D3AE2"/>
    <w:rsid w:val="009E0220"/>
    <w:rsid w:val="009E23B5"/>
    <w:rsid w:val="009E2599"/>
    <w:rsid w:val="00A11D9C"/>
    <w:rsid w:val="00A310A0"/>
    <w:rsid w:val="00A42462"/>
    <w:rsid w:val="00A450E7"/>
    <w:rsid w:val="00A479E6"/>
    <w:rsid w:val="00A52224"/>
    <w:rsid w:val="00A535EF"/>
    <w:rsid w:val="00A60AB5"/>
    <w:rsid w:val="00A633BB"/>
    <w:rsid w:val="00A63598"/>
    <w:rsid w:val="00A63CBB"/>
    <w:rsid w:val="00A66F58"/>
    <w:rsid w:val="00A80925"/>
    <w:rsid w:val="00A815F4"/>
    <w:rsid w:val="00A83F57"/>
    <w:rsid w:val="00A86CE9"/>
    <w:rsid w:val="00A90CBC"/>
    <w:rsid w:val="00A91C4D"/>
    <w:rsid w:val="00A971B3"/>
    <w:rsid w:val="00AA3D18"/>
    <w:rsid w:val="00AA5128"/>
    <w:rsid w:val="00AB0DF0"/>
    <w:rsid w:val="00AC5E6E"/>
    <w:rsid w:val="00AC6834"/>
    <w:rsid w:val="00AD1DB9"/>
    <w:rsid w:val="00AF33DC"/>
    <w:rsid w:val="00AF45D5"/>
    <w:rsid w:val="00B007BE"/>
    <w:rsid w:val="00B0184A"/>
    <w:rsid w:val="00B05C3F"/>
    <w:rsid w:val="00B1406E"/>
    <w:rsid w:val="00B15348"/>
    <w:rsid w:val="00B17078"/>
    <w:rsid w:val="00B21A35"/>
    <w:rsid w:val="00B21EEC"/>
    <w:rsid w:val="00B241B8"/>
    <w:rsid w:val="00B34AC2"/>
    <w:rsid w:val="00B46E0B"/>
    <w:rsid w:val="00B52BBF"/>
    <w:rsid w:val="00B55C34"/>
    <w:rsid w:val="00B5702E"/>
    <w:rsid w:val="00B66A33"/>
    <w:rsid w:val="00B70261"/>
    <w:rsid w:val="00B756F4"/>
    <w:rsid w:val="00B77EBF"/>
    <w:rsid w:val="00B81463"/>
    <w:rsid w:val="00B90E7F"/>
    <w:rsid w:val="00B973E9"/>
    <w:rsid w:val="00BA0E4E"/>
    <w:rsid w:val="00BB776B"/>
    <w:rsid w:val="00BC4B63"/>
    <w:rsid w:val="00BD0F65"/>
    <w:rsid w:val="00BE2A3F"/>
    <w:rsid w:val="00BE5DA4"/>
    <w:rsid w:val="00BE767B"/>
    <w:rsid w:val="00BF2349"/>
    <w:rsid w:val="00BF3573"/>
    <w:rsid w:val="00BF387B"/>
    <w:rsid w:val="00BF4695"/>
    <w:rsid w:val="00BF5AB8"/>
    <w:rsid w:val="00C02D1E"/>
    <w:rsid w:val="00C059F9"/>
    <w:rsid w:val="00C06165"/>
    <w:rsid w:val="00C11B7D"/>
    <w:rsid w:val="00C140E8"/>
    <w:rsid w:val="00C1440C"/>
    <w:rsid w:val="00C147D5"/>
    <w:rsid w:val="00C17090"/>
    <w:rsid w:val="00C2004E"/>
    <w:rsid w:val="00C34FCF"/>
    <w:rsid w:val="00C41654"/>
    <w:rsid w:val="00C4181D"/>
    <w:rsid w:val="00C43855"/>
    <w:rsid w:val="00C479EE"/>
    <w:rsid w:val="00C57819"/>
    <w:rsid w:val="00C613E2"/>
    <w:rsid w:val="00C65490"/>
    <w:rsid w:val="00C659B5"/>
    <w:rsid w:val="00C67166"/>
    <w:rsid w:val="00C70AB9"/>
    <w:rsid w:val="00C71314"/>
    <w:rsid w:val="00C7273D"/>
    <w:rsid w:val="00C72CCB"/>
    <w:rsid w:val="00C848D6"/>
    <w:rsid w:val="00C8574F"/>
    <w:rsid w:val="00CA18D5"/>
    <w:rsid w:val="00CB489F"/>
    <w:rsid w:val="00CB4BF1"/>
    <w:rsid w:val="00CC14B4"/>
    <w:rsid w:val="00CC2D0B"/>
    <w:rsid w:val="00CC5E65"/>
    <w:rsid w:val="00CD15E2"/>
    <w:rsid w:val="00CD734B"/>
    <w:rsid w:val="00CD7BE4"/>
    <w:rsid w:val="00CE1059"/>
    <w:rsid w:val="00CE29C4"/>
    <w:rsid w:val="00CF1700"/>
    <w:rsid w:val="00CF78C4"/>
    <w:rsid w:val="00D14E3B"/>
    <w:rsid w:val="00D227FB"/>
    <w:rsid w:val="00D24281"/>
    <w:rsid w:val="00D354FA"/>
    <w:rsid w:val="00D3689F"/>
    <w:rsid w:val="00D37A44"/>
    <w:rsid w:val="00D44C29"/>
    <w:rsid w:val="00D47055"/>
    <w:rsid w:val="00D53898"/>
    <w:rsid w:val="00D67737"/>
    <w:rsid w:val="00D710D2"/>
    <w:rsid w:val="00D7327A"/>
    <w:rsid w:val="00D73773"/>
    <w:rsid w:val="00D8581C"/>
    <w:rsid w:val="00D90C5F"/>
    <w:rsid w:val="00D913A2"/>
    <w:rsid w:val="00D95B2A"/>
    <w:rsid w:val="00D97B1A"/>
    <w:rsid w:val="00DA0024"/>
    <w:rsid w:val="00DA0338"/>
    <w:rsid w:val="00DA22CA"/>
    <w:rsid w:val="00DA40EC"/>
    <w:rsid w:val="00DA60B4"/>
    <w:rsid w:val="00DB0335"/>
    <w:rsid w:val="00DB1987"/>
    <w:rsid w:val="00DB4AD3"/>
    <w:rsid w:val="00DB722F"/>
    <w:rsid w:val="00DC4F28"/>
    <w:rsid w:val="00DC5B8B"/>
    <w:rsid w:val="00DC62D0"/>
    <w:rsid w:val="00DC7029"/>
    <w:rsid w:val="00DF22EF"/>
    <w:rsid w:val="00DF73AA"/>
    <w:rsid w:val="00E04140"/>
    <w:rsid w:val="00E13C72"/>
    <w:rsid w:val="00E2227C"/>
    <w:rsid w:val="00E34759"/>
    <w:rsid w:val="00E42A1C"/>
    <w:rsid w:val="00E45FEF"/>
    <w:rsid w:val="00E55C67"/>
    <w:rsid w:val="00E55D8C"/>
    <w:rsid w:val="00E55EA6"/>
    <w:rsid w:val="00E5707E"/>
    <w:rsid w:val="00E57222"/>
    <w:rsid w:val="00E631EC"/>
    <w:rsid w:val="00E77268"/>
    <w:rsid w:val="00E87FE6"/>
    <w:rsid w:val="00E919B5"/>
    <w:rsid w:val="00E946CA"/>
    <w:rsid w:val="00EA0366"/>
    <w:rsid w:val="00EA7A3C"/>
    <w:rsid w:val="00EB12AC"/>
    <w:rsid w:val="00EB203F"/>
    <w:rsid w:val="00EB2F78"/>
    <w:rsid w:val="00EB45E7"/>
    <w:rsid w:val="00EC5D45"/>
    <w:rsid w:val="00ED0AE1"/>
    <w:rsid w:val="00EE1907"/>
    <w:rsid w:val="00EF21D1"/>
    <w:rsid w:val="00EF5A9D"/>
    <w:rsid w:val="00EF633F"/>
    <w:rsid w:val="00EF6650"/>
    <w:rsid w:val="00F029B5"/>
    <w:rsid w:val="00F032F5"/>
    <w:rsid w:val="00F04B15"/>
    <w:rsid w:val="00F118CD"/>
    <w:rsid w:val="00F16DEC"/>
    <w:rsid w:val="00F25ABA"/>
    <w:rsid w:val="00F3028F"/>
    <w:rsid w:val="00F327D8"/>
    <w:rsid w:val="00F41624"/>
    <w:rsid w:val="00F421BE"/>
    <w:rsid w:val="00F43631"/>
    <w:rsid w:val="00F52DC2"/>
    <w:rsid w:val="00F537AA"/>
    <w:rsid w:val="00F55452"/>
    <w:rsid w:val="00F556C2"/>
    <w:rsid w:val="00F63706"/>
    <w:rsid w:val="00F66C40"/>
    <w:rsid w:val="00F717DE"/>
    <w:rsid w:val="00F7233C"/>
    <w:rsid w:val="00F74847"/>
    <w:rsid w:val="00F778F1"/>
    <w:rsid w:val="00F80E58"/>
    <w:rsid w:val="00F821E4"/>
    <w:rsid w:val="00F835AC"/>
    <w:rsid w:val="00F8485E"/>
    <w:rsid w:val="00F85993"/>
    <w:rsid w:val="00F87F43"/>
    <w:rsid w:val="00F9051F"/>
    <w:rsid w:val="00FA32D5"/>
    <w:rsid w:val="00FB08A8"/>
    <w:rsid w:val="00FB0E86"/>
    <w:rsid w:val="00FB20D2"/>
    <w:rsid w:val="00FB6815"/>
    <w:rsid w:val="00FC2FE0"/>
    <w:rsid w:val="00FC35D6"/>
    <w:rsid w:val="00FC54F4"/>
    <w:rsid w:val="00FD6F1B"/>
    <w:rsid w:val="00FE1AFC"/>
    <w:rsid w:val="00FE75B1"/>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9175561"/>
    <w:rsid w:val="3A6A3A15"/>
    <w:rsid w:val="3CCB3A6D"/>
    <w:rsid w:val="3E472C25"/>
    <w:rsid w:val="41B051C0"/>
    <w:rsid w:val="4221770A"/>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7B3330F"/>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B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F05BD"/>
    <w:pPr>
      <w:ind w:leftChars="2500" w:left="100"/>
    </w:pPr>
  </w:style>
  <w:style w:type="paragraph" w:styleId="a4">
    <w:name w:val="Balloon Text"/>
    <w:basedOn w:val="a"/>
    <w:link w:val="Char0"/>
    <w:uiPriority w:val="99"/>
    <w:semiHidden/>
    <w:qFormat/>
    <w:rsid w:val="005F05BD"/>
    <w:rPr>
      <w:sz w:val="18"/>
      <w:szCs w:val="18"/>
    </w:rPr>
  </w:style>
  <w:style w:type="paragraph" w:styleId="a5">
    <w:name w:val="footer"/>
    <w:basedOn w:val="a"/>
    <w:link w:val="Char1"/>
    <w:uiPriority w:val="99"/>
    <w:qFormat/>
    <w:rsid w:val="005F05BD"/>
    <w:pPr>
      <w:tabs>
        <w:tab w:val="center" w:pos="4153"/>
        <w:tab w:val="right" w:pos="8306"/>
      </w:tabs>
      <w:snapToGrid w:val="0"/>
      <w:jc w:val="left"/>
    </w:pPr>
    <w:rPr>
      <w:sz w:val="18"/>
      <w:szCs w:val="18"/>
    </w:rPr>
  </w:style>
  <w:style w:type="paragraph" w:styleId="a6">
    <w:name w:val="header"/>
    <w:basedOn w:val="a"/>
    <w:link w:val="Char2"/>
    <w:uiPriority w:val="99"/>
    <w:qFormat/>
    <w:rsid w:val="005F05B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uiPriority w:val="99"/>
    <w:rsid w:val="005F05BD"/>
    <w:pPr>
      <w:spacing w:before="100" w:beforeAutospacing="1" w:after="100" w:afterAutospacing="1"/>
      <w:jc w:val="left"/>
    </w:pPr>
    <w:rPr>
      <w:kern w:val="0"/>
      <w:sz w:val="24"/>
      <w:szCs w:val="24"/>
    </w:rPr>
  </w:style>
  <w:style w:type="table" w:styleId="a8">
    <w:name w:val="Table Grid"/>
    <w:basedOn w:val="a1"/>
    <w:uiPriority w:val="99"/>
    <w:rsid w:val="005F05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5F05BD"/>
    <w:rPr>
      <w:rFonts w:cs="Times New Roman"/>
      <w:b/>
      <w:bCs/>
    </w:rPr>
  </w:style>
  <w:style w:type="character" w:styleId="aa">
    <w:name w:val="page number"/>
    <w:basedOn w:val="a0"/>
    <w:uiPriority w:val="99"/>
    <w:rsid w:val="005F05BD"/>
    <w:rPr>
      <w:rFonts w:cs="Times New Roman"/>
    </w:rPr>
  </w:style>
  <w:style w:type="character" w:styleId="ab">
    <w:name w:val="Hyperlink"/>
    <w:basedOn w:val="a0"/>
    <w:uiPriority w:val="99"/>
    <w:rsid w:val="005F05BD"/>
    <w:rPr>
      <w:rFonts w:cs="Times New Roman"/>
      <w:color w:val="0000FF"/>
      <w:u w:val="single"/>
    </w:rPr>
  </w:style>
  <w:style w:type="character" w:customStyle="1" w:styleId="Char">
    <w:name w:val="日期 Char"/>
    <w:basedOn w:val="a0"/>
    <w:link w:val="a3"/>
    <w:uiPriority w:val="99"/>
    <w:qFormat/>
    <w:locked/>
    <w:rsid w:val="005F05BD"/>
    <w:rPr>
      <w:rFonts w:cs="Times New Roman"/>
      <w:kern w:val="2"/>
      <w:sz w:val="24"/>
      <w:szCs w:val="24"/>
    </w:rPr>
  </w:style>
  <w:style w:type="character" w:customStyle="1" w:styleId="Char0">
    <w:name w:val="批注框文本 Char"/>
    <w:basedOn w:val="a0"/>
    <w:link w:val="a4"/>
    <w:uiPriority w:val="99"/>
    <w:qFormat/>
    <w:locked/>
    <w:rsid w:val="005F05BD"/>
    <w:rPr>
      <w:rFonts w:cs="Times New Roman"/>
      <w:kern w:val="2"/>
      <w:sz w:val="18"/>
      <w:szCs w:val="18"/>
    </w:rPr>
  </w:style>
  <w:style w:type="character" w:customStyle="1" w:styleId="Char1">
    <w:name w:val="页脚 Char"/>
    <w:basedOn w:val="a0"/>
    <w:link w:val="a5"/>
    <w:uiPriority w:val="99"/>
    <w:qFormat/>
    <w:locked/>
    <w:rsid w:val="005F05BD"/>
    <w:rPr>
      <w:rFonts w:cs="Times New Roman"/>
      <w:kern w:val="2"/>
      <w:sz w:val="24"/>
      <w:szCs w:val="24"/>
    </w:rPr>
  </w:style>
  <w:style w:type="character" w:customStyle="1" w:styleId="Char2">
    <w:name w:val="页眉 Char"/>
    <w:basedOn w:val="a0"/>
    <w:link w:val="a6"/>
    <w:uiPriority w:val="99"/>
    <w:qFormat/>
    <w:locked/>
    <w:rsid w:val="005F05BD"/>
    <w:rPr>
      <w:rFonts w:cs="Times New Roman"/>
      <w:kern w:val="2"/>
      <w:sz w:val="24"/>
      <w:szCs w:val="24"/>
    </w:rPr>
  </w:style>
  <w:style w:type="paragraph" w:customStyle="1" w:styleId="1">
    <w:name w:val="修正1行"/>
    <w:basedOn w:val="a"/>
    <w:next w:val="a"/>
    <w:uiPriority w:val="99"/>
    <w:rsid w:val="005F05BD"/>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uiPriority w:val="99"/>
    <w:rsid w:val="005F05BD"/>
    <w:pPr>
      <w:ind w:left="432" w:hanging="432"/>
    </w:pPr>
    <w:rPr>
      <w:sz w:val="24"/>
      <w:szCs w:val="24"/>
    </w:rPr>
  </w:style>
  <w:style w:type="character" w:customStyle="1" w:styleId="GB23121">
    <w:name w:val="样式 仿宋_GB23121"/>
    <w:basedOn w:val="a0"/>
    <w:uiPriority w:val="99"/>
    <w:rsid w:val="005F05BD"/>
    <w:rPr>
      <w:rFonts w:ascii="仿宋_GB2312" w:eastAsia="仿宋_GB2312" w:hAnsi="仿宋_GB2312" w:cs="仿宋_GB2312"/>
      <w:sz w:val="32"/>
      <w:szCs w:val="32"/>
    </w:rPr>
  </w:style>
  <w:style w:type="paragraph" w:customStyle="1" w:styleId="content5">
    <w:name w:val="content5"/>
    <w:basedOn w:val="a"/>
    <w:uiPriority w:val="99"/>
    <w:rsid w:val="005F05BD"/>
    <w:pPr>
      <w:widowControl/>
      <w:spacing w:before="100" w:beforeAutospacing="1" w:after="100" w:afterAutospacing="1"/>
      <w:jc w:val="left"/>
    </w:pPr>
    <w:rPr>
      <w:rFonts w:ascii="宋体" w:hAnsi="宋体" w:cs="宋体"/>
      <w:color w:val="000000"/>
      <w:kern w:val="0"/>
      <w:sz w:val="24"/>
      <w:szCs w:val="24"/>
    </w:rPr>
  </w:style>
  <w:style w:type="paragraph" w:styleId="ac">
    <w:name w:val="List Paragraph"/>
    <w:basedOn w:val="a"/>
    <w:uiPriority w:val="99"/>
    <w:qFormat/>
    <w:rsid w:val="005F05BD"/>
    <w:pPr>
      <w:ind w:firstLineChars="200" w:firstLine="420"/>
    </w:pPr>
  </w:style>
  <w:style w:type="paragraph" w:customStyle="1" w:styleId="DefaultParagraphFontParaChar">
    <w:name w:val="Default Paragraph Font Para Char"/>
    <w:basedOn w:val="a"/>
    <w:uiPriority w:val="99"/>
    <w:rsid w:val="005F05BD"/>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5F05BD"/>
    <w:pPr>
      <w:tabs>
        <w:tab w:val="left" w:pos="907"/>
      </w:tabs>
      <w:spacing w:line="540" w:lineRule="exact"/>
      <w:ind w:left="907" w:firstLineChars="200" w:hanging="453"/>
    </w:pPr>
    <w:rPr>
      <w:rFonts w:ascii="Calibri" w:hAnsi="Calibri" w:cs="Calibri"/>
      <w:sz w:val="24"/>
      <w:szCs w:val="24"/>
    </w:rPr>
  </w:style>
  <w:style w:type="paragraph" w:customStyle="1" w:styleId="10">
    <w:name w:val="无间隔1"/>
    <w:qFormat/>
    <w:rsid w:val="005F05BD"/>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1123</Words>
  <Characters>6407</Characters>
  <Application>Microsoft Office Word</Application>
  <DocSecurity>0</DocSecurity>
  <Lines>53</Lines>
  <Paragraphs>15</Paragraphs>
  <ScaleCrop>false</ScaleCrop>
  <Company>微软中国</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creator>微软用户</dc:creator>
  <cp:lastModifiedBy>Administrator</cp:lastModifiedBy>
  <cp:revision>85</cp:revision>
  <cp:lastPrinted>2021-07-28T01:56:00Z</cp:lastPrinted>
  <dcterms:created xsi:type="dcterms:W3CDTF">2019-01-14T04:55:00Z</dcterms:created>
  <dcterms:modified xsi:type="dcterms:W3CDTF">2021-07-28T02:57:00Z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5A003466AF574B42A7144A4F9B2AE7C8</vt:lpwstr>
  </property>
</Properties>
</file>