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</w:tabs>
        <w:spacing w:line="800" w:lineRule="exact"/>
        <w:jc w:val="center"/>
        <w:rPr>
          <w:rFonts w:ascii="宋体"/>
          <w:b/>
          <w:bCs/>
          <w:sz w:val="44"/>
          <w:szCs w:val="44"/>
        </w:rPr>
      </w:pPr>
    </w:p>
    <w:p>
      <w:pPr>
        <w:spacing w:line="800" w:lineRule="exact"/>
        <w:jc w:val="center"/>
        <w:rPr>
          <w:rFonts w:ascii="宋体"/>
          <w:b/>
          <w:bCs/>
          <w:sz w:val="44"/>
          <w:szCs w:val="44"/>
        </w:rPr>
      </w:pPr>
    </w:p>
    <w:p>
      <w:pPr>
        <w:tabs>
          <w:tab w:val="left" w:pos="375"/>
        </w:tabs>
        <w:spacing w:line="24" w:lineRule="auto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ab/>
      </w:r>
    </w:p>
    <w:p>
      <w:pPr>
        <w:tabs>
          <w:tab w:val="left" w:pos="375"/>
        </w:tabs>
        <w:spacing w:line="400" w:lineRule="exact"/>
        <w:jc w:val="center"/>
        <w:rPr>
          <w:rFonts w:ascii="楷体_GB2312" w:hAnsi="宋体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泉丰泉办〔2022〕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480" w:lineRule="exact"/>
        <w:ind w:firstLine="160" w:firstLineChars="50"/>
        <w:rPr>
          <w:rFonts w:eastAsia="仿宋_GB2312"/>
          <w:sz w:val="32"/>
          <w:szCs w:val="32"/>
        </w:rPr>
      </w:pPr>
    </w:p>
    <w:p>
      <w:pPr>
        <w:spacing w:line="480" w:lineRule="exact"/>
        <w:ind w:firstLine="221" w:firstLineChars="50"/>
        <w:rPr>
          <w:rFonts w:ascii="方正小标宋简体" w:hAnsi="宋体" w:eastAsia="方正小标宋简体"/>
          <w:b/>
          <w:bCs/>
          <w:sz w:val="44"/>
          <w:szCs w:val="44"/>
        </w:rPr>
      </w:pPr>
    </w:p>
    <w:p>
      <w:pPr>
        <w:spacing w:line="579" w:lineRule="exact"/>
        <w:rPr>
          <w:rFonts w:ascii="方正小标宋简体" w:hAnsi="宋体" w:eastAsia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关于印发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泉秀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街道20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长制工作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年度任务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计划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责任问题清单的通知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</w:t>
      </w:r>
    </w:p>
    <w:p>
      <w:pPr>
        <w:keepNext w:val="0"/>
        <w:keepLines w:val="0"/>
        <w:pageBreakBefore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各</w:t>
      </w:r>
      <w:r>
        <w:rPr>
          <w:rFonts w:hint="eastAsia" w:ascii="仿宋_GB2312" w:eastAsia="仿宋_GB2312"/>
          <w:sz w:val="32"/>
          <w:szCs w:val="32"/>
        </w:rPr>
        <w:t>相关社区居委会，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街道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有关部门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为更好地贯彻落实省、市、区河</w:t>
      </w:r>
      <w:r>
        <w:rPr>
          <w:rFonts w:hint="eastAsia" w:ascii="仿宋_GB2312" w:eastAsia="仿宋_GB2312"/>
          <w:sz w:val="32"/>
          <w:szCs w:val="32"/>
          <w:lang w:eastAsia="zh-CN"/>
        </w:rPr>
        <w:t>湖</w:t>
      </w:r>
      <w:r>
        <w:rPr>
          <w:rFonts w:hint="eastAsia" w:ascii="仿宋_GB2312" w:eastAsia="仿宋_GB2312"/>
          <w:sz w:val="32"/>
          <w:szCs w:val="32"/>
        </w:rPr>
        <w:t>长制工作要求，</w:t>
      </w:r>
      <w:r>
        <w:rPr>
          <w:rFonts w:hint="eastAsia" w:ascii="仿宋_GB2312" w:hAnsi="宋体" w:eastAsia="仿宋_GB2312"/>
          <w:sz w:val="32"/>
          <w:szCs w:val="32"/>
        </w:rPr>
        <w:t>进一步推进河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湖</w:t>
      </w:r>
      <w:r>
        <w:rPr>
          <w:rFonts w:hint="eastAsia" w:ascii="仿宋_GB2312" w:hAnsi="宋体" w:eastAsia="仿宋_GB2312"/>
          <w:sz w:val="32"/>
          <w:szCs w:val="32"/>
        </w:rPr>
        <w:t>长制工作落实，明确责任，梳理问题，现制定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泉秀</w:t>
      </w:r>
      <w:r>
        <w:rPr>
          <w:rFonts w:hint="eastAsia" w:ascii="仿宋_GB2312" w:hAnsi="宋体" w:eastAsia="仿宋_GB2312"/>
          <w:sz w:val="32"/>
          <w:szCs w:val="32"/>
        </w:rPr>
        <w:t>街道</w:t>
      </w: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sz w:val="32"/>
          <w:szCs w:val="32"/>
        </w:rPr>
        <w:t>年河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湖</w:t>
      </w:r>
      <w:r>
        <w:rPr>
          <w:rFonts w:hint="eastAsia" w:ascii="仿宋_GB2312" w:hAnsi="宋体" w:eastAsia="仿宋_GB2312"/>
          <w:sz w:val="32"/>
          <w:szCs w:val="32"/>
        </w:rPr>
        <w:t>长制工作年度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任务</w:t>
      </w:r>
      <w:r>
        <w:rPr>
          <w:rFonts w:hint="eastAsia" w:ascii="仿宋_GB2312" w:hAnsi="宋体" w:eastAsia="仿宋_GB2312"/>
          <w:sz w:val="32"/>
          <w:szCs w:val="32"/>
        </w:rPr>
        <w:t>计划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与</w:t>
      </w:r>
      <w:r>
        <w:rPr>
          <w:rFonts w:hint="eastAsia" w:ascii="仿宋_GB2312" w:hAnsi="宋体" w:eastAsia="仿宋_GB2312"/>
          <w:sz w:val="32"/>
          <w:szCs w:val="32"/>
        </w:rPr>
        <w:t>责任问题清单，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印发给你们，请认真贯彻执行。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泉秀</w:t>
      </w:r>
      <w:r>
        <w:rPr>
          <w:rFonts w:hint="eastAsia" w:ascii="仿宋_GB2312" w:hAnsi="宋体" w:eastAsia="仿宋_GB2312"/>
          <w:sz w:val="32"/>
          <w:szCs w:val="32"/>
        </w:rPr>
        <w:t>街道</w:t>
      </w:r>
      <w:r>
        <w:rPr>
          <w:rFonts w:ascii="仿宋_GB2312" w:hAnsi="宋体" w:eastAsia="仿宋_GB2312"/>
          <w:bCs/>
          <w:sz w:val="32"/>
          <w:szCs w:val="32"/>
        </w:rPr>
        <w:t>20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>河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湖</w:t>
      </w:r>
      <w:r>
        <w:rPr>
          <w:rFonts w:hint="eastAsia" w:ascii="仿宋_GB2312" w:hAnsi="宋体" w:eastAsia="仿宋_GB2312"/>
          <w:sz w:val="32"/>
          <w:szCs w:val="32"/>
        </w:rPr>
        <w:t>长制工作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年度任务</w:t>
      </w:r>
      <w:r>
        <w:rPr>
          <w:rFonts w:hint="eastAsia" w:ascii="仿宋_GB2312" w:hAnsi="宋体" w:eastAsia="仿宋_GB2312"/>
          <w:sz w:val="32"/>
          <w:szCs w:val="32"/>
        </w:rPr>
        <w:t>计划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表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" w:leftChars="80" w:firstLine="1280" w:firstLineChars="4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泉秀</w:t>
      </w:r>
      <w:r>
        <w:rPr>
          <w:rFonts w:hint="eastAsia" w:ascii="仿宋_GB2312" w:hAnsi="宋体" w:eastAsia="仿宋_GB2312"/>
          <w:bCs/>
          <w:sz w:val="32"/>
          <w:szCs w:val="32"/>
        </w:rPr>
        <w:t>街道</w:t>
      </w:r>
      <w:r>
        <w:rPr>
          <w:rFonts w:ascii="仿宋_GB2312" w:hAnsi="宋体" w:eastAsia="仿宋_GB2312"/>
          <w:bCs/>
          <w:sz w:val="32"/>
          <w:szCs w:val="32"/>
        </w:rPr>
        <w:t>20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bCs/>
          <w:sz w:val="32"/>
          <w:szCs w:val="32"/>
        </w:rPr>
        <w:t>年河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湖</w:t>
      </w:r>
      <w:r>
        <w:rPr>
          <w:rFonts w:hint="eastAsia" w:ascii="仿宋_GB2312" w:hAnsi="宋体" w:eastAsia="仿宋_GB2312"/>
          <w:bCs/>
          <w:sz w:val="32"/>
          <w:szCs w:val="32"/>
        </w:rPr>
        <w:t>长制工作责任问题清单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" w:eastAsia="仿宋_GB2312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" w:eastAsia="仿宋_GB2312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丰泽区人民政府泉秀街道办事处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ind w:firstLine="5120" w:firstLineChars="1600"/>
        <w:textAlignment w:val="auto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2022年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268" w:right="1474" w:bottom="1985" w:left="1588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泉秀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街道20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长制工作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年度任务计划表</w:t>
      </w:r>
    </w:p>
    <w:tbl>
      <w:tblPr>
        <w:tblStyle w:val="16"/>
        <w:tblW w:w="13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8306"/>
        <w:gridCol w:w="1465"/>
        <w:gridCol w:w="12"/>
        <w:gridCol w:w="2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kern w:val="0"/>
                <w:szCs w:val="21"/>
                <w:fitText w:val="420" w:id="0"/>
              </w:rPr>
            </w:pPr>
            <w:r>
              <w:rPr>
                <w:rFonts w:hint="eastAsia" w:ascii="黑体" w:hAnsi="黑体" w:eastAsia="黑体"/>
                <w:spacing w:val="0"/>
                <w:kern w:val="0"/>
                <w:szCs w:val="21"/>
                <w:fitText w:val="420" w:id="0"/>
              </w:rPr>
              <w:t>序号</w:t>
            </w:r>
          </w:p>
        </w:tc>
        <w:tc>
          <w:tcPr>
            <w:tcW w:w="83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pacing w:val="210"/>
                <w:kern w:val="0"/>
                <w:szCs w:val="21"/>
                <w:fitText w:val="420" w:id="1"/>
              </w:rPr>
            </w:pPr>
            <w:r>
              <w:rPr>
                <w:rFonts w:hint="eastAsia" w:ascii="黑体" w:hAnsi="黑体" w:eastAsia="黑体"/>
                <w:color w:val="auto"/>
                <w:spacing w:val="0"/>
                <w:w w:val="50"/>
                <w:kern w:val="0"/>
                <w:szCs w:val="21"/>
                <w:fitText w:val="420" w:id="1"/>
              </w:rPr>
              <w:t>主要任务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kern w:val="0"/>
                <w:szCs w:val="21"/>
                <w:fitText w:val="420" w:id="2"/>
              </w:rPr>
            </w:pPr>
            <w:r>
              <w:rPr>
                <w:rFonts w:hint="eastAsia" w:ascii="黑体" w:hAnsi="黑体" w:eastAsia="黑体"/>
                <w:spacing w:val="0"/>
                <w:w w:val="50"/>
                <w:kern w:val="0"/>
                <w:szCs w:val="21"/>
                <w:fitText w:val="420" w:id="2"/>
              </w:rPr>
              <w:t>主办单位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kern w:val="0"/>
                <w:szCs w:val="21"/>
                <w:fitText w:val="420" w:id="3"/>
              </w:rPr>
            </w:pPr>
            <w:r>
              <w:rPr>
                <w:rFonts w:hint="eastAsia" w:ascii="黑体" w:hAnsi="黑体" w:eastAsia="黑体"/>
                <w:spacing w:val="0"/>
                <w:w w:val="50"/>
                <w:kern w:val="0"/>
                <w:szCs w:val="21"/>
                <w:fitText w:val="420" w:id="3"/>
              </w:rPr>
              <w:t>协办单位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68" w:type="dxa"/>
            <w:gridSpan w:val="5"/>
            <w:vAlign w:val="center"/>
          </w:tcPr>
          <w:p>
            <w:pPr>
              <w:spacing w:line="280" w:lineRule="exact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eastAsia="黑体"/>
                <w:kern w:val="0"/>
                <w:sz w:val="20"/>
                <w:szCs w:val="21"/>
              </w:rPr>
              <w:t>一、加强水资源保护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6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/>
                <w:kern w:val="0"/>
                <w:sz w:val="20"/>
                <w:szCs w:val="21"/>
              </w:rPr>
              <w:t>1</w:t>
            </w:r>
          </w:p>
        </w:tc>
        <w:tc>
          <w:tcPr>
            <w:tcW w:w="8306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1"/>
                <w:lang w:eastAsia="zh-CN"/>
              </w:rPr>
              <w:t>配合落实水资源论证、取水许可和有偿使用制度，全区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1"/>
              </w:rPr>
              <w:t>用水总量控制在</w:t>
            </w:r>
            <w:r>
              <w:rPr>
                <w:rFonts w:eastAsia="仿宋_GB2312"/>
                <w:color w:val="000000"/>
                <w:kern w:val="0"/>
                <w:sz w:val="20"/>
                <w:szCs w:val="21"/>
              </w:rPr>
              <w:t>1.13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1"/>
              </w:rPr>
              <w:t>亿立方以内。</w:t>
            </w:r>
          </w:p>
        </w:tc>
        <w:tc>
          <w:tcPr>
            <w:tcW w:w="14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河长办</w:t>
            </w:r>
          </w:p>
        </w:tc>
        <w:tc>
          <w:tcPr>
            <w:tcW w:w="2731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相关社区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6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8306" w:type="dxa"/>
            <w:vAlign w:val="center"/>
          </w:tcPr>
          <w:p>
            <w:pPr>
              <w:spacing w:line="280" w:lineRule="exact"/>
              <w:rPr>
                <w:rFonts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1"/>
                <w:lang w:eastAsia="zh-CN"/>
              </w:rPr>
              <w:t>配合落实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1"/>
              </w:rPr>
              <w:t>万元工业增加值用水量控制在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1"/>
                <w:lang w:val="en-US" w:eastAsia="zh-CN"/>
              </w:rPr>
              <w:t>36.9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m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  <w:vertAlign w:val="superscript"/>
              </w:rPr>
              <w:t>3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1"/>
              </w:rPr>
              <w:t>（同比</w:t>
            </w:r>
            <w:r>
              <w:rPr>
                <w:rFonts w:eastAsia="仿宋_GB2312"/>
                <w:color w:val="000000"/>
                <w:kern w:val="0"/>
                <w:sz w:val="20"/>
                <w:szCs w:val="21"/>
              </w:rPr>
              <w:t>2015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1"/>
              </w:rPr>
              <w:t>年下降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1"/>
                <w:lang w:val="en-US" w:eastAsia="zh-CN"/>
              </w:rPr>
              <w:t>22.4</w:t>
            </w:r>
            <w:r>
              <w:rPr>
                <w:rFonts w:eastAsia="仿宋_GB2312"/>
                <w:color w:val="000000"/>
                <w:kern w:val="0"/>
                <w:sz w:val="20"/>
                <w:szCs w:val="21"/>
              </w:rPr>
              <w:t>%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1"/>
              </w:rPr>
              <w:t>）。</w:t>
            </w:r>
          </w:p>
        </w:tc>
        <w:tc>
          <w:tcPr>
            <w:tcW w:w="146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企业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办</w:t>
            </w:r>
          </w:p>
        </w:tc>
        <w:tc>
          <w:tcPr>
            <w:tcW w:w="2731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tcPr>
            <w:tcW w:w="86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8306" w:type="dxa"/>
            <w:vAlign w:val="center"/>
          </w:tcPr>
          <w:p>
            <w:pPr>
              <w:spacing w:line="280" w:lineRule="exact"/>
              <w:rPr>
                <w:rFonts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1"/>
                <w:lang w:eastAsia="zh-CN"/>
              </w:rPr>
              <w:t>配合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1"/>
              </w:rPr>
              <w:t>推进节水型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1"/>
                <w:lang w:eastAsia="zh-CN"/>
              </w:rPr>
              <w:t>企业（单位）和节水型居民小区创建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1"/>
              </w:rPr>
              <w:t>工作。</w:t>
            </w:r>
          </w:p>
        </w:tc>
        <w:tc>
          <w:tcPr>
            <w:tcW w:w="146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城管办</w:t>
            </w:r>
          </w:p>
        </w:tc>
        <w:tc>
          <w:tcPr>
            <w:tcW w:w="2731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tcPr>
            <w:tcW w:w="86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/>
                <w:kern w:val="0"/>
                <w:sz w:val="20"/>
                <w:szCs w:val="21"/>
              </w:rPr>
              <w:t>3</w:t>
            </w:r>
          </w:p>
        </w:tc>
        <w:tc>
          <w:tcPr>
            <w:tcW w:w="8306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1"/>
              </w:rPr>
              <w:t>水功能区水质达标率达到</w:t>
            </w:r>
            <w:r>
              <w:rPr>
                <w:rFonts w:eastAsia="仿宋_GB2312"/>
                <w:color w:val="000000"/>
                <w:kern w:val="0"/>
                <w:sz w:val="20"/>
                <w:szCs w:val="21"/>
              </w:rPr>
              <w:t>8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1"/>
                <w:lang w:val="en-US" w:eastAsia="zh-CN"/>
              </w:rPr>
              <w:t>7</w:t>
            </w:r>
            <w:r>
              <w:rPr>
                <w:rFonts w:eastAsia="仿宋_GB2312"/>
                <w:color w:val="000000"/>
                <w:kern w:val="0"/>
                <w:sz w:val="20"/>
                <w:szCs w:val="21"/>
              </w:rPr>
              <w:t>%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1"/>
              </w:rPr>
              <w:t>。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1"/>
                <w:lang w:eastAsia="zh-CN"/>
              </w:rPr>
              <w:t>配合相关部门强化入河排污口监管，配合相关部门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1"/>
              </w:rPr>
              <w:t>对水功能区水质监测情况进行每季度汇总并进行质量分析。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1"/>
                <w:lang w:eastAsia="zh-CN"/>
              </w:rPr>
              <w:t>配合相关部门对</w:t>
            </w:r>
            <w:r>
              <w:rPr>
                <w:rFonts w:hint="eastAsia" w:ascii="仿宋_GB2312" w:eastAsia="仿宋_GB2312"/>
                <w:szCs w:val="21"/>
                <w:lang w:eastAsia="zh-TW"/>
              </w:rPr>
              <w:t>晋江入海口</w:t>
            </w:r>
            <w:r>
              <w:rPr>
                <w:rFonts w:hint="eastAsia" w:ascii="仿宋" w:hAnsi="仿宋" w:eastAsia="仿宋" w:cs="微软雅黑"/>
                <w:szCs w:val="21"/>
                <w:lang w:eastAsia="zh-TW"/>
              </w:rPr>
              <w:t>蟳</w:t>
            </w:r>
            <w:r>
              <w:rPr>
                <w:rFonts w:hint="eastAsia" w:ascii="仿宋_GB2312" w:eastAsia="仿宋_GB2312"/>
                <w:szCs w:val="21"/>
                <w:lang w:eastAsia="zh-TW"/>
              </w:rPr>
              <w:t>埔断面落实每月监测一次，根据丰泽生态环境局监测数据共享定期通报成果。</w:t>
            </w:r>
          </w:p>
        </w:tc>
        <w:tc>
          <w:tcPr>
            <w:tcW w:w="14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环保站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相关社区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368" w:type="dxa"/>
            <w:gridSpan w:val="5"/>
            <w:vAlign w:val="center"/>
          </w:tcPr>
          <w:p>
            <w:pPr>
              <w:spacing w:line="280" w:lineRule="exact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eastAsia="黑体"/>
                <w:kern w:val="0"/>
                <w:sz w:val="20"/>
                <w:szCs w:val="21"/>
              </w:rPr>
              <w:t>二、加强水域岸线管理保护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6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/>
                <w:kern w:val="0"/>
                <w:sz w:val="20"/>
                <w:szCs w:val="21"/>
              </w:rPr>
              <w:t>4</w:t>
            </w:r>
          </w:p>
        </w:tc>
        <w:tc>
          <w:tcPr>
            <w:tcW w:w="8306" w:type="dxa"/>
            <w:vAlign w:val="center"/>
          </w:tcPr>
          <w:p>
            <w:pPr>
              <w:spacing w:line="280" w:lineRule="exact"/>
              <w:rPr>
                <w:rFonts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TW"/>
              </w:rPr>
              <w:t>按照划定的晋江西溪岸线、河岸生态蓝线保护范围。宣传贯彻《泉州市晋江洛阳江流域水环境保护条例》，进一步加强晋江西溪（丰泽段）河流管养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</w:tc>
        <w:tc>
          <w:tcPr>
            <w:tcW w:w="14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河长办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环保站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相关社区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8306" w:type="dxa"/>
            <w:vAlign w:val="center"/>
          </w:tcPr>
          <w:p>
            <w:pPr>
              <w:spacing w:line="280" w:lineRule="exact"/>
              <w:rPr>
                <w:rFonts w:hint="eastAsia" w:eastAsia="仿宋_GB2312"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1"/>
                <w:lang w:eastAsia="zh-CN"/>
              </w:rPr>
              <w:t>配合湖库保护范围的划定，明确辖区湖库保护范围并向社会公布，配合逐步取缔湖库周围既成违章建筑，严禁新增违章建筑。</w:t>
            </w:r>
          </w:p>
        </w:tc>
        <w:tc>
          <w:tcPr>
            <w:tcW w:w="14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河长办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城管办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相关社区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3368" w:type="dxa"/>
            <w:gridSpan w:val="5"/>
            <w:vAlign w:val="center"/>
          </w:tcPr>
          <w:p>
            <w:pPr>
              <w:spacing w:line="280" w:lineRule="exact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eastAsia="黑体"/>
                <w:kern w:val="0"/>
                <w:sz w:val="20"/>
                <w:szCs w:val="21"/>
              </w:rPr>
              <w:t>三、水污染防治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6</w:t>
            </w:r>
          </w:p>
        </w:tc>
        <w:tc>
          <w:tcPr>
            <w:tcW w:w="8306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 w:val="20"/>
                <w:szCs w:val="21"/>
                <w:lang w:eastAsia="zh-CN"/>
              </w:rPr>
              <w:t>严格环境准入，配合取缔不符合产业政策、严重污染水环境的“十小”企业，配合有关部门加强工矿企业、禽畜养殖、农业面源和渔港船舶等入河（渠）污染防治，改善生态环境质量。</w:t>
            </w:r>
          </w:p>
        </w:tc>
        <w:tc>
          <w:tcPr>
            <w:tcW w:w="14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企业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办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河长办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城管办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环保站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相关社区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8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7</w:t>
            </w:r>
          </w:p>
        </w:tc>
        <w:tc>
          <w:tcPr>
            <w:tcW w:w="8306" w:type="dxa"/>
            <w:vAlign w:val="center"/>
          </w:tcPr>
          <w:p>
            <w:pPr>
              <w:spacing w:line="280" w:lineRule="exact"/>
              <w:rPr>
                <w:rFonts w:hint="eastAsia" w:eastAsia="仿宋_GB2312"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1"/>
                <w:lang w:eastAsia="zh-CN"/>
              </w:rPr>
              <w:t>配合完成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1"/>
                <w:lang w:val="en-US" w:eastAsia="zh-CN"/>
              </w:rPr>
              <w:t>2022年度污水处理设施配套管网建设任务及近海（流域）整治项目，配合推进各类小区、城中村和内沟河雨污分流、重点沟渠治污截污项目。</w:t>
            </w:r>
          </w:p>
        </w:tc>
        <w:tc>
          <w:tcPr>
            <w:tcW w:w="146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城管办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相关社区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368" w:type="dxa"/>
            <w:gridSpan w:val="5"/>
            <w:vAlign w:val="center"/>
          </w:tcPr>
          <w:p>
            <w:pPr>
              <w:spacing w:line="280" w:lineRule="exact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eastAsia="黑体"/>
                <w:kern w:val="0"/>
                <w:sz w:val="20"/>
                <w:szCs w:val="21"/>
              </w:rPr>
              <w:t>四、加强水环境治理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8</w:t>
            </w:r>
          </w:p>
        </w:tc>
        <w:tc>
          <w:tcPr>
            <w:tcW w:w="8306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巩固河湖“四乱”和黑臭水体治理整治成果，持续开展流域（含河道、湖库和内沟河）水环境综合治理。</w:t>
            </w:r>
          </w:p>
        </w:tc>
        <w:tc>
          <w:tcPr>
            <w:tcW w:w="146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相关社区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河长办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 xml:space="preserve">       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城管办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环保站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9</w:t>
            </w:r>
          </w:p>
        </w:tc>
        <w:tc>
          <w:tcPr>
            <w:tcW w:w="8306" w:type="dxa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深化区域联动机制，积极协调解决跨区域河湖治理</w:t>
            </w:r>
          </w:p>
        </w:tc>
        <w:tc>
          <w:tcPr>
            <w:tcW w:w="14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河长办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相关社区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368" w:type="dxa"/>
            <w:gridSpan w:val="5"/>
            <w:vAlign w:val="center"/>
          </w:tcPr>
          <w:p>
            <w:pPr>
              <w:spacing w:line="280" w:lineRule="exact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eastAsia="黑体"/>
                <w:kern w:val="0"/>
                <w:sz w:val="20"/>
                <w:szCs w:val="21"/>
              </w:rPr>
              <w:t>五、加强水生态修复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8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10</w:t>
            </w:r>
          </w:p>
        </w:tc>
        <w:tc>
          <w:tcPr>
            <w:tcW w:w="8306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1"/>
                <w:lang w:eastAsia="zh-CN"/>
              </w:rPr>
              <w:t>加强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1"/>
              </w:rPr>
              <w:t>河道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1"/>
                <w:lang w:eastAsia="zh-CN"/>
              </w:rPr>
              <w:t>、内沟河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环境卫生保洁常态化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  <w:lang w:eastAsia="zh-CN"/>
              </w:rPr>
              <w:t>管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理，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1"/>
              </w:rPr>
              <w:t>落实月考评年奖励制度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1"/>
                <w:lang w:eastAsia="zh-CN"/>
              </w:rPr>
              <w:t>，落实水体沿岸占道经营和清“四乱”整治行动。</w:t>
            </w:r>
          </w:p>
        </w:tc>
        <w:tc>
          <w:tcPr>
            <w:tcW w:w="146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城管办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相关社区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3368" w:type="dxa"/>
            <w:gridSpan w:val="5"/>
            <w:vAlign w:val="center"/>
          </w:tcPr>
          <w:p>
            <w:pPr>
              <w:spacing w:line="280" w:lineRule="exact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eastAsia="黑体"/>
                <w:kern w:val="0"/>
                <w:sz w:val="20"/>
                <w:szCs w:val="21"/>
              </w:rPr>
              <w:t>六、加强执法监管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8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11</w:t>
            </w:r>
          </w:p>
        </w:tc>
        <w:tc>
          <w:tcPr>
            <w:tcW w:w="8306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加强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河道、内沟河日常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巡查，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配合相关部门联合执法。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城管办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河长办</w:t>
            </w:r>
          </w:p>
        </w:tc>
        <w:tc>
          <w:tcPr>
            <w:tcW w:w="271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相关社区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3368" w:type="dxa"/>
            <w:gridSpan w:val="5"/>
            <w:vAlign w:val="center"/>
          </w:tcPr>
          <w:p>
            <w:pPr>
              <w:spacing w:line="280" w:lineRule="exact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eastAsia="黑体"/>
                <w:kern w:val="0"/>
                <w:sz w:val="20"/>
                <w:szCs w:val="21"/>
                <w:lang w:eastAsia="zh-CN"/>
              </w:rPr>
              <w:t>七</w:t>
            </w:r>
            <w:r>
              <w:rPr>
                <w:rFonts w:hint="eastAsia" w:ascii="黑体" w:eastAsia="黑体"/>
                <w:kern w:val="0"/>
                <w:sz w:val="20"/>
                <w:szCs w:val="21"/>
              </w:rPr>
              <w:t>、</w:t>
            </w:r>
            <w:r>
              <w:rPr>
                <w:rFonts w:hint="eastAsia" w:ascii="黑体" w:eastAsia="黑体"/>
                <w:kern w:val="0"/>
                <w:sz w:val="20"/>
                <w:szCs w:val="21"/>
                <w:lang w:eastAsia="zh-CN"/>
              </w:rPr>
              <w:t>日常工作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12</w:t>
            </w:r>
          </w:p>
        </w:tc>
        <w:tc>
          <w:tcPr>
            <w:tcW w:w="8306" w:type="dxa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动态更新一河一档一策和一湖一档一策。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河长办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城管办</w:t>
            </w:r>
          </w:p>
        </w:tc>
        <w:tc>
          <w:tcPr>
            <w:tcW w:w="271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相关社区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13</w:t>
            </w:r>
          </w:p>
        </w:tc>
        <w:tc>
          <w:tcPr>
            <w:tcW w:w="8306" w:type="dxa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加强宣传发动，推动全民参与内沟河和晋江水质提升与保护。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河长办</w:t>
            </w:r>
          </w:p>
        </w:tc>
        <w:tc>
          <w:tcPr>
            <w:tcW w:w="271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相关社区</w:t>
            </w:r>
          </w:p>
        </w:tc>
      </w:tr>
    </w:tbl>
    <w:p>
      <w:pPr>
        <w:ind w:firstLine="680" w:firstLineChars="200"/>
        <w:jc w:val="both"/>
        <w:rPr>
          <w:rFonts w:hint="eastAsia" w:ascii="宋体" w:hAnsi="宋体" w:eastAsia="宋体"/>
          <w:spacing w:val="-10"/>
          <w:sz w:val="36"/>
          <w:szCs w:val="36"/>
        </w:rPr>
      </w:pPr>
    </w:p>
    <w:p>
      <w:pPr>
        <w:tabs>
          <w:tab w:val="left" w:pos="1080"/>
        </w:tabs>
        <w:spacing w:line="579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1080"/>
        </w:tabs>
        <w:rPr>
          <w:rFonts w:ascii="仿宋_GB2312" w:eastAsia="仿宋_GB2312"/>
          <w:sz w:val="32"/>
          <w:szCs w:val="32"/>
        </w:rPr>
      </w:pPr>
    </w:p>
    <w:p>
      <w:pPr>
        <w:tabs>
          <w:tab w:val="left" w:pos="1080"/>
        </w:tabs>
        <w:rPr>
          <w:rFonts w:ascii="仿宋_GB2312" w:eastAsia="仿宋_GB2312"/>
          <w:sz w:val="32"/>
          <w:szCs w:val="32"/>
        </w:rPr>
      </w:pPr>
    </w:p>
    <w:p>
      <w:pPr>
        <w:tabs>
          <w:tab w:val="left" w:pos="1080"/>
        </w:tabs>
        <w:rPr>
          <w:rFonts w:ascii="仿宋_GB2312" w:eastAsia="仿宋_GB2312"/>
          <w:sz w:val="32"/>
          <w:szCs w:val="32"/>
        </w:rPr>
      </w:pPr>
    </w:p>
    <w:p>
      <w:pPr>
        <w:tabs>
          <w:tab w:val="left" w:pos="1080"/>
        </w:tabs>
        <w:rPr>
          <w:rFonts w:ascii="仿宋_GB2312" w:eastAsia="仿宋_GB2312"/>
          <w:sz w:val="32"/>
          <w:szCs w:val="32"/>
        </w:rPr>
      </w:pPr>
    </w:p>
    <w:p>
      <w:pPr>
        <w:tabs>
          <w:tab w:val="left" w:pos="1080"/>
        </w:tabs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泉秀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街道20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长制工作责任问题清单</w:t>
      </w:r>
    </w:p>
    <w:tbl>
      <w:tblPr>
        <w:tblStyle w:val="16"/>
        <w:tblW w:w="117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60"/>
        <w:gridCol w:w="1944"/>
        <w:gridCol w:w="4199"/>
        <w:gridCol w:w="1170"/>
        <w:gridCol w:w="1155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2"/>
                <w:szCs w:val="22"/>
                <w:lang w:bidi="ar-SA"/>
              </w:rPr>
              <w:t>河流名称</w:t>
            </w:r>
          </w:p>
        </w:tc>
        <w:tc>
          <w:tcPr>
            <w:tcW w:w="19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2"/>
                <w:szCs w:val="22"/>
                <w:lang w:bidi="ar-SA"/>
              </w:rPr>
              <w:t>主要问题</w:t>
            </w:r>
          </w:p>
        </w:tc>
        <w:tc>
          <w:tcPr>
            <w:tcW w:w="41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2"/>
                <w:szCs w:val="22"/>
                <w:lang w:bidi="ar-SA"/>
              </w:rPr>
              <w:t>整改措施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2"/>
                <w:szCs w:val="22"/>
                <w:lang w:bidi="ar-SA"/>
              </w:rPr>
              <w:t>整改时限</w:t>
            </w:r>
          </w:p>
        </w:tc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2"/>
                <w:szCs w:val="22"/>
                <w:lang w:bidi="ar-SA"/>
              </w:rPr>
              <w:t>牵头单位</w:t>
            </w: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2"/>
                <w:szCs w:val="22"/>
                <w:lang w:bidi="ar-SA"/>
              </w:rPr>
              <w:t>协办单位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晋江西溪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泉秀</w:t>
            </w:r>
            <w:r>
              <w:rPr>
                <w:rFonts w:hint="eastAsia" w:ascii="仿宋_GB2312" w:eastAsia="仿宋_GB2312"/>
                <w:szCs w:val="21"/>
              </w:rPr>
              <w:t>段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河道滩地环境卫生常态保洁问题</w:t>
            </w:r>
          </w:p>
        </w:tc>
        <w:tc>
          <w:tcPr>
            <w:tcW w:w="419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三个流经</w:t>
            </w:r>
            <w:r>
              <w:rPr>
                <w:rFonts w:hint="eastAsia" w:ascii="仿宋_GB2312" w:eastAsia="仿宋_GB2312"/>
                <w:szCs w:val="21"/>
              </w:rPr>
              <w:t>社区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河道</w:t>
            </w:r>
            <w:r>
              <w:rPr>
                <w:rFonts w:hint="eastAsia" w:ascii="仿宋_GB2312" w:eastAsia="仿宋_GB2312"/>
                <w:szCs w:val="21"/>
              </w:rPr>
              <w:t>专管员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每天巡查；</w:t>
            </w:r>
          </w:p>
          <w:p>
            <w:pPr>
              <w:jc w:val="both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加强对第三方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保洁公司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的监督考核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。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常年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即知即改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城管办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河长办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相关社区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晋江西溪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泉秀</w:t>
            </w:r>
            <w:r>
              <w:rPr>
                <w:rFonts w:hint="eastAsia" w:ascii="仿宋_GB2312" w:eastAsia="仿宋_GB2312"/>
                <w:szCs w:val="21"/>
              </w:rPr>
              <w:t>段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浔埔断面水质不稳定</w:t>
            </w:r>
          </w:p>
        </w:tc>
        <w:tc>
          <w:tcPr>
            <w:tcW w:w="4199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落实水质提升方案，配合解决晋江上游问题、岸上问题，配合推进市区内沟河水质提升工程。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常年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城管办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河长办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环保站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相关社区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河道、内河及湖库</w:t>
            </w:r>
          </w:p>
        </w:tc>
        <w:tc>
          <w:tcPr>
            <w:tcW w:w="1944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河湖长公示牌破损，人员变动未及时更新</w:t>
            </w:r>
          </w:p>
        </w:tc>
        <w:tc>
          <w:tcPr>
            <w:tcW w:w="419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1.加强巡查，破损及时修复；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Cs w:val="21"/>
              </w:rPr>
              <w:t>2.人员变动调整一月内更新更换。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常年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河长办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城管办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相关社区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内沟河</w:t>
            </w:r>
          </w:p>
        </w:tc>
        <w:tc>
          <w:tcPr>
            <w:tcW w:w="1944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内沟河河面卫生常态保洁问题</w:t>
            </w:r>
          </w:p>
        </w:tc>
        <w:tc>
          <w:tcPr>
            <w:tcW w:w="419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1.河长、河道专管员加强巡查；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进行</w:t>
            </w:r>
            <w:r>
              <w:rPr>
                <w:rFonts w:hint="eastAsia" w:ascii="仿宋_GB2312" w:eastAsia="仿宋_GB2312"/>
                <w:szCs w:val="21"/>
              </w:rPr>
              <w:t>常态保洁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、闭环整改。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常年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即知即改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河长办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城管办</w:t>
            </w: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相关社区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内沟河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河岸两侧排污管网渗漏、破损，排查排污口</w:t>
            </w:r>
          </w:p>
        </w:tc>
        <w:tc>
          <w:tcPr>
            <w:tcW w:w="419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加强辖区内排污口巡查，配合城管局进行管网修复整治。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常年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即知即改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城管办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相关社区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内沟河</w:t>
            </w:r>
          </w:p>
        </w:tc>
        <w:tc>
          <w:tcPr>
            <w:tcW w:w="1944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末端截污改造局限性</w:t>
            </w:r>
          </w:p>
        </w:tc>
        <w:tc>
          <w:tcPr>
            <w:tcW w:w="419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拟推进内沟河两侧片区雨污分流工作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。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常年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城管办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相关社区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内沟河</w:t>
            </w:r>
          </w:p>
        </w:tc>
        <w:tc>
          <w:tcPr>
            <w:tcW w:w="1944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市人大对《泉州市内沟河保护管理条例》落实情况专项检查问题</w:t>
            </w:r>
          </w:p>
        </w:tc>
        <w:tc>
          <w:tcPr>
            <w:tcW w:w="419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根据要求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好迎检工作。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202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年6月底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河长办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城管办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相关社区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内沟河</w:t>
            </w:r>
          </w:p>
        </w:tc>
        <w:tc>
          <w:tcPr>
            <w:tcW w:w="1944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内河两侧餐饮店油污分离不彻底</w:t>
            </w:r>
          </w:p>
        </w:tc>
        <w:tc>
          <w:tcPr>
            <w:tcW w:w="419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1.进一步排查摸查；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Cs w:val="21"/>
              </w:rPr>
              <w:t>2.组织安装油水分离器；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Cs w:val="21"/>
              </w:rPr>
              <w:t>3.餐饮店落实油污分离。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常年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河长办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城管办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环保站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相关社区</w:t>
            </w:r>
          </w:p>
        </w:tc>
      </w:tr>
    </w:tbl>
    <w:p>
      <w:pPr>
        <w:sectPr>
          <w:pgSz w:w="16838" w:h="11906" w:orient="landscape"/>
          <w:pgMar w:top="1588" w:right="2098" w:bottom="1474" w:left="1985" w:header="851" w:footer="992" w:gutter="0"/>
          <w:cols w:space="720" w:num="1"/>
          <w:docGrid w:type="lines" w:linePitch="312" w:charSpace="0"/>
        </w:sectPr>
      </w:pPr>
    </w:p>
    <w:tbl>
      <w:tblPr>
        <w:tblStyle w:val="16"/>
        <w:tblpPr w:leftFromText="180" w:rightFromText="180" w:vertAnchor="page" w:horzAnchor="margin" w:tblpX="108" w:tblpY="13996"/>
        <w:tblW w:w="882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vAlign w:val="top"/>
          </w:tcPr>
          <w:p>
            <w:pPr>
              <w:spacing w:line="400" w:lineRule="exact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抄送：区</w:t>
            </w:r>
            <w:r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  <w:t>河长办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。          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丰泽区人民政府泉秀街道办事处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9日</w:t>
            </w:r>
            <w:r>
              <w:rPr>
                <w:rFonts w:hint="eastAsia" w:ascii="仿宋_GB2312" w:eastAsia="仿宋_GB2312"/>
                <w:sz w:val="28"/>
                <w:szCs w:val="28"/>
              </w:rPr>
              <w:t>印发</w:t>
            </w:r>
          </w:p>
        </w:tc>
      </w:tr>
    </w:tbl>
    <w:p>
      <w:r>
        <w:br w:type="page"/>
      </w:r>
    </w:p>
    <w:p>
      <w:r>
        <w:br w:type="page"/>
      </w:r>
    </w:p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方正黑体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7638"/>
        <w:tab w:val="right" w:pos="8704"/>
      </w:tabs>
      <w:wordWrap w:val="0"/>
      <w:ind w:left="7840" w:right="140" w:hanging="7840" w:hangingChars="2800"/>
      <w:rPr>
        <w:sz w:val="28"/>
        <w:szCs w:val="28"/>
      </w:rPr>
    </w:pPr>
    <w:r>
      <w:rPr>
        <w:rFonts w:hint="eastAsia"/>
        <w:sz w:val="28"/>
        <w:szCs w:val="28"/>
      </w:rPr>
      <w:t xml:space="preserve">                                                        </w:t>
    </w:r>
    <w:r>
      <w:rPr>
        <w:rFonts w:hint="eastAsia"/>
        <w:sz w:val="28"/>
        <w:szCs w:val="28"/>
        <w:lang w:val="en-US" w:eastAsia="zh-CN"/>
      </w:rPr>
      <w:t xml:space="preserve">     </w:t>
    </w: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  <w:p>
    <w:pPr>
      <w:pStyle w:val="9"/>
      <w:tabs>
        <w:tab w:val="left" w:pos="14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sz w:val="28"/>
        <w:szCs w:val="28"/>
      </w:rPr>
    </w:pPr>
    <w:r>
      <w:rPr>
        <w:rFonts w:hint="eastAsia"/>
        <w:sz w:val="28"/>
        <w:szCs w:val="28"/>
      </w:rPr>
      <w:t xml:space="preserve">  </w:t>
    </w: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245A"/>
    <w:rsid w:val="0001120B"/>
    <w:rsid w:val="00012F3A"/>
    <w:rsid w:val="0001446B"/>
    <w:rsid w:val="00022CEF"/>
    <w:rsid w:val="00024633"/>
    <w:rsid w:val="00030CE8"/>
    <w:rsid w:val="00037C28"/>
    <w:rsid w:val="000405D8"/>
    <w:rsid w:val="00044ABC"/>
    <w:rsid w:val="00056582"/>
    <w:rsid w:val="00060E63"/>
    <w:rsid w:val="00061F78"/>
    <w:rsid w:val="00063693"/>
    <w:rsid w:val="00064B5E"/>
    <w:rsid w:val="00081353"/>
    <w:rsid w:val="00082362"/>
    <w:rsid w:val="00085C9F"/>
    <w:rsid w:val="000864BC"/>
    <w:rsid w:val="00094280"/>
    <w:rsid w:val="000A5A92"/>
    <w:rsid w:val="000A7EFF"/>
    <w:rsid w:val="000B3A3C"/>
    <w:rsid w:val="000B3AB8"/>
    <w:rsid w:val="000B749B"/>
    <w:rsid w:val="000C08DD"/>
    <w:rsid w:val="000C29D2"/>
    <w:rsid w:val="000C2B00"/>
    <w:rsid w:val="000C464A"/>
    <w:rsid w:val="000C7B57"/>
    <w:rsid w:val="000D0030"/>
    <w:rsid w:val="000D0C89"/>
    <w:rsid w:val="000D3A82"/>
    <w:rsid w:val="000D3F83"/>
    <w:rsid w:val="000D7106"/>
    <w:rsid w:val="000D718F"/>
    <w:rsid w:val="000F47F7"/>
    <w:rsid w:val="001019A8"/>
    <w:rsid w:val="00106D4E"/>
    <w:rsid w:val="001076F6"/>
    <w:rsid w:val="001100C4"/>
    <w:rsid w:val="00111FAB"/>
    <w:rsid w:val="001144A2"/>
    <w:rsid w:val="001201A6"/>
    <w:rsid w:val="0013032C"/>
    <w:rsid w:val="0013417A"/>
    <w:rsid w:val="00136BCF"/>
    <w:rsid w:val="0014369A"/>
    <w:rsid w:val="00143D55"/>
    <w:rsid w:val="00145B8F"/>
    <w:rsid w:val="00153964"/>
    <w:rsid w:val="0015538E"/>
    <w:rsid w:val="00166909"/>
    <w:rsid w:val="00171647"/>
    <w:rsid w:val="001718EB"/>
    <w:rsid w:val="00172A27"/>
    <w:rsid w:val="00181312"/>
    <w:rsid w:val="0018287A"/>
    <w:rsid w:val="0018740E"/>
    <w:rsid w:val="00190615"/>
    <w:rsid w:val="0019231F"/>
    <w:rsid w:val="00194118"/>
    <w:rsid w:val="00197488"/>
    <w:rsid w:val="001A1864"/>
    <w:rsid w:val="001A25C4"/>
    <w:rsid w:val="001A6633"/>
    <w:rsid w:val="001B0729"/>
    <w:rsid w:val="001C1A12"/>
    <w:rsid w:val="001C1C27"/>
    <w:rsid w:val="001D698D"/>
    <w:rsid w:val="001E2AA7"/>
    <w:rsid w:val="001E4701"/>
    <w:rsid w:val="001E7DC6"/>
    <w:rsid w:val="001F172D"/>
    <w:rsid w:val="001F4649"/>
    <w:rsid w:val="001F5C73"/>
    <w:rsid w:val="001F5CE3"/>
    <w:rsid w:val="001F647B"/>
    <w:rsid w:val="001F6E29"/>
    <w:rsid w:val="00202F8F"/>
    <w:rsid w:val="00206747"/>
    <w:rsid w:val="00212CAD"/>
    <w:rsid w:val="00212FA4"/>
    <w:rsid w:val="002202D2"/>
    <w:rsid w:val="002346C4"/>
    <w:rsid w:val="00236FE5"/>
    <w:rsid w:val="00240CFE"/>
    <w:rsid w:val="0024356C"/>
    <w:rsid w:val="0024496A"/>
    <w:rsid w:val="00245CAB"/>
    <w:rsid w:val="002505B0"/>
    <w:rsid w:val="00254559"/>
    <w:rsid w:val="00257D0A"/>
    <w:rsid w:val="002705E1"/>
    <w:rsid w:val="002734B6"/>
    <w:rsid w:val="00274381"/>
    <w:rsid w:val="00275796"/>
    <w:rsid w:val="002817C6"/>
    <w:rsid w:val="002817EE"/>
    <w:rsid w:val="002828BA"/>
    <w:rsid w:val="002829B8"/>
    <w:rsid w:val="002841A2"/>
    <w:rsid w:val="00286B4D"/>
    <w:rsid w:val="00287AF8"/>
    <w:rsid w:val="00287F6C"/>
    <w:rsid w:val="00291103"/>
    <w:rsid w:val="00291ADF"/>
    <w:rsid w:val="00297379"/>
    <w:rsid w:val="002A67C3"/>
    <w:rsid w:val="002B2AE5"/>
    <w:rsid w:val="002C0A98"/>
    <w:rsid w:val="002C357D"/>
    <w:rsid w:val="002D0A63"/>
    <w:rsid w:val="002D0D17"/>
    <w:rsid w:val="002D4B42"/>
    <w:rsid w:val="002E00BC"/>
    <w:rsid w:val="002E4DAD"/>
    <w:rsid w:val="002F0DF3"/>
    <w:rsid w:val="002F4234"/>
    <w:rsid w:val="002F7356"/>
    <w:rsid w:val="00304783"/>
    <w:rsid w:val="00306D4F"/>
    <w:rsid w:val="003119E4"/>
    <w:rsid w:val="00312D11"/>
    <w:rsid w:val="0031551B"/>
    <w:rsid w:val="00317FF6"/>
    <w:rsid w:val="003255F3"/>
    <w:rsid w:val="003346FD"/>
    <w:rsid w:val="00336A6F"/>
    <w:rsid w:val="00337CBA"/>
    <w:rsid w:val="00340DED"/>
    <w:rsid w:val="003433A5"/>
    <w:rsid w:val="00353B04"/>
    <w:rsid w:val="00357F49"/>
    <w:rsid w:val="00362364"/>
    <w:rsid w:val="00362879"/>
    <w:rsid w:val="00374C90"/>
    <w:rsid w:val="00381816"/>
    <w:rsid w:val="00383C94"/>
    <w:rsid w:val="0038594D"/>
    <w:rsid w:val="003862B2"/>
    <w:rsid w:val="003909C9"/>
    <w:rsid w:val="003920C1"/>
    <w:rsid w:val="0039509E"/>
    <w:rsid w:val="003A1496"/>
    <w:rsid w:val="003B2631"/>
    <w:rsid w:val="003C1667"/>
    <w:rsid w:val="003C1D1F"/>
    <w:rsid w:val="003C2EE0"/>
    <w:rsid w:val="003C6B60"/>
    <w:rsid w:val="003D04D1"/>
    <w:rsid w:val="003D13DF"/>
    <w:rsid w:val="003D194E"/>
    <w:rsid w:val="003D2859"/>
    <w:rsid w:val="003D712F"/>
    <w:rsid w:val="003D76E5"/>
    <w:rsid w:val="003E5E42"/>
    <w:rsid w:val="003F0845"/>
    <w:rsid w:val="003F34E9"/>
    <w:rsid w:val="003F74FE"/>
    <w:rsid w:val="004025A7"/>
    <w:rsid w:val="00403215"/>
    <w:rsid w:val="004054C9"/>
    <w:rsid w:val="00405B38"/>
    <w:rsid w:val="00410F0C"/>
    <w:rsid w:val="00412570"/>
    <w:rsid w:val="00414F41"/>
    <w:rsid w:val="004156B5"/>
    <w:rsid w:val="0042038C"/>
    <w:rsid w:val="00423A17"/>
    <w:rsid w:val="00423ED6"/>
    <w:rsid w:val="004309EB"/>
    <w:rsid w:val="00430F4A"/>
    <w:rsid w:val="004348AD"/>
    <w:rsid w:val="00437118"/>
    <w:rsid w:val="0044058A"/>
    <w:rsid w:val="004439A3"/>
    <w:rsid w:val="004526FF"/>
    <w:rsid w:val="00455189"/>
    <w:rsid w:val="00460000"/>
    <w:rsid w:val="00462288"/>
    <w:rsid w:val="004628AF"/>
    <w:rsid w:val="00472E9D"/>
    <w:rsid w:val="00475802"/>
    <w:rsid w:val="0047726A"/>
    <w:rsid w:val="00477DA0"/>
    <w:rsid w:val="00486268"/>
    <w:rsid w:val="004878CD"/>
    <w:rsid w:val="004924C7"/>
    <w:rsid w:val="004A20DE"/>
    <w:rsid w:val="004A224E"/>
    <w:rsid w:val="004A461B"/>
    <w:rsid w:val="004A7D5F"/>
    <w:rsid w:val="004C2978"/>
    <w:rsid w:val="004F0F39"/>
    <w:rsid w:val="004F4B98"/>
    <w:rsid w:val="00501A96"/>
    <w:rsid w:val="00503CAE"/>
    <w:rsid w:val="00504B50"/>
    <w:rsid w:val="00504FE8"/>
    <w:rsid w:val="0050649B"/>
    <w:rsid w:val="0050734A"/>
    <w:rsid w:val="0051045A"/>
    <w:rsid w:val="005136A2"/>
    <w:rsid w:val="00517702"/>
    <w:rsid w:val="005206AC"/>
    <w:rsid w:val="00525F65"/>
    <w:rsid w:val="005337E6"/>
    <w:rsid w:val="005461AE"/>
    <w:rsid w:val="0055516A"/>
    <w:rsid w:val="0055775C"/>
    <w:rsid w:val="00561752"/>
    <w:rsid w:val="00572124"/>
    <w:rsid w:val="00574CEA"/>
    <w:rsid w:val="005753F5"/>
    <w:rsid w:val="00580E80"/>
    <w:rsid w:val="00587403"/>
    <w:rsid w:val="00587AB8"/>
    <w:rsid w:val="00591002"/>
    <w:rsid w:val="00591DCD"/>
    <w:rsid w:val="005A04A3"/>
    <w:rsid w:val="005A40A3"/>
    <w:rsid w:val="005A49E2"/>
    <w:rsid w:val="005A643B"/>
    <w:rsid w:val="005B1F66"/>
    <w:rsid w:val="005C2664"/>
    <w:rsid w:val="005C4C94"/>
    <w:rsid w:val="005D025E"/>
    <w:rsid w:val="005D1117"/>
    <w:rsid w:val="005D357E"/>
    <w:rsid w:val="005E5E4A"/>
    <w:rsid w:val="005F2531"/>
    <w:rsid w:val="006011FA"/>
    <w:rsid w:val="00603D17"/>
    <w:rsid w:val="006045FD"/>
    <w:rsid w:val="006063AF"/>
    <w:rsid w:val="00610F75"/>
    <w:rsid w:val="006173B6"/>
    <w:rsid w:val="0063049C"/>
    <w:rsid w:val="0063306F"/>
    <w:rsid w:val="0064203E"/>
    <w:rsid w:val="00650357"/>
    <w:rsid w:val="00651AE0"/>
    <w:rsid w:val="00661B98"/>
    <w:rsid w:val="00664C05"/>
    <w:rsid w:val="00666DB8"/>
    <w:rsid w:val="00670295"/>
    <w:rsid w:val="00673169"/>
    <w:rsid w:val="00693281"/>
    <w:rsid w:val="00696F6D"/>
    <w:rsid w:val="0069753E"/>
    <w:rsid w:val="006A1473"/>
    <w:rsid w:val="006A1EA8"/>
    <w:rsid w:val="006A2B87"/>
    <w:rsid w:val="006C02A1"/>
    <w:rsid w:val="006C6BC5"/>
    <w:rsid w:val="006C6D31"/>
    <w:rsid w:val="006D7611"/>
    <w:rsid w:val="006E2A6D"/>
    <w:rsid w:val="006E2DC6"/>
    <w:rsid w:val="006E2E2A"/>
    <w:rsid w:val="006E49CD"/>
    <w:rsid w:val="006F4F93"/>
    <w:rsid w:val="006F6F9F"/>
    <w:rsid w:val="006F77A9"/>
    <w:rsid w:val="006F7959"/>
    <w:rsid w:val="007032F9"/>
    <w:rsid w:val="00703D51"/>
    <w:rsid w:val="0070551D"/>
    <w:rsid w:val="00705C44"/>
    <w:rsid w:val="00733664"/>
    <w:rsid w:val="00733FA6"/>
    <w:rsid w:val="00734173"/>
    <w:rsid w:val="00734837"/>
    <w:rsid w:val="0073506A"/>
    <w:rsid w:val="007371E9"/>
    <w:rsid w:val="00740D4C"/>
    <w:rsid w:val="00741D6D"/>
    <w:rsid w:val="007437CC"/>
    <w:rsid w:val="00757A35"/>
    <w:rsid w:val="00757FAC"/>
    <w:rsid w:val="00763266"/>
    <w:rsid w:val="00763579"/>
    <w:rsid w:val="007709D0"/>
    <w:rsid w:val="00771678"/>
    <w:rsid w:val="007730EA"/>
    <w:rsid w:val="007736AB"/>
    <w:rsid w:val="007742D1"/>
    <w:rsid w:val="0078004B"/>
    <w:rsid w:val="0078263F"/>
    <w:rsid w:val="00783036"/>
    <w:rsid w:val="00790814"/>
    <w:rsid w:val="00791AD0"/>
    <w:rsid w:val="00791FF1"/>
    <w:rsid w:val="00792589"/>
    <w:rsid w:val="00794DD5"/>
    <w:rsid w:val="00795973"/>
    <w:rsid w:val="007A39DF"/>
    <w:rsid w:val="007A3E91"/>
    <w:rsid w:val="007B1D7C"/>
    <w:rsid w:val="007B2508"/>
    <w:rsid w:val="007B6B51"/>
    <w:rsid w:val="007C016C"/>
    <w:rsid w:val="007C03FD"/>
    <w:rsid w:val="007C0896"/>
    <w:rsid w:val="007C4B5E"/>
    <w:rsid w:val="007C4B6F"/>
    <w:rsid w:val="007D500A"/>
    <w:rsid w:val="007D5390"/>
    <w:rsid w:val="007D60D8"/>
    <w:rsid w:val="007E3830"/>
    <w:rsid w:val="007E3B55"/>
    <w:rsid w:val="007E6033"/>
    <w:rsid w:val="007F3E2B"/>
    <w:rsid w:val="007F595E"/>
    <w:rsid w:val="0080239C"/>
    <w:rsid w:val="00814801"/>
    <w:rsid w:val="00820DCF"/>
    <w:rsid w:val="00851EFC"/>
    <w:rsid w:val="008536E4"/>
    <w:rsid w:val="008538E1"/>
    <w:rsid w:val="008566DD"/>
    <w:rsid w:val="008639BB"/>
    <w:rsid w:val="00872568"/>
    <w:rsid w:val="0088394D"/>
    <w:rsid w:val="008846CD"/>
    <w:rsid w:val="00890B95"/>
    <w:rsid w:val="008919F6"/>
    <w:rsid w:val="00892831"/>
    <w:rsid w:val="0089691F"/>
    <w:rsid w:val="00896B72"/>
    <w:rsid w:val="008A2ADE"/>
    <w:rsid w:val="008A6181"/>
    <w:rsid w:val="008B545D"/>
    <w:rsid w:val="008C04BD"/>
    <w:rsid w:val="008C0E67"/>
    <w:rsid w:val="008C37A7"/>
    <w:rsid w:val="008C681F"/>
    <w:rsid w:val="008D71A1"/>
    <w:rsid w:val="008E197C"/>
    <w:rsid w:val="008E3960"/>
    <w:rsid w:val="008E3A34"/>
    <w:rsid w:val="008E4C24"/>
    <w:rsid w:val="008E5E9D"/>
    <w:rsid w:val="008F1C1C"/>
    <w:rsid w:val="008F5F63"/>
    <w:rsid w:val="008F6C02"/>
    <w:rsid w:val="00902010"/>
    <w:rsid w:val="00902B1E"/>
    <w:rsid w:val="00903A44"/>
    <w:rsid w:val="00906052"/>
    <w:rsid w:val="009070D4"/>
    <w:rsid w:val="009071B0"/>
    <w:rsid w:val="0091378F"/>
    <w:rsid w:val="00913A20"/>
    <w:rsid w:val="00915649"/>
    <w:rsid w:val="00915817"/>
    <w:rsid w:val="009309D6"/>
    <w:rsid w:val="00930D92"/>
    <w:rsid w:val="00935940"/>
    <w:rsid w:val="009359D9"/>
    <w:rsid w:val="00943548"/>
    <w:rsid w:val="00946EB3"/>
    <w:rsid w:val="009473C7"/>
    <w:rsid w:val="009476F3"/>
    <w:rsid w:val="00947C15"/>
    <w:rsid w:val="009505EF"/>
    <w:rsid w:val="009539B0"/>
    <w:rsid w:val="00954CD7"/>
    <w:rsid w:val="009564E9"/>
    <w:rsid w:val="00956CFB"/>
    <w:rsid w:val="00962AF4"/>
    <w:rsid w:val="00962EA7"/>
    <w:rsid w:val="00963E7A"/>
    <w:rsid w:val="00964C2F"/>
    <w:rsid w:val="00971DA6"/>
    <w:rsid w:val="00972D23"/>
    <w:rsid w:val="0097703D"/>
    <w:rsid w:val="0098009D"/>
    <w:rsid w:val="00986906"/>
    <w:rsid w:val="0099264F"/>
    <w:rsid w:val="0099290F"/>
    <w:rsid w:val="009946FA"/>
    <w:rsid w:val="009A3E27"/>
    <w:rsid w:val="009A4B34"/>
    <w:rsid w:val="009B3E68"/>
    <w:rsid w:val="009B775A"/>
    <w:rsid w:val="009C77CA"/>
    <w:rsid w:val="009C7B6C"/>
    <w:rsid w:val="009D3AE2"/>
    <w:rsid w:val="009D7412"/>
    <w:rsid w:val="009E0220"/>
    <w:rsid w:val="009E23B5"/>
    <w:rsid w:val="009E2599"/>
    <w:rsid w:val="009E3BB9"/>
    <w:rsid w:val="00A11D9C"/>
    <w:rsid w:val="00A310A0"/>
    <w:rsid w:val="00A42462"/>
    <w:rsid w:val="00A43942"/>
    <w:rsid w:val="00A450E7"/>
    <w:rsid w:val="00A479E6"/>
    <w:rsid w:val="00A47CD1"/>
    <w:rsid w:val="00A52224"/>
    <w:rsid w:val="00A535EF"/>
    <w:rsid w:val="00A60AB5"/>
    <w:rsid w:val="00A633BB"/>
    <w:rsid w:val="00A63598"/>
    <w:rsid w:val="00A63CBB"/>
    <w:rsid w:val="00A66F58"/>
    <w:rsid w:val="00A76BCB"/>
    <w:rsid w:val="00A80925"/>
    <w:rsid w:val="00A815F4"/>
    <w:rsid w:val="00A83F57"/>
    <w:rsid w:val="00A86CE9"/>
    <w:rsid w:val="00A90CBC"/>
    <w:rsid w:val="00A91C4D"/>
    <w:rsid w:val="00A971B3"/>
    <w:rsid w:val="00AA00B2"/>
    <w:rsid w:val="00AA3D18"/>
    <w:rsid w:val="00AA5128"/>
    <w:rsid w:val="00AA7592"/>
    <w:rsid w:val="00AB0DF0"/>
    <w:rsid w:val="00AC4E5F"/>
    <w:rsid w:val="00AC53B8"/>
    <w:rsid w:val="00AC5E6E"/>
    <w:rsid w:val="00AC6834"/>
    <w:rsid w:val="00AD0EC5"/>
    <w:rsid w:val="00AD1DB9"/>
    <w:rsid w:val="00AF33DC"/>
    <w:rsid w:val="00AF45D5"/>
    <w:rsid w:val="00B007BE"/>
    <w:rsid w:val="00B0184A"/>
    <w:rsid w:val="00B019C2"/>
    <w:rsid w:val="00B1406E"/>
    <w:rsid w:val="00B15348"/>
    <w:rsid w:val="00B17078"/>
    <w:rsid w:val="00B21A35"/>
    <w:rsid w:val="00B21EEC"/>
    <w:rsid w:val="00B241B8"/>
    <w:rsid w:val="00B306DD"/>
    <w:rsid w:val="00B34AC2"/>
    <w:rsid w:val="00B4347E"/>
    <w:rsid w:val="00B46E0B"/>
    <w:rsid w:val="00B52BBF"/>
    <w:rsid w:val="00B55C34"/>
    <w:rsid w:val="00B5702E"/>
    <w:rsid w:val="00B60877"/>
    <w:rsid w:val="00B66A33"/>
    <w:rsid w:val="00B70261"/>
    <w:rsid w:val="00B756F4"/>
    <w:rsid w:val="00B77EBF"/>
    <w:rsid w:val="00B81463"/>
    <w:rsid w:val="00B86B12"/>
    <w:rsid w:val="00B9591D"/>
    <w:rsid w:val="00B973E9"/>
    <w:rsid w:val="00BA0E4E"/>
    <w:rsid w:val="00BA45A1"/>
    <w:rsid w:val="00BB776B"/>
    <w:rsid w:val="00BC4B63"/>
    <w:rsid w:val="00BC5D6F"/>
    <w:rsid w:val="00BC7265"/>
    <w:rsid w:val="00BD0F65"/>
    <w:rsid w:val="00BD2B9C"/>
    <w:rsid w:val="00BE2A3F"/>
    <w:rsid w:val="00BE5DA4"/>
    <w:rsid w:val="00BE66DF"/>
    <w:rsid w:val="00BE767B"/>
    <w:rsid w:val="00BF2349"/>
    <w:rsid w:val="00BF3573"/>
    <w:rsid w:val="00BF387B"/>
    <w:rsid w:val="00BF3EDB"/>
    <w:rsid w:val="00BF4695"/>
    <w:rsid w:val="00BF5AB8"/>
    <w:rsid w:val="00C02D1E"/>
    <w:rsid w:val="00C059F9"/>
    <w:rsid w:val="00C06165"/>
    <w:rsid w:val="00C11B7D"/>
    <w:rsid w:val="00C140E8"/>
    <w:rsid w:val="00C1440C"/>
    <w:rsid w:val="00C16117"/>
    <w:rsid w:val="00C1657E"/>
    <w:rsid w:val="00C17090"/>
    <w:rsid w:val="00C2004E"/>
    <w:rsid w:val="00C34654"/>
    <w:rsid w:val="00C34FCF"/>
    <w:rsid w:val="00C36B18"/>
    <w:rsid w:val="00C41654"/>
    <w:rsid w:val="00C4181D"/>
    <w:rsid w:val="00C43855"/>
    <w:rsid w:val="00C479EE"/>
    <w:rsid w:val="00C57819"/>
    <w:rsid w:val="00C613E2"/>
    <w:rsid w:val="00C65490"/>
    <w:rsid w:val="00C659B5"/>
    <w:rsid w:val="00C67166"/>
    <w:rsid w:val="00C70AB9"/>
    <w:rsid w:val="00C71314"/>
    <w:rsid w:val="00C7273D"/>
    <w:rsid w:val="00C72CCB"/>
    <w:rsid w:val="00C740D9"/>
    <w:rsid w:val="00C848D6"/>
    <w:rsid w:val="00C85208"/>
    <w:rsid w:val="00C8574F"/>
    <w:rsid w:val="00CA18D5"/>
    <w:rsid w:val="00CB1C71"/>
    <w:rsid w:val="00CB489F"/>
    <w:rsid w:val="00CB4BF1"/>
    <w:rsid w:val="00CC2D0B"/>
    <w:rsid w:val="00CC5BCC"/>
    <w:rsid w:val="00CC5E65"/>
    <w:rsid w:val="00CD15E2"/>
    <w:rsid w:val="00CD734B"/>
    <w:rsid w:val="00CD7BE4"/>
    <w:rsid w:val="00CE1059"/>
    <w:rsid w:val="00CE29C4"/>
    <w:rsid w:val="00CF1700"/>
    <w:rsid w:val="00CF78C4"/>
    <w:rsid w:val="00D073EE"/>
    <w:rsid w:val="00D14E3B"/>
    <w:rsid w:val="00D227FB"/>
    <w:rsid w:val="00D25B38"/>
    <w:rsid w:val="00D3689F"/>
    <w:rsid w:val="00D44C29"/>
    <w:rsid w:val="00D47055"/>
    <w:rsid w:val="00D53898"/>
    <w:rsid w:val="00D67737"/>
    <w:rsid w:val="00D710D2"/>
    <w:rsid w:val="00D73773"/>
    <w:rsid w:val="00D82BC5"/>
    <w:rsid w:val="00D8581C"/>
    <w:rsid w:val="00D90C5F"/>
    <w:rsid w:val="00D90DD6"/>
    <w:rsid w:val="00D913A2"/>
    <w:rsid w:val="00D95B2A"/>
    <w:rsid w:val="00D97B1A"/>
    <w:rsid w:val="00DA0024"/>
    <w:rsid w:val="00DA0338"/>
    <w:rsid w:val="00DA22CA"/>
    <w:rsid w:val="00DA40EC"/>
    <w:rsid w:val="00DA4A13"/>
    <w:rsid w:val="00DA60B4"/>
    <w:rsid w:val="00DA796A"/>
    <w:rsid w:val="00DB0335"/>
    <w:rsid w:val="00DB1987"/>
    <w:rsid w:val="00DB248F"/>
    <w:rsid w:val="00DB4252"/>
    <w:rsid w:val="00DB4AD3"/>
    <w:rsid w:val="00DB722F"/>
    <w:rsid w:val="00DC4F28"/>
    <w:rsid w:val="00DC5B8B"/>
    <w:rsid w:val="00DC62D0"/>
    <w:rsid w:val="00DC7029"/>
    <w:rsid w:val="00DD1FC1"/>
    <w:rsid w:val="00DF22EF"/>
    <w:rsid w:val="00DF3149"/>
    <w:rsid w:val="00DF73AA"/>
    <w:rsid w:val="00E04140"/>
    <w:rsid w:val="00E10C9F"/>
    <w:rsid w:val="00E13C72"/>
    <w:rsid w:val="00E2227C"/>
    <w:rsid w:val="00E34759"/>
    <w:rsid w:val="00E42A1C"/>
    <w:rsid w:val="00E45FEF"/>
    <w:rsid w:val="00E55D8C"/>
    <w:rsid w:val="00E55EA6"/>
    <w:rsid w:val="00E56753"/>
    <w:rsid w:val="00E5707E"/>
    <w:rsid w:val="00E57222"/>
    <w:rsid w:val="00E60A4F"/>
    <w:rsid w:val="00E631EC"/>
    <w:rsid w:val="00E665E4"/>
    <w:rsid w:val="00E7020E"/>
    <w:rsid w:val="00E77268"/>
    <w:rsid w:val="00E87FE6"/>
    <w:rsid w:val="00E919B5"/>
    <w:rsid w:val="00E946CA"/>
    <w:rsid w:val="00E96A50"/>
    <w:rsid w:val="00EA0366"/>
    <w:rsid w:val="00EA14CD"/>
    <w:rsid w:val="00EA7A3C"/>
    <w:rsid w:val="00EB12AC"/>
    <w:rsid w:val="00EB203F"/>
    <w:rsid w:val="00EB2F78"/>
    <w:rsid w:val="00EB45E7"/>
    <w:rsid w:val="00EB4809"/>
    <w:rsid w:val="00EC5D45"/>
    <w:rsid w:val="00ED0AE1"/>
    <w:rsid w:val="00ED3D72"/>
    <w:rsid w:val="00EE1907"/>
    <w:rsid w:val="00EE7499"/>
    <w:rsid w:val="00EF21D1"/>
    <w:rsid w:val="00EF4DD3"/>
    <w:rsid w:val="00EF5A9D"/>
    <w:rsid w:val="00EF633F"/>
    <w:rsid w:val="00EF6650"/>
    <w:rsid w:val="00F029B5"/>
    <w:rsid w:val="00F032F5"/>
    <w:rsid w:val="00F04B15"/>
    <w:rsid w:val="00F118CD"/>
    <w:rsid w:val="00F16DEC"/>
    <w:rsid w:val="00F212AC"/>
    <w:rsid w:val="00F218B2"/>
    <w:rsid w:val="00F23252"/>
    <w:rsid w:val="00F25ABA"/>
    <w:rsid w:val="00F3028F"/>
    <w:rsid w:val="00F327D8"/>
    <w:rsid w:val="00F421BE"/>
    <w:rsid w:val="00F43631"/>
    <w:rsid w:val="00F52DC2"/>
    <w:rsid w:val="00F537AA"/>
    <w:rsid w:val="00F55452"/>
    <w:rsid w:val="00F556C2"/>
    <w:rsid w:val="00F63706"/>
    <w:rsid w:val="00F65CB5"/>
    <w:rsid w:val="00F66C40"/>
    <w:rsid w:val="00F717DE"/>
    <w:rsid w:val="00F7233C"/>
    <w:rsid w:val="00F74847"/>
    <w:rsid w:val="00F778F1"/>
    <w:rsid w:val="00F77C2A"/>
    <w:rsid w:val="00F80E58"/>
    <w:rsid w:val="00F821E4"/>
    <w:rsid w:val="00F835AC"/>
    <w:rsid w:val="00F8485E"/>
    <w:rsid w:val="00F85993"/>
    <w:rsid w:val="00F86AF0"/>
    <w:rsid w:val="00F87F43"/>
    <w:rsid w:val="00F9051F"/>
    <w:rsid w:val="00F96F4E"/>
    <w:rsid w:val="00F96F80"/>
    <w:rsid w:val="00FA32D5"/>
    <w:rsid w:val="00FB08A8"/>
    <w:rsid w:val="00FB0E86"/>
    <w:rsid w:val="00FB20D2"/>
    <w:rsid w:val="00FB36CC"/>
    <w:rsid w:val="00FB6815"/>
    <w:rsid w:val="00FC2FE0"/>
    <w:rsid w:val="00FC35D6"/>
    <w:rsid w:val="00FC54F4"/>
    <w:rsid w:val="00FD6F1B"/>
    <w:rsid w:val="00FE1AFC"/>
    <w:rsid w:val="00FE75B1"/>
    <w:rsid w:val="00FF0694"/>
    <w:rsid w:val="00FF1DA6"/>
    <w:rsid w:val="00FF2228"/>
    <w:rsid w:val="048D3C85"/>
    <w:rsid w:val="07B42F31"/>
    <w:rsid w:val="084B3BE4"/>
    <w:rsid w:val="09511A59"/>
    <w:rsid w:val="0AAC10FD"/>
    <w:rsid w:val="0AED4C65"/>
    <w:rsid w:val="0C7F638D"/>
    <w:rsid w:val="0DF04F6A"/>
    <w:rsid w:val="0E456C42"/>
    <w:rsid w:val="0E7D3C55"/>
    <w:rsid w:val="0EC2148A"/>
    <w:rsid w:val="0EFF5127"/>
    <w:rsid w:val="0F3E69CE"/>
    <w:rsid w:val="0F61774B"/>
    <w:rsid w:val="12D0036B"/>
    <w:rsid w:val="13935EAB"/>
    <w:rsid w:val="14F5446D"/>
    <w:rsid w:val="151C33B2"/>
    <w:rsid w:val="1696199B"/>
    <w:rsid w:val="16F419B4"/>
    <w:rsid w:val="192839B5"/>
    <w:rsid w:val="1B861841"/>
    <w:rsid w:val="1DCA77EF"/>
    <w:rsid w:val="1F4C6780"/>
    <w:rsid w:val="20D94EF4"/>
    <w:rsid w:val="211F12AE"/>
    <w:rsid w:val="286463E6"/>
    <w:rsid w:val="28E940C9"/>
    <w:rsid w:val="29275693"/>
    <w:rsid w:val="29561734"/>
    <w:rsid w:val="297E3C7F"/>
    <w:rsid w:val="2AD908DC"/>
    <w:rsid w:val="2B0A0276"/>
    <w:rsid w:val="2F3D025D"/>
    <w:rsid w:val="2FC562AC"/>
    <w:rsid w:val="3424001A"/>
    <w:rsid w:val="354422EF"/>
    <w:rsid w:val="35614A6B"/>
    <w:rsid w:val="356928AF"/>
    <w:rsid w:val="38AC7189"/>
    <w:rsid w:val="38B7524B"/>
    <w:rsid w:val="390B5A5B"/>
    <w:rsid w:val="39175561"/>
    <w:rsid w:val="3A6A3A15"/>
    <w:rsid w:val="3CCB3A6D"/>
    <w:rsid w:val="3E472C25"/>
    <w:rsid w:val="41B051C0"/>
    <w:rsid w:val="4221770A"/>
    <w:rsid w:val="45E66B3C"/>
    <w:rsid w:val="48A945F9"/>
    <w:rsid w:val="49E0092E"/>
    <w:rsid w:val="4A4A2C39"/>
    <w:rsid w:val="4AE155EA"/>
    <w:rsid w:val="4B552AA6"/>
    <w:rsid w:val="4C201050"/>
    <w:rsid w:val="4C7C31E7"/>
    <w:rsid w:val="4FA871BC"/>
    <w:rsid w:val="504925C9"/>
    <w:rsid w:val="50516BA0"/>
    <w:rsid w:val="51F423B3"/>
    <w:rsid w:val="52D576F4"/>
    <w:rsid w:val="533260C8"/>
    <w:rsid w:val="54C93027"/>
    <w:rsid w:val="567B29ED"/>
    <w:rsid w:val="5796443F"/>
    <w:rsid w:val="57CB6E97"/>
    <w:rsid w:val="57CF180D"/>
    <w:rsid w:val="58B968CF"/>
    <w:rsid w:val="5906339C"/>
    <w:rsid w:val="5A6B25A2"/>
    <w:rsid w:val="5AD90D18"/>
    <w:rsid w:val="5C1F35AE"/>
    <w:rsid w:val="5D5213D5"/>
    <w:rsid w:val="5F913D96"/>
    <w:rsid w:val="607138C8"/>
    <w:rsid w:val="614F04EA"/>
    <w:rsid w:val="615573BE"/>
    <w:rsid w:val="632905BE"/>
    <w:rsid w:val="660A2875"/>
    <w:rsid w:val="690454CC"/>
    <w:rsid w:val="69882699"/>
    <w:rsid w:val="69AE3CF0"/>
    <w:rsid w:val="6A736F31"/>
    <w:rsid w:val="6A8A1E2C"/>
    <w:rsid w:val="6BF07722"/>
    <w:rsid w:val="6C662BE4"/>
    <w:rsid w:val="6DA170E8"/>
    <w:rsid w:val="6E4F60A1"/>
    <w:rsid w:val="70A254D7"/>
    <w:rsid w:val="718F6CC7"/>
    <w:rsid w:val="73854316"/>
    <w:rsid w:val="74F72EF3"/>
    <w:rsid w:val="77F44B8E"/>
    <w:rsid w:val="7B12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0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0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locked/>
    <w:uiPriority w:val="0"/>
    <w:pPr>
      <w:ind w:firstLine="420" w:firstLineChars="200"/>
    </w:pPr>
    <w:rPr>
      <w:szCs w:val="24"/>
    </w:rPr>
  </w:style>
  <w:style w:type="paragraph" w:styleId="4">
    <w:name w:val="Body Text"/>
    <w:basedOn w:val="1"/>
    <w:link w:val="31"/>
    <w:qFormat/>
    <w:locked/>
    <w:uiPriority w:val="0"/>
    <w:pPr>
      <w:jc w:val="center"/>
    </w:pPr>
    <w:rPr>
      <w:rFonts w:eastAsia="仿宋_GB2312"/>
      <w:spacing w:val="-20"/>
      <w:sz w:val="24"/>
      <w:szCs w:val="24"/>
    </w:rPr>
  </w:style>
  <w:style w:type="paragraph" w:styleId="5">
    <w:name w:val="Body Text Indent"/>
    <w:basedOn w:val="1"/>
    <w:link w:val="32"/>
    <w:qFormat/>
    <w:locked/>
    <w:uiPriority w:val="0"/>
    <w:pPr>
      <w:ind w:firstLine="640" w:firstLineChars="200"/>
    </w:pPr>
    <w:rPr>
      <w:rFonts w:ascii="仿宋_GB2312" w:eastAsia="仿宋_GB2312"/>
      <w:sz w:val="30"/>
      <w:szCs w:val="24"/>
    </w:rPr>
  </w:style>
  <w:style w:type="paragraph" w:styleId="6">
    <w:name w:val="Plain Text"/>
    <w:basedOn w:val="1"/>
    <w:link w:val="33"/>
    <w:qFormat/>
    <w:locked/>
    <w:uiPriority w:val="0"/>
    <w:rPr>
      <w:rFonts w:ascii="宋体" w:hAnsi="Courier New" w:cs="Courier New"/>
    </w:rPr>
  </w:style>
  <w:style w:type="paragraph" w:styleId="7">
    <w:name w:val="Date"/>
    <w:basedOn w:val="1"/>
    <w:next w:val="1"/>
    <w:link w:val="18"/>
    <w:qFormat/>
    <w:uiPriority w:val="0"/>
    <w:pPr>
      <w:ind w:left="100" w:leftChars="2500"/>
    </w:pPr>
  </w:style>
  <w:style w:type="paragraph" w:styleId="8">
    <w:name w:val="Balloon Text"/>
    <w:basedOn w:val="1"/>
    <w:link w:val="19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13">
    <w:name w:val="Strong"/>
    <w:basedOn w:val="12"/>
    <w:qFormat/>
    <w:uiPriority w:val="0"/>
    <w:rPr>
      <w:rFonts w:cs="Times New Roman"/>
      <w:b/>
      <w:bCs/>
    </w:rPr>
  </w:style>
  <w:style w:type="character" w:styleId="14">
    <w:name w:val="page number"/>
    <w:basedOn w:val="12"/>
    <w:qFormat/>
    <w:uiPriority w:val="0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日期 Char"/>
    <w:basedOn w:val="12"/>
    <w:link w:val="7"/>
    <w:qFormat/>
    <w:locked/>
    <w:uiPriority w:val="0"/>
    <w:rPr>
      <w:rFonts w:cs="Times New Roman"/>
      <w:kern w:val="2"/>
      <w:sz w:val="24"/>
      <w:szCs w:val="24"/>
    </w:rPr>
  </w:style>
  <w:style w:type="character" w:customStyle="1" w:styleId="19">
    <w:name w:val="批注框文本 Char"/>
    <w:basedOn w:val="12"/>
    <w:link w:val="8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0">
    <w:name w:val="页脚 Char"/>
    <w:basedOn w:val="12"/>
    <w:link w:val="9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1">
    <w:name w:val="页眉 Char"/>
    <w:basedOn w:val="12"/>
    <w:link w:val="10"/>
    <w:qFormat/>
    <w:locked/>
    <w:uiPriority w:val="0"/>
    <w:rPr>
      <w:rFonts w:cs="Times New Roman"/>
      <w:kern w:val="2"/>
      <w:sz w:val="24"/>
      <w:szCs w:val="24"/>
    </w:rPr>
  </w:style>
  <w:style w:type="paragraph" w:customStyle="1" w:styleId="22">
    <w:name w:val="修正1行"/>
    <w:basedOn w:val="1"/>
    <w:next w:val="1"/>
    <w:qFormat/>
    <w:uiPriority w:val="99"/>
    <w:pPr>
      <w:spacing w:line="480" w:lineRule="exact"/>
      <w:ind w:firstLine="200" w:firstLineChars="200"/>
    </w:pPr>
    <w:rPr>
      <w:rFonts w:ascii="宋体" w:hAnsi="宋体" w:eastAsia="仿宋_GB2312" w:cs="宋体"/>
      <w:sz w:val="32"/>
      <w:szCs w:val="32"/>
    </w:rPr>
  </w:style>
  <w:style w:type="paragraph" w:customStyle="1" w:styleId="23">
    <w:name w:val="Char Char Char Char Char Char"/>
    <w:basedOn w:val="1"/>
    <w:qFormat/>
    <w:uiPriority w:val="99"/>
    <w:pPr>
      <w:ind w:left="432" w:hanging="432"/>
    </w:pPr>
    <w:rPr>
      <w:sz w:val="24"/>
      <w:szCs w:val="24"/>
    </w:rPr>
  </w:style>
  <w:style w:type="character" w:customStyle="1" w:styleId="24">
    <w:name w:val="样式 仿宋_GB23121"/>
    <w:basedOn w:val="12"/>
    <w:qFormat/>
    <w:uiPriority w:val="99"/>
    <w:rPr>
      <w:rFonts w:ascii="仿宋_GB2312" w:hAnsi="仿宋_GB2312" w:eastAsia="仿宋_GB2312" w:cs="仿宋_GB2312"/>
      <w:sz w:val="32"/>
      <w:szCs w:val="32"/>
    </w:rPr>
  </w:style>
  <w:style w:type="paragraph" w:customStyle="1" w:styleId="25">
    <w:name w:val="conte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6">
    <w:name w:val="List Paragraph"/>
    <w:basedOn w:val="1"/>
    <w:qFormat/>
    <w:uiPriority w:val="99"/>
    <w:pPr>
      <w:ind w:firstLine="420" w:firstLineChars="200"/>
    </w:pPr>
  </w:style>
  <w:style w:type="paragraph" w:customStyle="1" w:styleId="27">
    <w:name w:val="Default Paragraph Font Para Char"/>
    <w:basedOn w:val="1"/>
    <w:qFormat/>
    <w:uiPriority w:val="0"/>
    <w:pPr>
      <w:widowControl/>
      <w:spacing w:after="160" w:line="40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28">
    <w:name w:val="Char Char Char Char Char Char Char Char Char Char Char Char Char Char Char Char Char Char Char"/>
    <w:basedOn w:val="1"/>
    <w:qFormat/>
    <w:uiPriority w:val="99"/>
    <w:pPr>
      <w:tabs>
        <w:tab w:val="left" w:pos="907"/>
      </w:tabs>
      <w:spacing w:line="540" w:lineRule="exact"/>
      <w:ind w:left="907" w:hanging="453" w:firstLineChars="200"/>
    </w:pPr>
    <w:rPr>
      <w:rFonts w:ascii="Calibri" w:hAnsi="Calibri" w:cs="Calibri"/>
      <w:sz w:val="24"/>
      <w:szCs w:val="24"/>
    </w:rPr>
  </w:style>
  <w:style w:type="paragraph" w:customStyle="1" w:styleId="29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标题 1 Char"/>
    <w:basedOn w:val="12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1">
    <w:name w:val="正文文本 Char"/>
    <w:basedOn w:val="12"/>
    <w:link w:val="4"/>
    <w:qFormat/>
    <w:uiPriority w:val="0"/>
    <w:rPr>
      <w:rFonts w:eastAsia="仿宋_GB2312"/>
      <w:spacing w:val="-20"/>
      <w:kern w:val="2"/>
      <w:sz w:val="24"/>
      <w:szCs w:val="24"/>
    </w:rPr>
  </w:style>
  <w:style w:type="character" w:customStyle="1" w:styleId="32">
    <w:name w:val="正文文本缩进 Char"/>
    <w:basedOn w:val="12"/>
    <w:link w:val="5"/>
    <w:qFormat/>
    <w:uiPriority w:val="0"/>
    <w:rPr>
      <w:rFonts w:ascii="仿宋_GB2312" w:eastAsia="仿宋_GB2312"/>
      <w:kern w:val="2"/>
      <w:sz w:val="30"/>
      <w:szCs w:val="24"/>
    </w:rPr>
  </w:style>
  <w:style w:type="character" w:customStyle="1" w:styleId="33">
    <w:name w:val="纯文本 Char"/>
    <w:basedOn w:val="12"/>
    <w:link w:val="6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34">
    <w:name w:val="Char Char"/>
    <w:basedOn w:val="1"/>
    <w:qFormat/>
    <w:uiPriority w:val="0"/>
    <w:pPr>
      <w:widowControl/>
      <w:spacing w:after="160" w:line="240" w:lineRule="exact"/>
      <w:ind w:firstLine="420" w:firstLineChars="200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35">
    <w:name w:val="p0"/>
    <w:basedOn w:val="1"/>
    <w:qFormat/>
    <w:uiPriority w:val="99"/>
    <w:pPr>
      <w:widowControl/>
    </w:pPr>
    <w:rPr>
      <w:rFonts w:ascii="Calibri" w:hAnsi="Calibri" w:cs="宋体"/>
      <w:kern w:val="0"/>
    </w:rPr>
  </w:style>
  <w:style w:type="character" w:customStyle="1" w:styleId="36">
    <w:name w:val="NormalCharacter"/>
    <w:semiHidden/>
    <w:qFormat/>
    <w:uiPriority w:val="0"/>
  </w:style>
  <w:style w:type="paragraph" w:customStyle="1" w:styleId="37">
    <w:name w:val="Body Text First Indent 21"/>
    <w:basedOn w:val="1"/>
    <w:qFormat/>
    <w:uiPriority w:val="0"/>
    <w:pPr>
      <w:spacing w:after="120" w:line="340" w:lineRule="exact"/>
      <w:ind w:left="420" w:leftChars="200" w:right="-139" w:hanging="26" w:hangingChars="26"/>
    </w:pPr>
    <w:rPr>
      <w:rFonts w:ascii="华文中宋" w:hAnsi="华文中宋" w:eastAsia="华文中宋"/>
      <w:sz w:val="24"/>
      <w:szCs w:val="20"/>
    </w:rPr>
  </w:style>
  <w:style w:type="paragraph" w:customStyle="1" w:styleId="38">
    <w:name w:val="No Spacing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39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eastAsia="方正小标宋_GBK"/>
      <w:snapToGrid w:val="0"/>
      <w:kern w:val="0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FE03BF-9FD2-44D9-8777-C5FE49A8E0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73</Words>
  <Characters>420</Characters>
  <Lines>3</Lines>
  <Paragraphs>1</Paragraphs>
  <TotalTime>0</TotalTime>
  <ScaleCrop>false</ScaleCrop>
  <LinksUpToDate>false</LinksUpToDate>
  <CharactersWithSpaces>492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2021-08-23T07:38:00Z</dcterms:created>
  <dc:creator>微软用户</dc:creator>
  <cp:lastModifiedBy>Administrator</cp:lastModifiedBy>
  <cp:lastPrinted>2022-03-11T02:28:00Z</cp:lastPrinted>
  <dcterms:modified xsi:type="dcterms:W3CDTF">2022-04-01T16:37:49Z</dcterms:modified>
  <dc:title>泉丰泉工委〔2013〕 号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