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cs="Times New Roman"/>
          <w:b/>
          <w:bCs/>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cs="Times New Roman"/>
          <w:b/>
          <w:bCs/>
          <w:sz w:val="44"/>
          <w:szCs w:val="44"/>
        </w:rPr>
      </w:pPr>
    </w:p>
    <w:p>
      <w:pPr>
        <w:keepNext w:val="0"/>
        <w:keepLines w:val="0"/>
        <w:pageBreakBefore w:val="0"/>
        <w:tabs>
          <w:tab w:val="left" w:pos="375"/>
        </w:tabs>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b/>
      </w:r>
    </w:p>
    <w:p>
      <w:pPr>
        <w:keepNext w:val="0"/>
        <w:keepLines w:val="0"/>
        <w:pageBreakBefore w:val="0"/>
        <w:tabs>
          <w:tab w:val="left" w:pos="375"/>
        </w:tabs>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p>
    <w:p>
      <w:pPr>
        <w:keepNext w:val="0"/>
        <w:keepLines w:val="0"/>
        <w:pageBreakBefore w:val="0"/>
        <w:tabs>
          <w:tab w:val="left" w:pos="375"/>
        </w:tabs>
        <w:kinsoku/>
        <w:wordWrap/>
        <w:overflowPunct/>
        <w:topLinePunct w:val="0"/>
        <w:autoSpaceDE/>
        <w:autoSpaceDN/>
        <w:bidi w:val="0"/>
        <w:adjustRightInd/>
        <w:snapToGrid/>
        <w:spacing w:line="579" w:lineRule="exact"/>
        <w:jc w:val="center"/>
        <w:textAlignment w:val="auto"/>
        <w:rPr>
          <w:rFonts w:hint="default" w:ascii="Times New Roman" w:hAnsi="Times New Roman" w:eastAsia="楷体_GB2312" w:cs="Times New Roman"/>
          <w:sz w:val="32"/>
          <w:szCs w:val="32"/>
        </w:rPr>
      </w:pPr>
      <w:r>
        <w:rPr>
          <w:rFonts w:hint="eastAsia" w:ascii="仿宋_GB2312" w:hAnsi="仿宋_GB2312" w:eastAsia="仿宋_GB2312" w:cs="仿宋_GB2312"/>
          <w:sz w:val="32"/>
          <w:szCs w:val="32"/>
        </w:rPr>
        <w:t>泉丰泉办〔202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79" w:lineRule="exact"/>
        <w:ind w:firstLine="160" w:firstLineChars="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79"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关于做好2023年泉秀街道</w:t>
      </w:r>
    </w:p>
    <w:p>
      <w:pPr>
        <w:keepNext w:val="0"/>
        <w:keepLines w:val="0"/>
        <w:pageBreakBefore w:val="0"/>
        <w:widowControl w:val="0"/>
        <w:kinsoku/>
        <w:wordWrap/>
        <w:overflowPunct/>
        <w:topLinePunct w:val="0"/>
        <w:bidi w:val="0"/>
        <w:spacing w:line="579"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65岁及以上老年人免费健康体检的通知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44"/>
          <w:szCs w:val="44"/>
        </w:rPr>
      </w:pPr>
    </w:p>
    <w:p>
      <w:pPr>
        <w:keepNext w:val="0"/>
        <w:keepLines w:val="0"/>
        <w:pageBreakBefore w:val="0"/>
        <w:widowControl w:val="0"/>
        <w:kinsoku/>
        <w:wordWrap/>
        <w:overflowPunct/>
        <w:topLinePunct w:val="0"/>
        <w:bidi w:val="0"/>
        <w:spacing w:line="579"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000000"/>
          <w:sz w:val="32"/>
          <w:szCs w:val="32"/>
          <w:lang w:val="en-US" w:eastAsia="zh-CN"/>
        </w:rPr>
        <w:t>居委会</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老年人健康管理服务项目是国家基本公共卫生服务项目中的一项服务内容，根据《</w:t>
      </w:r>
      <w:bookmarkStart w:id="0" w:name="_GoBack"/>
      <w:r>
        <w:rPr>
          <w:rFonts w:hint="eastAsia" w:ascii="仿宋_GB2312" w:hAnsi="仿宋_GB2312" w:eastAsia="仿宋_GB2312" w:cs="仿宋_GB2312"/>
          <w:sz w:val="32"/>
          <w:szCs w:val="32"/>
        </w:rPr>
        <w:t>国</w:t>
      </w:r>
      <w:bookmarkEnd w:id="0"/>
      <w:r>
        <w:rPr>
          <w:rFonts w:hint="eastAsia" w:ascii="仿宋_GB2312" w:hAnsi="仿宋_GB2312" w:eastAsia="仿宋_GB2312" w:cs="仿宋_GB2312"/>
          <w:sz w:val="32"/>
          <w:szCs w:val="32"/>
        </w:rPr>
        <w:t>家基本公共卫生服务规范》中的《老年人健康管理服务规范》要求，辖区内65岁及以上老年人每年可享受一次免费健康体检服务，内容包括生活方式和健康状况评估、体格检查、辅助检查和健康指导。通过开展免费健康体检活动，对城乡居民健康问题实施健康教育和健康干预措施，减少主要健康危险因素，有效预防和控制传染病及慢性病，使居民健康水平得到进一步提高。为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年泉秀街道65岁及以上老年人免费健康体检工作，现就有关事项通知如下。</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一、免费体检对象</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泉秀街道辖区65周岁及以上老年人（无户籍限制）。</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二、体检项目</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体格检查（含内外、五官等常规检查项目）。</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身高、体重、血压、腰围。</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辅助检查</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包括血常规、尿常规、生化检查（慢性病患者且签约家庭医生对象、做中医体质辨识项目者检查生化大套，其他对象检查生化小套）</w:t>
      </w:r>
      <w:r>
        <w:rPr>
          <w:rFonts w:hint="eastAsia" w:ascii="仿宋_GB2312" w:hAnsi="仿宋_GB2312" w:eastAsia="仿宋_GB2312" w:cs="仿宋_GB2312"/>
          <w:color w:val="1C1B10"/>
          <w:sz w:val="32"/>
          <w:szCs w:val="32"/>
        </w:rPr>
        <w:t>、</w:t>
      </w:r>
      <w:r>
        <w:rPr>
          <w:rFonts w:hint="eastAsia" w:ascii="仿宋_GB2312" w:hAnsi="仿宋_GB2312" w:eastAsia="仿宋_GB2312" w:cs="仿宋_GB2312"/>
          <w:color w:val="1C1B10"/>
          <w:kern w:val="0"/>
          <w:sz w:val="32"/>
          <w:szCs w:val="32"/>
        </w:rPr>
        <w:t>心电图和腹部B超（肝胆胰脾）。</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color w:val="1C1B10"/>
          <w:sz w:val="32"/>
          <w:szCs w:val="32"/>
        </w:rPr>
      </w:pPr>
      <w:r>
        <w:rPr>
          <w:rFonts w:hint="eastAsia" w:ascii="仿宋_GB2312" w:hAnsi="仿宋_GB2312" w:eastAsia="仿宋_GB2312" w:cs="仿宋_GB2312"/>
          <w:color w:val="1C1B10"/>
          <w:sz w:val="32"/>
          <w:szCs w:val="32"/>
          <w:lang w:val="en-US" w:eastAsia="zh-CN"/>
        </w:rPr>
        <w:t>4.</w:t>
      </w:r>
      <w:r>
        <w:rPr>
          <w:rFonts w:hint="eastAsia" w:ascii="仿宋_GB2312" w:hAnsi="仿宋_GB2312" w:eastAsia="仿宋_GB2312" w:cs="仿宋_GB2312"/>
          <w:color w:val="1C1B10"/>
          <w:sz w:val="32"/>
          <w:szCs w:val="32"/>
        </w:rPr>
        <w:t>中医体质辨识，包括做体质辨识并进行保健指导。</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肺部影像X光拍片，对象</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所有参与的体检对象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本项目为非基公卫项目，免费提。拍片不洗片，不出报告，异常者会现场告知</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628"/>
        </w:tabs>
        <w:kinsoku/>
        <w:wordWrap/>
        <w:overflowPunct/>
        <w:topLinePunct w:val="0"/>
        <w:bidi w:val="0"/>
        <w:snapToGrid/>
        <w:spacing w:line="579"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家庭医生签约</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tabs>
          <w:tab w:val="left" w:pos="628"/>
        </w:tabs>
        <w:kinsoku/>
        <w:wordWrap/>
        <w:overflowPunct/>
        <w:topLinePunct w:val="0"/>
        <w:bidi w:val="0"/>
        <w:snapToGrid/>
        <w:spacing w:line="579" w:lineRule="exact"/>
        <w:ind w:firstLine="643" w:firstLineChars="20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签约对象</w:t>
      </w:r>
    </w:p>
    <w:p>
      <w:pPr>
        <w:keepNext w:val="0"/>
        <w:keepLines w:val="0"/>
        <w:pageBreakBefore w:val="0"/>
        <w:widowControl w:val="0"/>
        <w:tabs>
          <w:tab w:val="left" w:pos="628"/>
        </w:tabs>
        <w:kinsoku/>
        <w:wordWrap/>
        <w:overflowPunct/>
        <w:topLinePunct w:val="0"/>
        <w:bidi w:val="0"/>
        <w:snapToGrid/>
        <w:spacing w:line="579"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A.有偿签约（即需医保结算，重点人群100%签约）：65岁以上老年人、0-6岁儿童、孕产妇、残疾人、计生特殊家庭、重精、肺结核、高血压、糖尿病、恶性肿瘤患者。</w:t>
      </w:r>
    </w:p>
    <w:p>
      <w:pPr>
        <w:keepNext w:val="0"/>
        <w:keepLines w:val="0"/>
        <w:pageBreakBefore w:val="0"/>
        <w:widowControl w:val="0"/>
        <w:tabs>
          <w:tab w:val="left" w:pos="628"/>
        </w:tabs>
        <w:kinsoku/>
        <w:wordWrap/>
        <w:overflowPunct/>
        <w:topLinePunct w:val="0"/>
        <w:bidi w:val="0"/>
        <w:snapToGrid/>
        <w:spacing w:line="579"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B.无偿签约（即只签约，无需医保结算）：辖区普通居民（签约率需达40%）。</w:t>
      </w:r>
    </w:p>
    <w:p>
      <w:pPr>
        <w:keepNext w:val="0"/>
        <w:keepLines w:val="0"/>
        <w:pageBreakBefore w:val="0"/>
        <w:widowControl w:val="0"/>
        <w:tabs>
          <w:tab w:val="left" w:pos="628"/>
        </w:tabs>
        <w:kinsoku/>
        <w:wordWrap/>
        <w:overflowPunct/>
        <w:topLinePunct w:val="0"/>
        <w:bidi w:val="0"/>
        <w:snapToGrid/>
        <w:spacing w:line="579" w:lineRule="exact"/>
        <w:ind w:firstLine="640" w:firstLineChars="200"/>
        <w:jc w:val="left"/>
        <w:textAlignment w:val="auto"/>
        <w:rPr>
          <w:rFonts w:hint="default"/>
          <w:sz w:val="32"/>
          <w:szCs w:val="32"/>
          <w:lang w:val="en-US"/>
        </w:rPr>
      </w:pPr>
      <w:r>
        <w:rPr>
          <w:rFonts w:hint="eastAsia" w:ascii="仿宋_GB2312" w:hAnsi="仿宋_GB2312" w:eastAsia="仿宋_GB2312" w:cs="仿宋_GB2312"/>
          <w:color w:val="000000"/>
          <w:sz w:val="32"/>
          <w:szCs w:val="32"/>
          <w:lang w:val="en-US" w:eastAsia="zh-CN"/>
        </w:rPr>
        <w:t>C.中医个性化有偿签约服务包（以中医科为主导，签约服务包主要服务项目有中医辨证论治、推拿、刮痧、拔罐、红外线照射等。共提供4次服务，其中第3、4次只收取诊查费，不收取治疗费）。</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与泉州市第一医院胸痛中心合作开展冠心病筛查问询。</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眼底筛查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仅限每星期五上午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，对象是所有参与的体检对象。</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三、体检机构</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泉秀街道社区卫生服务中心（政府办基层医疗卫生机构，位于泉州市灯荣路29号，浦西安置房泉秀幼儿园西侧，联系电话28220052）。</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四、体检时间，周一到周</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每天早上8:00-11:00，各社区体检时间具体安排如下</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沉洲社区：2月13日至2月16日，为期4天。</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成州社区：2月17日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18日、</w:t>
      </w:r>
      <w:r>
        <w:rPr>
          <w:rFonts w:hint="eastAsia" w:ascii="仿宋_GB2312" w:hAnsi="仿宋_GB2312" w:eastAsia="仿宋_GB2312" w:cs="仿宋_GB2312"/>
          <w:sz w:val="32"/>
          <w:szCs w:val="32"/>
        </w:rPr>
        <w:t>20日，为期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天。</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新秀社区：2月21日至2月2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日，为期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天。</w:t>
      </w:r>
    </w:p>
    <w:p>
      <w:pPr>
        <w:keepNext w:val="0"/>
        <w:keepLines w:val="0"/>
        <w:pageBreakBefore w:val="0"/>
        <w:widowControl w:val="0"/>
        <w:kinsoku/>
        <w:wordWrap/>
        <w:overflowPunct/>
        <w:topLinePunct w:val="0"/>
        <w:bidi w:val="0"/>
        <w:spacing w:line="579" w:lineRule="exact"/>
        <w:ind w:left="2238" w:leftChars="304"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泉淮社区：2月27日至3月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日，为期</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天。</w:t>
      </w:r>
    </w:p>
    <w:p>
      <w:pPr>
        <w:keepNext w:val="0"/>
        <w:keepLines w:val="0"/>
        <w:pageBreakBefore w:val="0"/>
        <w:widowControl w:val="0"/>
        <w:kinsoku/>
        <w:wordWrap/>
        <w:overflowPunct/>
        <w:topLinePunct w:val="0"/>
        <w:bidi w:val="0"/>
        <w:spacing w:line="579" w:lineRule="exact"/>
        <w:ind w:left="2238" w:leftChars="304"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华丰社区：3月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日，为期</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天。</w:t>
      </w:r>
    </w:p>
    <w:p>
      <w:pPr>
        <w:keepNext w:val="0"/>
        <w:keepLines w:val="0"/>
        <w:pageBreakBefore w:val="0"/>
        <w:widowControl w:val="0"/>
        <w:kinsoku/>
        <w:wordWrap/>
        <w:overflowPunct/>
        <w:topLinePunct w:val="0"/>
        <w:bidi w:val="0"/>
        <w:spacing w:line="579" w:lineRule="exact"/>
        <w:ind w:left="2238" w:leftChars="304"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灯州社区：3月1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日至3月23日，为期</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3月19日周末停检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79" w:lineRule="exact"/>
        <w:ind w:left="2238" w:leftChars="304"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灯星社区：3月24日至31日，为期</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3月</w:t>
      </w:r>
      <w:r>
        <w:rPr>
          <w:rFonts w:hint="eastAsia" w:ascii="仿宋_GB2312" w:hAnsi="仿宋_GB2312" w:eastAsia="仿宋_GB2312" w:cs="仿宋_GB2312"/>
          <w:sz w:val="32"/>
          <w:szCs w:val="32"/>
          <w:lang w:val="en-US" w:eastAsia="zh-CN"/>
        </w:rPr>
        <w:t>26日周末停检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五</w:t>
      </w:r>
      <w:r>
        <w:rPr>
          <w:rFonts w:hint="eastAsia" w:ascii="黑体" w:hAnsi="黑体" w:eastAsia="黑体" w:cs="黑体"/>
          <w:b w:val="0"/>
          <w:bCs/>
          <w:color w:val="000000"/>
          <w:sz w:val="32"/>
          <w:szCs w:val="32"/>
        </w:rPr>
        <w:t>、体检任务数（单位：人）</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04"/>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64"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华丰</w:t>
            </w:r>
          </w:p>
        </w:tc>
        <w:tc>
          <w:tcPr>
            <w:tcW w:w="1104"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沉洲</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新秀</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泉淮</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灯洲</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灯星</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成洲</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64"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509</w:t>
            </w:r>
          </w:p>
        </w:tc>
        <w:tc>
          <w:tcPr>
            <w:tcW w:w="1104"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387</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385</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637</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820</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612</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180</w:t>
            </w:r>
          </w:p>
        </w:tc>
        <w:tc>
          <w:tcPr>
            <w:tcW w:w="1080" w:type="dxa"/>
            <w:noWrap w:val="0"/>
            <w:vAlign w:val="top"/>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3530</w:t>
            </w:r>
          </w:p>
        </w:tc>
      </w:tr>
    </w:tbl>
    <w:p>
      <w:pPr>
        <w:keepNext w:val="0"/>
        <w:keepLines w:val="0"/>
        <w:pageBreakBefore w:val="0"/>
        <w:widowControl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、工作要求</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老年人免费体检工作作为政府的一项民生工作，各</w:t>
      </w:r>
      <w:r>
        <w:rPr>
          <w:rFonts w:hint="eastAsia" w:ascii="仿宋_GB2312" w:hAnsi="仿宋_GB2312" w:eastAsia="仿宋_GB2312" w:cs="仿宋_GB2312"/>
          <w:sz w:val="32"/>
          <w:szCs w:val="32"/>
          <w:lang w:val="en-US" w:eastAsia="zh-CN"/>
        </w:rPr>
        <w:t>社区居委会</w:t>
      </w:r>
      <w:r>
        <w:rPr>
          <w:rFonts w:hint="eastAsia" w:ascii="仿宋_GB2312" w:hAnsi="仿宋_GB2312" w:eastAsia="仿宋_GB2312" w:cs="仿宋_GB2312"/>
          <w:sz w:val="32"/>
          <w:szCs w:val="32"/>
        </w:rPr>
        <w:t>要高度重视，形成共识，组织好</w:t>
      </w:r>
      <w:r>
        <w:rPr>
          <w:rFonts w:hint="eastAsia" w:ascii="仿宋_GB2312" w:hAnsi="仿宋_GB2312" w:eastAsia="仿宋_GB2312" w:cs="仿宋_GB2312"/>
          <w:sz w:val="32"/>
          <w:szCs w:val="32"/>
          <w:lang w:val="en-US" w:eastAsia="zh-CN"/>
        </w:rPr>
        <w:t>社区精干力量</w:t>
      </w:r>
      <w:r>
        <w:rPr>
          <w:rFonts w:hint="eastAsia" w:ascii="仿宋_GB2312" w:hAnsi="仿宋_GB2312" w:eastAsia="仿宋_GB2312" w:cs="仿宋_GB2312"/>
          <w:sz w:val="32"/>
          <w:szCs w:val="32"/>
        </w:rPr>
        <w:t>做好宣传工作，动员符合条件的老年人参加免费体检，形成良好的舆论氛围，按时完成体检任务；</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体检地点设置在泉秀街道社区卫生服务中心4楼，体检设施及引导标识由中心</w:t>
      </w:r>
      <w:r>
        <w:rPr>
          <w:rFonts w:hint="eastAsia" w:ascii="仿宋_GB2312" w:hAnsi="仿宋_GB2312" w:eastAsia="仿宋_GB2312" w:cs="仿宋_GB2312"/>
          <w:sz w:val="32"/>
          <w:szCs w:val="32"/>
          <w:lang w:val="en-US" w:eastAsia="zh-CN"/>
        </w:rPr>
        <w:t>统一</w:t>
      </w:r>
      <w:r>
        <w:rPr>
          <w:rFonts w:hint="eastAsia" w:ascii="仿宋_GB2312" w:hAnsi="仿宋_GB2312" w:eastAsia="仿宋_GB2312" w:cs="仿宋_GB2312"/>
          <w:sz w:val="32"/>
          <w:szCs w:val="32"/>
        </w:rPr>
        <w:t>安排；</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为避免因等待体检时间过长造成空腹体检的老年人低血糖现象，影响老年人健康，中心提供简单的早餐供体检后的老年人食用；</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当年度已免费体检过的不再享受该项政策；</w:t>
      </w:r>
    </w:p>
    <w:p>
      <w:pPr>
        <w:keepNext w:val="0"/>
        <w:keepLines w:val="0"/>
        <w:pageBreakBefore w:val="0"/>
        <w:widowControl w:val="0"/>
        <w:kinsoku/>
        <w:wordWrap/>
        <w:overflowPunct/>
        <w:topLinePunct w:val="0"/>
        <w:bidi w:val="0"/>
        <w:spacing w:line="579"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各社区居委会要安排专人负责组织体检事宜，统筹安排社区老人协会、卫计保健助理员等进行分片区、分批次做好老年人体检的组织工作，</w:t>
      </w:r>
      <w:r>
        <w:rPr>
          <w:rFonts w:hint="eastAsia" w:ascii="仿宋_GB2312" w:hAnsi="仿宋_GB2312" w:eastAsia="仿宋_GB2312" w:cs="仿宋_GB2312"/>
          <w:sz w:val="32"/>
          <w:szCs w:val="32"/>
          <w:lang w:eastAsia="zh-CN"/>
        </w:rPr>
        <w:t>体检时间段内</w:t>
      </w:r>
      <w:r>
        <w:rPr>
          <w:rFonts w:hint="eastAsia" w:ascii="仿宋_GB2312" w:hAnsi="仿宋_GB2312" w:eastAsia="仿宋_GB2312" w:cs="仿宋_GB2312"/>
          <w:sz w:val="32"/>
          <w:szCs w:val="32"/>
        </w:rPr>
        <w:t>每天</w:t>
      </w:r>
      <w:r>
        <w:rPr>
          <w:rFonts w:hint="eastAsia" w:ascii="仿宋_GB2312" w:hAnsi="仿宋_GB2312" w:eastAsia="仿宋_GB2312" w:cs="仿宋_GB2312"/>
          <w:sz w:val="32"/>
          <w:szCs w:val="32"/>
          <w:lang w:eastAsia="zh-CN"/>
        </w:rPr>
        <w:t>早上</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、体检须知</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参与体检对象要</w:t>
      </w:r>
      <w:r>
        <w:rPr>
          <w:rFonts w:hint="eastAsia" w:ascii="仿宋_GB2312" w:hAnsi="仿宋_GB2312" w:eastAsia="仿宋_GB2312" w:cs="仿宋_GB2312"/>
          <w:sz w:val="32"/>
          <w:szCs w:val="32"/>
        </w:rPr>
        <w:t>携带</w:t>
      </w:r>
      <w:r>
        <w:rPr>
          <w:rFonts w:hint="eastAsia" w:ascii="仿宋_GB2312" w:hAnsi="仿宋_GB2312" w:eastAsia="仿宋_GB2312" w:cs="仿宋_GB2312"/>
          <w:sz w:val="32"/>
          <w:szCs w:val="32"/>
          <w:lang w:val="en-US" w:eastAsia="zh-CN"/>
        </w:rPr>
        <w:t>身份证或</w:t>
      </w:r>
      <w:r>
        <w:rPr>
          <w:rFonts w:hint="eastAsia" w:ascii="仿宋_GB2312" w:hAnsi="仿宋_GB2312" w:eastAsia="仿宋_GB2312" w:cs="仿宋_GB2312"/>
          <w:sz w:val="32"/>
          <w:szCs w:val="32"/>
        </w:rPr>
        <w:t>医保卡，如有长期服药需携带所服药品；</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2.体检前2-3天尽量早睡、忌饮酒及咖啡、忌食辛辣食物、避免受凉；</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3.体检时要求空腹，在体检前一晚10点后不再进食，保持空腹（可少量饮水）状态；</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4.体检当天，着宽松易脱的衣服，不要穿连衣裙、连裤袜；</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5.如曾动过手术，有慢性病等特殊病史，请主动告知医生。尤其是患有糖尿病、高血压、心脏病、哮喘等慢性疾病的患者，可服用药物后再抽血。</w:t>
      </w:r>
    </w:p>
    <w:p>
      <w:pPr>
        <w:keepNext w:val="0"/>
        <w:keepLines w:val="0"/>
        <w:pageBreakBefore w:val="0"/>
        <w:widowControl w:val="0"/>
        <w:kinsoku/>
        <w:wordWrap/>
        <w:overflowPunct/>
        <w:topLinePunct w:val="0"/>
        <w:autoSpaceDN w:val="0"/>
        <w:bidi w:val="0"/>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为保证老年人参加体检能安全顺利，请</w:t>
      </w:r>
      <w:r>
        <w:rPr>
          <w:rFonts w:hint="eastAsia" w:ascii="仿宋_GB2312" w:hAnsi="仿宋_GB2312" w:eastAsia="仿宋_GB2312" w:cs="仿宋_GB2312"/>
          <w:color w:val="333333"/>
          <w:sz w:val="32"/>
          <w:szCs w:val="32"/>
          <w:lang w:val="en-US" w:eastAsia="zh-CN"/>
        </w:rPr>
        <w:t>通知</w:t>
      </w:r>
      <w:r>
        <w:rPr>
          <w:rFonts w:hint="eastAsia" w:ascii="仿宋_GB2312" w:hAnsi="仿宋_GB2312" w:eastAsia="仿宋_GB2312" w:cs="仿宋_GB2312"/>
          <w:color w:val="333333"/>
          <w:sz w:val="32"/>
          <w:szCs w:val="32"/>
        </w:rPr>
        <w:t>社区居民老人家属或监护人注意如下几点建议：</w:t>
      </w:r>
    </w:p>
    <w:p>
      <w:pPr>
        <w:keepNext w:val="0"/>
        <w:keepLines w:val="0"/>
        <w:pageBreakBefore w:val="0"/>
        <w:widowControl w:val="0"/>
        <w:kinsoku/>
        <w:wordWrap/>
        <w:overflowPunct/>
        <w:topLinePunct w:val="0"/>
        <w:autoSpaceDN w:val="0"/>
        <w:bidi w:val="0"/>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八十岁以上老人或身体较弱、行动迟缓者，须有年轻家属陪伴全程体检，谨防意外。</w:t>
      </w:r>
    </w:p>
    <w:p>
      <w:pPr>
        <w:keepNext w:val="0"/>
        <w:keepLines w:val="0"/>
        <w:pageBreakBefore w:val="0"/>
        <w:widowControl w:val="0"/>
        <w:kinsoku/>
        <w:wordWrap/>
        <w:overflowPunct/>
        <w:topLinePunct w:val="0"/>
        <w:autoSpaceDN w:val="0"/>
        <w:bidi w:val="0"/>
        <w:spacing w:line="579" w:lineRule="exact"/>
        <w:ind w:lef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高龄、卧床和行动不便的老人可以联系</w:t>
      </w:r>
      <w:r>
        <w:rPr>
          <w:rFonts w:hint="eastAsia" w:ascii="仿宋_GB2312" w:hAnsi="仿宋_GB2312" w:eastAsia="仿宋_GB2312" w:cs="仿宋_GB2312"/>
          <w:color w:val="333333"/>
          <w:sz w:val="32"/>
          <w:szCs w:val="32"/>
          <w:lang w:eastAsia="zh-CN"/>
        </w:rPr>
        <w:t>泉秀街道社区卫生服务</w:t>
      </w:r>
      <w:r>
        <w:rPr>
          <w:rFonts w:hint="eastAsia" w:ascii="仿宋_GB2312" w:hAnsi="仿宋_GB2312" w:eastAsia="仿宋_GB2312" w:cs="仿宋_GB2312"/>
          <w:color w:val="333333"/>
          <w:sz w:val="32"/>
          <w:szCs w:val="32"/>
        </w:rPr>
        <w:t>中心社区卫生服务团队预约上门体检；</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老年人领用体检报告，建议由年轻家属代为领取，并到</w:t>
      </w:r>
      <w:r>
        <w:rPr>
          <w:rFonts w:hint="eastAsia" w:ascii="仿宋_GB2312" w:hAnsi="仿宋_GB2312" w:eastAsia="仿宋_GB2312" w:cs="仿宋_GB2312"/>
          <w:color w:val="333333"/>
          <w:sz w:val="32"/>
          <w:szCs w:val="32"/>
          <w:lang w:eastAsia="zh-CN"/>
        </w:rPr>
        <w:t>泉秀街道社区卫生服务</w:t>
      </w:r>
      <w:r>
        <w:rPr>
          <w:rFonts w:hint="eastAsia" w:ascii="仿宋_GB2312" w:hAnsi="仿宋_GB2312" w:eastAsia="仿宋_GB2312" w:cs="仿宋_GB2312"/>
          <w:color w:val="333333"/>
          <w:sz w:val="32"/>
          <w:szCs w:val="32"/>
        </w:rPr>
        <w:t>中心全科诊室解读体检报告。</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体检后由泉秀街道社区卫生服务中心及时告知健康体检结果并进行相应健康指导，同时做好如下工作：</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对发现已确诊的原发性高血压和2型糖尿病等患者纳入相应的慢性病患者健康管理，同时协助慢性病患者办理门诊特殊病种诊疗证，需经体检和医保批准后方可办理。</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对体检中发现有异常的老年人建议定期复查。</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进行健康生活方式以及疫苗接种、骨质疏松预防、防跌倒措施、意外伤害预防和自救等健康指导。</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3200" w:firstLineChars="1000"/>
        <w:jc w:val="center"/>
        <w:textAlignment w:val="auto"/>
        <w:rPr>
          <w:rFonts w:hint="eastAsia" w:ascii="仿宋_GB2312" w:hAnsi="仿宋_GB2312" w:eastAsia="仿宋_GB2312" w:cs="仿宋_GB231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3200" w:firstLineChars="1000"/>
        <w:jc w:val="center"/>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泉州市</w:t>
      </w:r>
      <w:r>
        <w:rPr>
          <w:rFonts w:hint="eastAsia" w:ascii="仿宋_GB2312" w:hAnsi="仿宋_GB2312" w:eastAsia="仿宋_GB2312" w:cs="仿宋_GB2312"/>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jc w:val="both"/>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202</w:t>
      </w:r>
      <w:r>
        <w:rPr>
          <w:rFonts w:hint="eastAsia" w:ascii="仿宋_GB2312" w:hAnsi="仿宋_GB2312" w:eastAsia="仿宋_GB2312" w:cs="仿宋_GB2312"/>
          <w:sz w:val="32"/>
          <w:szCs w:val="32"/>
          <w:highlight w:val="none"/>
          <w:shd w:val="clear" w:color="auto" w:fill="FFFFFF"/>
          <w:lang w:val="en-US" w:eastAsia="zh-CN"/>
        </w:rPr>
        <w:t>3</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14</w:t>
      </w:r>
      <w:r>
        <w:rPr>
          <w:rFonts w:hint="eastAsia" w:ascii="仿宋_GB2312" w:hAnsi="仿宋_GB2312" w:eastAsia="仿宋_GB2312" w:cs="仿宋_GB2312"/>
          <w:sz w:val="32"/>
          <w:szCs w:val="32"/>
          <w:highlight w:val="none"/>
          <w:shd w:val="clear" w:color="auto" w:fill="FFFFFF"/>
        </w:rPr>
        <w:t>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pacing w:val="-10"/>
          <w:sz w:val="44"/>
          <w:szCs w:val="44"/>
        </w:rPr>
      </w:pPr>
    </w:p>
    <w:p>
      <w:pPr>
        <w:spacing w:line="180" w:lineRule="exact"/>
        <w:rPr>
          <w:rFonts w:hint="eastAsia" w:ascii="仿宋_GB2312" w:hAnsi="宋体" w:eastAsia="仿宋_GB2312"/>
          <w:spacing w:val="-10"/>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tbl>
      <w:tblPr>
        <w:tblStyle w:val="13"/>
        <w:tblpPr w:leftFromText="180" w:rightFromText="180" w:vertAnchor="page" w:horzAnchor="page" w:tblpX="1675" w:tblpY="14334"/>
        <w:tblW w:w="88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00" w:lineRule="exact"/>
              <w:rPr>
                <w:rFonts w:ascii="仿宋_GB2312" w:eastAsia="仿宋_GB2312" w:cs="仿宋_GB2312"/>
                <w:sz w:val="28"/>
                <w:szCs w:val="28"/>
              </w:rPr>
            </w:pPr>
            <w:r>
              <w:rPr>
                <w:rFonts w:hint="eastAsia" w:ascii="仿宋_GB2312" w:eastAsia="仿宋_GB2312" w:cs="仿宋_GB2312"/>
                <w:sz w:val="28"/>
                <w:szCs w:val="28"/>
                <w:lang w:eastAsia="zh-CN"/>
              </w:rPr>
              <w:t>泉州市</w:t>
            </w:r>
            <w:r>
              <w:rPr>
                <w:rFonts w:hint="eastAsia" w:ascii="仿宋_GB2312" w:eastAsia="仿宋_GB2312" w:cs="仿宋_GB2312"/>
                <w:sz w:val="28"/>
                <w:szCs w:val="28"/>
              </w:rPr>
              <w:t>丰泽区人民政府泉秀街道办事处</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ascii="仿宋_GB2312" w:eastAsia="仿宋_GB2312" w:cs="仿宋_GB2312"/>
                <w:sz w:val="28"/>
                <w:szCs w:val="28"/>
              </w:rPr>
              <w:t>202</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2月14</w:t>
            </w:r>
            <w:r>
              <w:rPr>
                <w:rFonts w:hint="eastAsia" w:ascii="仿宋_GB2312" w:eastAsia="仿宋_GB2312" w:cs="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871"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方正黑体简体"/>
    <w:panose1 w:val="00000000000000000000"/>
    <w:charset w:val="86"/>
    <w:family w:val="script"/>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10"/>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TVmODliNDhhODE3MDEwZWM3M2NiODJjNWViODUifQ=="/>
  </w:docVars>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A7EFF"/>
    <w:rsid w:val="000B3A3C"/>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5538E"/>
    <w:rsid w:val="00166909"/>
    <w:rsid w:val="00171647"/>
    <w:rsid w:val="001718EB"/>
    <w:rsid w:val="00172A27"/>
    <w:rsid w:val="00181312"/>
    <w:rsid w:val="0018287A"/>
    <w:rsid w:val="0018740E"/>
    <w:rsid w:val="00190615"/>
    <w:rsid w:val="0019231F"/>
    <w:rsid w:val="00194118"/>
    <w:rsid w:val="00197488"/>
    <w:rsid w:val="001A1864"/>
    <w:rsid w:val="001A25C4"/>
    <w:rsid w:val="001A6633"/>
    <w:rsid w:val="001B0729"/>
    <w:rsid w:val="001C1A12"/>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7356"/>
    <w:rsid w:val="00304783"/>
    <w:rsid w:val="00306D4F"/>
    <w:rsid w:val="003119E4"/>
    <w:rsid w:val="00312D11"/>
    <w:rsid w:val="0031551B"/>
    <w:rsid w:val="00317FF6"/>
    <w:rsid w:val="003255F3"/>
    <w:rsid w:val="003346FD"/>
    <w:rsid w:val="00336A6F"/>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4C9"/>
    <w:rsid w:val="00405B38"/>
    <w:rsid w:val="00410F0C"/>
    <w:rsid w:val="00412570"/>
    <w:rsid w:val="00414F41"/>
    <w:rsid w:val="004156B5"/>
    <w:rsid w:val="0042038C"/>
    <w:rsid w:val="00423A17"/>
    <w:rsid w:val="00423ED6"/>
    <w:rsid w:val="004309EB"/>
    <w:rsid w:val="00430F4A"/>
    <w:rsid w:val="004348AD"/>
    <w:rsid w:val="00437118"/>
    <w:rsid w:val="0044058A"/>
    <w:rsid w:val="004439A3"/>
    <w:rsid w:val="004526FF"/>
    <w:rsid w:val="00455189"/>
    <w:rsid w:val="00460000"/>
    <w:rsid w:val="00462288"/>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5516A"/>
    <w:rsid w:val="0055775C"/>
    <w:rsid w:val="00561752"/>
    <w:rsid w:val="00572124"/>
    <w:rsid w:val="00574CEA"/>
    <w:rsid w:val="005753F5"/>
    <w:rsid w:val="00580E80"/>
    <w:rsid w:val="00587403"/>
    <w:rsid w:val="00587AB8"/>
    <w:rsid w:val="00591002"/>
    <w:rsid w:val="00591DCD"/>
    <w:rsid w:val="005A04A3"/>
    <w:rsid w:val="005A40A3"/>
    <w:rsid w:val="005A49E2"/>
    <w:rsid w:val="005A643B"/>
    <w:rsid w:val="005C2664"/>
    <w:rsid w:val="005C4C94"/>
    <w:rsid w:val="005D025E"/>
    <w:rsid w:val="005D1117"/>
    <w:rsid w:val="005D357E"/>
    <w:rsid w:val="005E5E4A"/>
    <w:rsid w:val="005F2531"/>
    <w:rsid w:val="006011FA"/>
    <w:rsid w:val="00603D17"/>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6F795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742D1"/>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6033"/>
    <w:rsid w:val="007F3E2B"/>
    <w:rsid w:val="007F595E"/>
    <w:rsid w:val="0080239C"/>
    <w:rsid w:val="00814801"/>
    <w:rsid w:val="00820DCF"/>
    <w:rsid w:val="00851EFC"/>
    <w:rsid w:val="008536E4"/>
    <w:rsid w:val="008538E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D71A1"/>
    <w:rsid w:val="008E197C"/>
    <w:rsid w:val="008E3960"/>
    <w:rsid w:val="008E3A34"/>
    <w:rsid w:val="008E4C24"/>
    <w:rsid w:val="008E5E9D"/>
    <w:rsid w:val="008F1C1C"/>
    <w:rsid w:val="008F5F63"/>
    <w:rsid w:val="008F6C02"/>
    <w:rsid w:val="00902010"/>
    <w:rsid w:val="00902B1E"/>
    <w:rsid w:val="00903A44"/>
    <w:rsid w:val="00906052"/>
    <w:rsid w:val="009070D4"/>
    <w:rsid w:val="009071B0"/>
    <w:rsid w:val="0091378F"/>
    <w:rsid w:val="00913A20"/>
    <w:rsid w:val="00915649"/>
    <w:rsid w:val="00915817"/>
    <w:rsid w:val="009309D6"/>
    <w:rsid w:val="00930D92"/>
    <w:rsid w:val="00935940"/>
    <w:rsid w:val="009359D9"/>
    <w:rsid w:val="00943548"/>
    <w:rsid w:val="00946EB3"/>
    <w:rsid w:val="009473C7"/>
    <w:rsid w:val="009476F3"/>
    <w:rsid w:val="00947C15"/>
    <w:rsid w:val="009505EF"/>
    <w:rsid w:val="009539B0"/>
    <w:rsid w:val="00954CD7"/>
    <w:rsid w:val="009564E9"/>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D741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4E5F"/>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06DD"/>
    <w:rsid w:val="00B34AC2"/>
    <w:rsid w:val="00B46E0B"/>
    <w:rsid w:val="00B52BBF"/>
    <w:rsid w:val="00B55C34"/>
    <w:rsid w:val="00B5702E"/>
    <w:rsid w:val="00B60877"/>
    <w:rsid w:val="00B66A33"/>
    <w:rsid w:val="00B70261"/>
    <w:rsid w:val="00B756F4"/>
    <w:rsid w:val="00B77EBF"/>
    <w:rsid w:val="00B81463"/>
    <w:rsid w:val="00B86B12"/>
    <w:rsid w:val="00B9591D"/>
    <w:rsid w:val="00B973E9"/>
    <w:rsid w:val="00BA0E4E"/>
    <w:rsid w:val="00BA45A1"/>
    <w:rsid w:val="00BB776B"/>
    <w:rsid w:val="00BC4B63"/>
    <w:rsid w:val="00BC5D6F"/>
    <w:rsid w:val="00BC7265"/>
    <w:rsid w:val="00BD0F65"/>
    <w:rsid w:val="00BD2B9C"/>
    <w:rsid w:val="00BE2A3F"/>
    <w:rsid w:val="00BE5DA4"/>
    <w:rsid w:val="00BE66DF"/>
    <w:rsid w:val="00BE767B"/>
    <w:rsid w:val="00BF2349"/>
    <w:rsid w:val="00BF3573"/>
    <w:rsid w:val="00BF387B"/>
    <w:rsid w:val="00BF3ED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208"/>
    <w:rsid w:val="00C8574F"/>
    <w:rsid w:val="00CA18D5"/>
    <w:rsid w:val="00CB489F"/>
    <w:rsid w:val="00CB4BF1"/>
    <w:rsid w:val="00CC2D0B"/>
    <w:rsid w:val="00CC5BCC"/>
    <w:rsid w:val="00CC5E65"/>
    <w:rsid w:val="00CD15E2"/>
    <w:rsid w:val="00CD734B"/>
    <w:rsid w:val="00CD7BE4"/>
    <w:rsid w:val="00CE1059"/>
    <w:rsid w:val="00CE29C4"/>
    <w:rsid w:val="00CF1700"/>
    <w:rsid w:val="00CF78C4"/>
    <w:rsid w:val="00D073EE"/>
    <w:rsid w:val="00D14E3B"/>
    <w:rsid w:val="00D227FB"/>
    <w:rsid w:val="00D25B38"/>
    <w:rsid w:val="00D3689F"/>
    <w:rsid w:val="00D44C29"/>
    <w:rsid w:val="00D47055"/>
    <w:rsid w:val="00D53898"/>
    <w:rsid w:val="00D67737"/>
    <w:rsid w:val="00D710D2"/>
    <w:rsid w:val="00D73773"/>
    <w:rsid w:val="00D82BC5"/>
    <w:rsid w:val="00D8581C"/>
    <w:rsid w:val="00D90C5F"/>
    <w:rsid w:val="00D90DD6"/>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3149"/>
    <w:rsid w:val="00DF73AA"/>
    <w:rsid w:val="00E04140"/>
    <w:rsid w:val="00E10C9F"/>
    <w:rsid w:val="00E13C72"/>
    <w:rsid w:val="00E2227C"/>
    <w:rsid w:val="00E34759"/>
    <w:rsid w:val="00E42A1C"/>
    <w:rsid w:val="00E45FEF"/>
    <w:rsid w:val="00E55D8C"/>
    <w:rsid w:val="00E55EA6"/>
    <w:rsid w:val="00E56753"/>
    <w:rsid w:val="00E5707E"/>
    <w:rsid w:val="00E57222"/>
    <w:rsid w:val="00E631EC"/>
    <w:rsid w:val="00E665E4"/>
    <w:rsid w:val="00E7020E"/>
    <w:rsid w:val="00E77268"/>
    <w:rsid w:val="00E87FE6"/>
    <w:rsid w:val="00E919B5"/>
    <w:rsid w:val="00E946CA"/>
    <w:rsid w:val="00E96A50"/>
    <w:rsid w:val="00EA0366"/>
    <w:rsid w:val="00EA14CD"/>
    <w:rsid w:val="00EA7A3C"/>
    <w:rsid w:val="00EB12AC"/>
    <w:rsid w:val="00EB203F"/>
    <w:rsid w:val="00EB2F78"/>
    <w:rsid w:val="00EB45E7"/>
    <w:rsid w:val="00EC5D45"/>
    <w:rsid w:val="00ED0AE1"/>
    <w:rsid w:val="00ED3D72"/>
    <w:rsid w:val="00EE1907"/>
    <w:rsid w:val="00EE7499"/>
    <w:rsid w:val="00EF21D1"/>
    <w:rsid w:val="00EF5A9D"/>
    <w:rsid w:val="00EF633F"/>
    <w:rsid w:val="00EF6650"/>
    <w:rsid w:val="00F029B5"/>
    <w:rsid w:val="00F032F5"/>
    <w:rsid w:val="00F04B15"/>
    <w:rsid w:val="00F118CD"/>
    <w:rsid w:val="00F16DEC"/>
    <w:rsid w:val="00F212AC"/>
    <w:rsid w:val="00F218B2"/>
    <w:rsid w:val="00F25ABA"/>
    <w:rsid w:val="00F3028F"/>
    <w:rsid w:val="00F327D8"/>
    <w:rsid w:val="00F421BE"/>
    <w:rsid w:val="00F43631"/>
    <w:rsid w:val="00F52DC2"/>
    <w:rsid w:val="00F537AA"/>
    <w:rsid w:val="00F55452"/>
    <w:rsid w:val="00F556C2"/>
    <w:rsid w:val="00F63706"/>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7B42F31"/>
    <w:rsid w:val="084B3BE4"/>
    <w:rsid w:val="09511A59"/>
    <w:rsid w:val="0AAC10FD"/>
    <w:rsid w:val="0AED4C65"/>
    <w:rsid w:val="0B862242"/>
    <w:rsid w:val="0C7F638D"/>
    <w:rsid w:val="0DF04F6A"/>
    <w:rsid w:val="0E456C42"/>
    <w:rsid w:val="0E7D3C55"/>
    <w:rsid w:val="0EC2148A"/>
    <w:rsid w:val="0EFF5127"/>
    <w:rsid w:val="0F61774B"/>
    <w:rsid w:val="0F7F1307"/>
    <w:rsid w:val="0FFC1BD9"/>
    <w:rsid w:val="108145BB"/>
    <w:rsid w:val="12D0036B"/>
    <w:rsid w:val="13935EAB"/>
    <w:rsid w:val="14F5446D"/>
    <w:rsid w:val="151C33B2"/>
    <w:rsid w:val="1696199B"/>
    <w:rsid w:val="16F419B4"/>
    <w:rsid w:val="192839B5"/>
    <w:rsid w:val="1B861841"/>
    <w:rsid w:val="1DCA77EF"/>
    <w:rsid w:val="1F4C6780"/>
    <w:rsid w:val="20D94EF4"/>
    <w:rsid w:val="210F3B57"/>
    <w:rsid w:val="211F12AE"/>
    <w:rsid w:val="21EE05A0"/>
    <w:rsid w:val="280C7628"/>
    <w:rsid w:val="286463E6"/>
    <w:rsid w:val="28E940C9"/>
    <w:rsid w:val="29275693"/>
    <w:rsid w:val="29561734"/>
    <w:rsid w:val="297E3C7F"/>
    <w:rsid w:val="2AD908DC"/>
    <w:rsid w:val="2B0A0276"/>
    <w:rsid w:val="2F3D025D"/>
    <w:rsid w:val="2FC562AC"/>
    <w:rsid w:val="30194954"/>
    <w:rsid w:val="3424001A"/>
    <w:rsid w:val="354422EF"/>
    <w:rsid w:val="356928AF"/>
    <w:rsid w:val="38AC7189"/>
    <w:rsid w:val="390B5A5B"/>
    <w:rsid w:val="39175561"/>
    <w:rsid w:val="3A6A3A15"/>
    <w:rsid w:val="3CCB3A6D"/>
    <w:rsid w:val="3E472C25"/>
    <w:rsid w:val="41732A05"/>
    <w:rsid w:val="41B051C0"/>
    <w:rsid w:val="4221770A"/>
    <w:rsid w:val="45E66B3C"/>
    <w:rsid w:val="46816CD3"/>
    <w:rsid w:val="48A945F9"/>
    <w:rsid w:val="496E2CE5"/>
    <w:rsid w:val="49E0092E"/>
    <w:rsid w:val="4A4A2C39"/>
    <w:rsid w:val="4AE155EA"/>
    <w:rsid w:val="4B552AA6"/>
    <w:rsid w:val="4C201050"/>
    <w:rsid w:val="4C7C31E7"/>
    <w:rsid w:val="4FA871BC"/>
    <w:rsid w:val="4FD25B54"/>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90454CC"/>
    <w:rsid w:val="69882699"/>
    <w:rsid w:val="69AE3CF0"/>
    <w:rsid w:val="6A736F31"/>
    <w:rsid w:val="6A8A1E2C"/>
    <w:rsid w:val="6BF07722"/>
    <w:rsid w:val="6C662BE4"/>
    <w:rsid w:val="6DA170E8"/>
    <w:rsid w:val="6E4F60A1"/>
    <w:rsid w:val="70A254D7"/>
    <w:rsid w:val="718F6CC7"/>
    <w:rsid w:val="73854316"/>
    <w:rsid w:val="74F72EF3"/>
    <w:rsid w:val="76E54F94"/>
    <w:rsid w:val="77F44B8E"/>
    <w:rsid w:val="7834391B"/>
    <w:rsid w:val="78E75331"/>
    <w:rsid w:val="7B1227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_GBK" w:hAnsi="方正仿宋_GBK" w:eastAsia="方正仿宋_GBK" w:cs="Times New Roman"/>
      <w:color w:val="000000"/>
      <w:sz w:val="24"/>
      <w:szCs w:val="22"/>
      <w:lang w:val="en-US" w:eastAsia="zh-CN" w:bidi="ar-SA"/>
    </w:rPr>
  </w:style>
  <w:style w:type="paragraph" w:styleId="4">
    <w:name w:val="Normal Indent"/>
    <w:basedOn w:val="1"/>
    <w:qFormat/>
    <w:locked/>
    <w:uiPriority w:val="0"/>
    <w:pPr>
      <w:ind w:firstLine="420" w:firstLineChars="200"/>
    </w:pPr>
    <w:rPr>
      <w:szCs w:val="24"/>
    </w:rPr>
  </w:style>
  <w:style w:type="paragraph" w:styleId="5">
    <w:name w:val="Body Text"/>
    <w:basedOn w:val="1"/>
    <w:link w:val="34"/>
    <w:qFormat/>
    <w:locked/>
    <w:uiPriority w:val="0"/>
    <w:pPr>
      <w:jc w:val="center"/>
    </w:pPr>
    <w:rPr>
      <w:rFonts w:eastAsia="仿宋_GB2312"/>
      <w:spacing w:val="-20"/>
      <w:sz w:val="24"/>
      <w:szCs w:val="24"/>
    </w:rPr>
  </w:style>
  <w:style w:type="paragraph" w:styleId="6">
    <w:name w:val="Body Text Indent"/>
    <w:basedOn w:val="1"/>
    <w:link w:val="35"/>
    <w:qFormat/>
    <w:locked/>
    <w:uiPriority w:val="0"/>
    <w:pPr>
      <w:ind w:firstLine="640" w:firstLineChars="200"/>
    </w:pPr>
    <w:rPr>
      <w:rFonts w:ascii="仿宋_GB2312" w:eastAsia="仿宋_GB2312"/>
      <w:sz w:val="30"/>
      <w:szCs w:val="24"/>
    </w:rPr>
  </w:style>
  <w:style w:type="paragraph" w:styleId="7">
    <w:name w:val="Plain Text"/>
    <w:basedOn w:val="1"/>
    <w:link w:val="36"/>
    <w:qFormat/>
    <w:locked/>
    <w:uiPriority w:val="0"/>
    <w:rPr>
      <w:rFonts w:ascii="宋体" w:hAnsi="Courier New" w:cs="Courier New"/>
    </w:rPr>
  </w:style>
  <w:style w:type="paragraph" w:styleId="8">
    <w:name w:val="Date"/>
    <w:basedOn w:val="1"/>
    <w:next w:val="1"/>
    <w:link w:val="21"/>
    <w:qFormat/>
    <w:uiPriority w:val="0"/>
    <w:pPr>
      <w:ind w:left="100" w:leftChars="2500"/>
    </w:pPr>
  </w:style>
  <w:style w:type="paragraph" w:styleId="9">
    <w:name w:val="Balloon Text"/>
    <w:basedOn w:val="1"/>
    <w:link w:val="22"/>
    <w:semiHidden/>
    <w:qFormat/>
    <w:uiPriority w:val="0"/>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2">
    <w:name w:val="Normal (Web)"/>
    <w:basedOn w:val="1"/>
    <w:qFormat/>
    <w:uiPriority w:val="0"/>
    <w:pPr>
      <w:spacing w:before="100" w:beforeAutospacing="1" w:after="100" w:afterAutospacing="1"/>
      <w:jc w:val="left"/>
    </w:pPr>
    <w:rPr>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cs="Times New Roman"/>
      <w:b/>
      <w:bCs/>
    </w:rPr>
  </w:style>
  <w:style w:type="character" w:styleId="17">
    <w:name w:val="page number"/>
    <w:basedOn w:val="15"/>
    <w:qFormat/>
    <w:uiPriority w:val="0"/>
    <w:rPr>
      <w:rFonts w:cs="Times New Roman"/>
    </w:rPr>
  </w:style>
  <w:style w:type="character" w:styleId="18">
    <w:name w:val="Hyperlink"/>
    <w:basedOn w:val="15"/>
    <w:qFormat/>
    <w:uiPriority w:val="99"/>
    <w:rPr>
      <w:rFonts w:cs="Times New Roman"/>
      <w:color w:val="0000FF"/>
      <w:u w:val="single"/>
    </w:rPr>
  </w:style>
  <w:style w:type="paragraph" w:customStyle="1" w:styleId="19">
    <w:name w:val="Body Text First Indent 21"/>
    <w:basedOn w:val="20"/>
    <w:qFormat/>
    <w:uiPriority w:val="0"/>
    <w:pPr>
      <w:spacing w:after="120" w:line="340" w:lineRule="exact"/>
      <w:ind w:left="420" w:leftChars="200" w:right="-139" w:hanging="26" w:hangingChars="26"/>
    </w:pPr>
    <w:rPr>
      <w:rFonts w:ascii="华文中宋" w:hAnsi="华文中宋" w:eastAsia="华文中宋"/>
      <w:sz w:val="24"/>
      <w:szCs w:val="20"/>
    </w:rPr>
  </w:style>
  <w:style w:type="paragraph" w:customStyle="1" w:styleId="20">
    <w:name w:val="Body Text Indent1"/>
    <w:basedOn w:val="1"/>
    <w:qFormat/>
    <w:uiPriority w:val="0"/>
    <w:pPr>
      <w:spacing w:after="120"/>
      <w:ind w:left="420" w:leftChars="200"/>
    </w:pPr>
  </w:style>
  <w:style w:type="character" w:customStyle="1" w:styleId="21">
    <w:name w:val="日期 Char"/>
    <w:basedOn w:val="15"/>
    <w:link w:val="8"/>
    <w:qFormat/>
    <w:locked/>
    <w:uiPriority w:val="0"/>
    <w:rPr>
      <w:rFonts w:cs="Times New Roman"/>
      <w:kern w:val="2"/>
      <w:sz w:val="24"/>
      <w:szCs w:val="24"/>
    </w:rPr>
  </w:style>
  <w:style w:type="character" w:customStyle="1" w:styleId="22">
    <w:name w:val="批注框文本 Char"/>
    <w:basedOn w:val="15"/>
    <w:link w:val="9"/>
    <w:qFormat/>
    <w:locked/>
    <w:uiPriority w:val="99"/>
    <w:rPr>
      <w:rFonts w:cs="Times New Roman"/>
      <w:kern w:val="2"/>
      <w:sz w:val="18"/>
      <w:szCs w:val="18"/>
    </w:rPr>
  </w:style>
  <w:style w:type="character" w:customStyle="1" w:styleId="23">
    <w:name w:val="页脚 Char"/>
    <w:basedOn w:val="15"/>
    <w:link w:val="10"/>
    <w:qFormat/>
    <w:locked/>
    <w:uiPriority w:val="99"/>
    <w:rPr>
      <w:rFonts w:cs="Times New Roman"/>
      <w:kern w:val="2"/>
      <w:sz w:val="24"/>
      <w:szCs w:val="24"/>
    </w:rPr>
  </w:style>
  <w:style w:type="character" w:customStyle="1" w:styleId="24">
    <w:name w:val="页眉 Char"/>
    <w:basedOn w:val="15"/>
    <w:link w:val="11"/>
    <w:qFormat/>
    <w:locked/>
    <w:uiPriority w:val="0"/>
    <w:rPr>
      <w:rFonts w:cs="Times New Roman"/>
      <w:kern w:val="2"/>
      <w:sz w:val="24"/>
      <w:szCs w:val="24"/>
    </w:rPr>
  </w:style>
  <w:style w:type="paragraph" w:customStyle="1" w:styleId="25">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6">
    <w:name w:val="Char Char Char Char Char Char"/>
    <w:basedOn w:val="1"/>
    <w:qFormat/>
    <w:uiPriority w:val="99"/>
    <w:pPr>
      <w:ind w:left="432" w:hanging="432"/>
    </w:pPr>
    <w:rPr>
      <w:sz w:val="24"/>
      <w:szCs w:val="24"/>
    </w:rPr>
  </w:style>
  <w:style w:type="character" w:customStyle="1" w:styleId="27">
    <w:name w:val="样式 仿宋_GB23121"/>
    <w:basedOn w:val="15"/>
    <w:qFormat/>
    <w:uiPriority w:val="99"/>
    <w:rPr>
      <w:rFonts w:ascii="仿宋_GB2312" w:hAnsi="仿宋_GB2312" w:eastAsia="仿宋_GB2312" w:cs="仿宋_GB2312"/>
      <w:sz w:val="32"/>
      <w:szCs w:val="32"/>
    </w:rPr>
  </w:style>
  <w:style w:type="paragraph" w:customStyle="1" w:styleId="28">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9">
    <w:name w:val="List Paragraph"/>
    <w:basedOn w:val="1"/>
    <w:qFormat/>
    <w:uiPriority w:val="99"/>
    <w:pPr>
      <w:ind w:firstLine="420" w:firstLineChars="200"/>
    </w:pPr>
  </w:style>
  <w:style w:type="paragraph" w:customStyle="1" w:styleId="30">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31">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3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标题 1 Char"/>
    <w:basedOn w:val="15"/>
    <w:link w:val="3"/>
    <w:qFormat/>
    <w:uiPriority w:val="0"/>
    <w:rPr>
      <w:b/>
      <w:bCs/>
      <w:kern w:val="44"/>
      <w:sz w:val="44"/>
      <w:szCs w:val="44"/>
    </w:rPr>
  </w:style>
  <w:style w:type="character" w:customStyle="1" w:styleId="34">
    <w:name w:val="正文文本 Char"/>
    <w:basedOn w:val="15"/>
    <w:link w:val="5"/>
    <w:qFormat/>
    <w:uiPriority w:val="0"/>
    <w:rPr>
      <w:rFonts w:eastAsia="仿宋_GB2312"/>
      <w:spacing w:val="-20"/>
      <w:kern w:val="2"/>
      <w:sz w:val="24"/>
      <w:szCs w:val="24"/>
    </w:rPr>
  </w:style>
  <w:style w:type="character" w:customStyle="1" w:styleId="35">
    <w:name w:val="正文文本缩进 Char"/>
    <w:basedOn w:val="15"/>
    <w:link w:val="6"/>
    <w:qFormat/>
    <w:uiPriority w:val="0"/>
    <w:rPr>
      <w:rFonts w:ascii="仿宋_GB2312" w:eastAsia="仿宋_GB2312"/>
      <w:kern w:val="2"/>
      <w:sz w:val="30"/>
      <w:szCs w:val="24"/>
    </w:rPr>
  </w:style>
  <w:style w:type="character" w:customStyle="1" w:styleId="36">
    <w:name w:val="纯文本 Char"/>
    <w:basedOn w:val="15"/>
    <w:link w:val="7"/>
    <w:qFormat/>
    <w:uiPriority w:val="0"/>
    <w:rPr>
      <w:rFonts w:ascii="宋体" w:hAnsi="Courier New" w:cs="Courier New"/>
      <w:kern w:val="2"/>
      <w:sz w:val="21"/>
      <w:szCs w:val="21"/>
    </w:rPr>
  </w:style>
  <w:style w:type="paragraph" w:customStyle="1" w:styleId="37">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8">
    <w:name w:val="p0"/>
    <w:basedOn w:val="1"/>
    <w:qFormat/>
    <w:uiPriority w:val="99"/>
    <w:pPr>
      <w:widowControl/>
    </w:pPr>
    <w:rPr>
      <w:rFonts w:ascii="Calibri" w:hAnsi="Calibri" w:cs="宋体"/>
      <w:kern w:val="0"/>
    </w:rPr>
  </w:style>
  <w:style w:type="character" w:customStyle="1" w:styleId="39">
    <w:name w:val="NormalCharacter"/>
    <w:semiHidden/>
    <w:qFormat/>
    <w:uiPriority w:val="0"/>
  </w:style>
  <w:style w:type="paragraph" w:styleId="40">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41">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B1576-07F6-4917-9277-97D1EAEDCF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2194</Words>
  <Characters>2294</Characters>
  <Lines>19</Lines>
  <Paragraphs>5</Paragraphs>
  <TotalTime>1148</TotalTime>
  <ScaleCrop>false</ScaleCrop>
  <LinksUpToDate>false</LinksUpToDate>
  <CharactersWithSpaces>2359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2023-02-24T03:51:33Z</cp:lastPrinted>
  <dcterms:modified xsi:type="dcterms:W3CDTF">2023-02-24T09:46:10Z</dcterms:modified>
  <dc:title>泉丰泉工委〔2013〕 号</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593B1832FF0F454BA0BBF0E692AA16D4</vt:lpwstr>
  </property>
</Properties>
</file>